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3.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4.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5.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6.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4499A3" w14:textId="552E5346" w:rsidR="00C05F79" w:rsidRPr="00F6621A" w:rsidRDefault="00C05F79" w:rsidP="009B334A">
      <w:pPr>
        <w:pStyle w:val="Title"/>
        <w:spacing w:before="6000"/>
        <w:rPr>
          <w:color w:val="2C5A6C"/>
        </w:rPr>
      </w:pPr>
      <w:r>
        <w:rPr>
          <w:noProof/>
        </w:rPr>
        <w:drawing>
          <wp:anchor distT="0" distB="0" distL="114300" distR="114300" simplePos="0" relativeHeight="251658241" behindDoc="1" locked="0" layoutInCell="1" allowOverlap="1" wp14:anchorId="4280240A" wp14:editId="48F36EF8">
            <wp:simplePos x="0" y="0"/>
            <wp:positionH relativeFrom="column">
              <wp:posOffset>-668655</wp:posOffset>
            </wp:positionH>
            <wp:positionV relativeFrom="paragraph">
              <wp:posOffset>-862330</wp:posOffset>
            </wp:positionV>
            <wp:extent cx="7105015" cy="2588260"/>
            <wp:effectExtent l="0" t="0" r="0" b="0"/>
            <wp:wrapNone/>
            <wp:docPr id="1524121809" name="Picture 15241218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a:extLst>
                        <a:ext uri="{C183D7F6-B498-43B3-948B-1728B52AA6E4}">
                          <adec:decorative xmlns:adec="http://schemas.microsoft.com/office/drawing/2017/decorative" val="1"/>
                        </a:ext>
                      </a:extLst>
                    </pic:cNvPr>
                    <pic:cNvPicPr>
                      <a:picLocks/>
                    </pic:cNvPicPr>
                  </pic:nvPicPr>
                  <pic:blipFill>
                    <a:blip r:embed="rId11">
                      <a:extLst>
                        <a:ext uri="{28A0092B-C50C-407E-A947-70E740481C1C}">
                          <a14:useLocalDpi xmlns:a14="http://schemas.microsoft.com/office/drawing/2010/main" val="0"/>
                        </a:ext>
                      </a:extLst>
                    </a:blip>
                    <a:srcRect t="27577" b="17725"/>
                    <a:stretch>
                      <a:fillRect/>
                    </a:stretch>
                  </pic:blipFill>
                  <pic:spPr bwMode="auto">
                    <a:xfrm>
                      <a:off x="0" y="0"/>
                      <a:ext cx="7105015" cy="25882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2" behindDoc="1" locked="0" layoutInCell="1" allowOverlap="1" wp14:anchorId="3DF50A0B" wp14:editId="3D6FFA77">
                <wp:simplePos x="0" y="0"/>
                <wp:positionH relativeFrom="column">
                  <wp:posOffset>-671830</wp:posOffset>
                </wp:positionH>
                <wp:positionV relativeFrom="page">
                  <wp:posOffset>220345</wp:posOffset>
                </wp:positionV>
                <wp:extent cx="7105015" cy="2591435"/>
                <wp:effectExtent l="0" t="0" r="0" b="0"/>
                <wp:wrapNone/>
                <wp:docPr id="1401499983" name="Freeform: Shape 14014999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05015" cy="2591435"/>
                        </a:xfrm>
                        <a:custGeom>
                          <a:avLst/>
                          <a:gdLst/>
                          <a:ahLst/>
                          <a:cxnLst/>
                          <a:rect l="l" t="t" r="r" b="b"/>
                          <a:pathLst>
                            <a:path w="7128509" h="2844165">
                              <a:moveTo>
                                <a:pt x="7128002" y="0"/>
                              </a:moveTo>
                              <a:lnTo>
                                <a:pt x="0" y="0"/>
                              </a:lnTo>
                              <a:lnTo>
                                <a:pt x="0" y="2843999"/>
                              </a:lnTo>
                              <a:lnTo>
                                <a:pt x="7128002" y="2843999"/>
                              </a:lnTo>
                              <a:lnTo>
                                <a:pt x="7128002" y="0"/>
                              </a:lnTo>
                              <a:close/>
                            </a:path>
                          </a:pathLst>
                        </a:custGeom>
                        <a:solidFill>
                          <a:srgbClr val="3F4A75">
                            <a:alpha val="39999"/>
                          </a:srgbClr>
                        </a:solidFill>
                      </wps:spPr>
                      <wps:bodyPr vertOverflow="clip" horzOverflow="clip"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FE63401" id="Freeform: Shape 1401499983" o:spid="_x0000_s1026" alt="&quot;&quot;" style="position:absolute;margin-left:-52.9pt;margin-top:17.35pt;width:559.45pt;height:204.0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7128509,2844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" path="m7128002,l,,,2843999r7128002,l7128002,xe" fillcolor="#3f4a75" stroked="f">
                <v:fill opacity="26214f"/>
                <v:path arrowok="t"/>
                <w10:wrap anchory="page"/>
              </v:shape>
            </w:pict>
          </mc:Fallback>
        </mc:AlternateContent>
      </w:r>
      <w:r w:rsidRPr="000C2240">
        <w:rPr>
          <w:color w:val="FFFFFF"/>
        </w:rPr>
        <w:t xml:space="preserve">Surgical prophylaxis prescribing in Australian </w:t>
      </w:r>
      <w:proofErr w:type="gramStart"/>
      <w:r w:rsidRPr="000C2240">
        <w:rPr>
          <w:color w:val="FFFFFF"/>
        </w:rPr>
        <w:t>hospitals</w:t>
      </w:r>
      <w:proofErr w:type="gramEnd"/>
    </w:p>
    <w:p w14:paraId="38C6DEAD" w14:textId="77777777" w:rsidR="00C05F79" w:rsidRPr="000C2240" w:rsidRDefault="00C05F79" w:rsidP="00C05F79">
      <w:pPr>
        <w:pStyle w:val="Subheading"/>
        <w:rPr>
          <w:color w:val="00598F"/>
        </w:rPr>
      </w:pPr>
      <w:r>
        <w:rPr>
          <w:noProof/>
        </w:rPr>
        <w:drawing>
          <wp:anchor distT="0" distB="0" distL="114300" distR="114300" simplePos="0" relativeHeight="251658245" behindDoc="0" locked="0" layoutInCell="1" allowOverlap="1" wp14:anchorId="19262B05" wp14:editId="522E9553">
            <wp:simplePos x="0" y="0"/>
            <wp:positionH relativeFrom="column">
              <wp:posOffset>6350</wp:posOffset>
            </wp:positionH>
            <wp:positionV relativeFrom="page">
              <wp:posOffset>3224530</wp:posOffset>
            </wp:positionV>
            <wp:extent cx="2718435" cy="787400"/>
            <wp:effectExtent l="0" t="0" r="0" b="0"/>
            <wp:wrapNone/>
            <wp:docPr id="166328210" name="Picture 1663282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328210" name="Picture 166328210">
                      <a:extLst>
                        <a:ext uri="{C183D7F6-B498-43B3-948B-1728B52AA6E4}">
                          <adec:decorative xmlns:adec="http://schemas.microsoft.com/office/drawing/2017/decorative" val="1"/>
                        </a:ext>
                      </a:extLst>
                    </pic:cNvPr>
                    <pic:cNvPicPr>
                      <a:picLocks/>
                    </pic:cNvPicPr>
                  </pic:nvPicPr>
                  <pic:blipFill>
                    <a:blip r:embed="rId12">
                      <a:extLst>
                        <a:ext uri="{28A0092B-C50C-407E-A947-70E740481C1C}">
                          <a14:useLocalDpi xmlns:a14="http://schemas.microsoft.com/office/drawing/2010/main" val="0"/>
                        </a:ext>
                      </a:extLst>
                    </a:blip>
                    <a:srcRect b="-5316"/>
                    <a:stretch>
                      <a:fillRect/>
                    </a:stretch>
                  </pic:blipFill>
                  <pic:spPr bwMode="auto">
                    <a:xfrm>
                      <a:off x="0" y="0"/>
                      <a:ext cx="2718435" cy="787400"/>
                    </a:xfrm>
                    <a:prstGeom prst="rect">
                      <a:avLst/>
                    </a:prstGeom>
                    <a:noFill/>
                    <a:ln>
                      <a:noFill/>
                    </a:ln>
                  </pic:spPr>
                </pic:pic>
              </a:graphicData>
            </a:graphic>
            <wp14:sizeRelH relativeFrom="page">
              <wp14:pctWidth>0</wp14:pctWidth>
            </wp14:sizeRelH>
            <wp14:sizeRelV relativeFrom="margin">
              <wp14:pctHeight>0</wp14:pctHeight>
            </wp14:sizeRelV>
          </wp:anchor>
        </w:drawing>
      </w:r>
      <w:r>
        <w:rPr>
          <w:noProof/>
        </w:rPr>
        <w:drawing>
          <wp:anchor distT="0" distB="0" distL="114300" distR="114300" simplePos="0" relativeHeight="251658244" behindDoc="1" locked="0" layoutInCell="1" allowOverlap="1" wp14:anchorId="74586426" wp14:editId="7E070C26">
            <wp:simplePos x="0" y="0"/>
            <wp:positionH relativeFrom="column">
              <wp:posOffset>-670560</wp:posOffset>
            </wp:positionH>
            <wp:positionV relativeFrom="page">
              <wp:posOffset>2804160</wp:posOffset>
            </wp:positionV>
            <wp:extent cx="7103745" cy="5872480"/>
            <wp:effectExtent l="0" t="0" r="0" b="0"/>
            <wp:wrapNone/>
            <wp:docPr id="1104122773" name="Picture 11041227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
                      <a:extLst>
                        <a:ext uri="{C183D7F6-B498-43B3-948B-1728B52AA6E4}">
                          <adec:decorative xmlns:adec="http://schemas.microsoft.com/office/drawing/2017/decorative" val="1"/>
                        </a:ext>
                      </a:extLst>
                    </pic:cNvPr>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03745" cy="58724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1" locked="0" layoutInCell="1" allowOverlap="1" wp14:anchorId="6F6A01DE" wp14:editId="50D6896C">
            <wp:simplePos x="0" y="0"/>
            <wp:positionH relativeFrom="page">
              <wp:posOffset>6985</wp:posOffset>
            </wp:positionH>
            <wp:positionV relativeFrom="page">
              <wp:posOffset>2694940</wp:posOffset>
            </wp:positionV>
            <wp:extent cx="7557135" cy="112395"/>
            <wp:effectExtent l="0" t="0" r="0" b="0"/>
            <wp:wrapNone/>
            <wp:docPr id="1217593403" name="Picture 12175934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a:extLst>
                        <a:ext uri="{C183D7F6-B498-43B3-948B-1728B52AA6E4}">
                          <adec:decorative xmlns:adec="http://schemas.microsoft.com/office/drawing/2017/decorative" val="1"/>
                        </a:ext>
                      </a:extLst>
                    </pic:cNvPr>
                    <pic:cNvPicPr>
                      <a:picLocks/>
                    </pic:cNvPicPr>
                  </pic:nvPicPr>
                  <pic:blipFill>
                    <a:blip r:embed="rId14">
                      <a:extLst>
                        <a:ext uri="{28A0092B-C50C-407E-A947-70E740481C1C}">
                          <a14:useLocalDpi xmlns:a14="http://schemas.microsoft.com/office/drawing/2010/main" val="0"/>
                        </a:ext>
                      </a:extLst>
                    </a:blip>
                    <a:srcRect t="33290" b="65657"/>
                    <a:stretch>
                      <a:fillRect/>
                    </a:stretch>
                  </pic:blipFill>
                  <pic:spPr bwMode="auto">
                    <a:xfrm>
                      <a:off x="0" y="0"/>
                      <a:ext cx="7557135" cy="112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2240">
        <w:rPr>
          <w:color w:val="FFFFFF"/>
        </w:rPr>
        <w:t>Results of the 2021 Surgical National Antimicrobial Prescribing Survey</w:t>
      </w:r>
    </w:p>
    <w:p w14:paraId="4059723B" w14:textId="77777777" w:rsidR="00C05F79" w:rsidRPr="000C2240" w:rsidRDefault="00C05F79" w:rsidP="00C05F79">
      <w:pPr>
        <w:rPr>
          <w:iCs/>
          <w:color w:val="3F4A75"/>
          <w:spacing w:val="15"/>
          <w:sz w:val="40"/>
        </w:rPr>
        <w:sectPr w:rsidR="00C05F79" w:rsidRPr="000C2240" w:rsidSect="00CA79CF">
          <w:headerReference w:type="default" r:id="rId15"/>
          <w:headerReference w:type="first" r:id="rId16"/>
          <w:type w:val="continuous"/>
          <w:pgSz w:w="11906" w:h="16838"/>
          <w:pgMar w:top="1701" w:right="1418" w:bottom="1418" w:left="1418" w:header="709" w:footer="709" w:gutter="0"/>
          <w:cols w:space="708"/>
          <w:titlePg/>
          <w:docGrid w:linePitch="360"/>
        </w:sectPr>
      </w:pPr>
      <w:r>
        <w:rPr>
          <w:noProof/>
        </w:rPr>
        <w:drawing>
          <wp:anchor distT="0" distB="0" distL="114300" distR="114300" simplePos="0" relativeHeight="251658246" behindDoc="1" locked="0" layoutInCell="1" allowOverlap="1" wp14:anchorId="5162E41A" wp14:editId="602370FC">
            <wp:simplePos x="0" y="0"/>
            <wp:positionH relativeFrom="column">
              <wp:posOffset>0</wp:posOffset>
            </wp:positionH>
            <wp:positionV relativeFrom="page">
              <wp:posOffset>8677275</wp:posOffset>
            </wp:positionV>
            <wp:extent cx="1676400" cy="889000"/>
            <wp:effectExtent l="0" t="0" r="0" b="0"/>
            <wp:wrapNone/>
            <wp:docPr id="1473890427" name="Picture 14738904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3890427" name="Picture 1473890427">
                      <a:extLst>
                        <a:ext uri="{C183D7F6-B498-43B3-948B-1728B52AA6E4}">
                          <adec:decorative xmlns:adec="http://schemas.microsoft.com/office/drawing/2017/decorative" val="1"/>
                        </a:ext>
                      </a:extLst>
                    </pic:cNvPr>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6400" cy="889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7296FCA5" wp14:editId="4AB25999">
            <wp:simplePos x="0" y="0"/>
            <wp:positionH relativeFrom="column">
              <wp:posOffset>1941195</wp:posOffset>
            </wp:positionH>
            <wp:positionV relativeFrom="page">
              <wp:posOffset>8840470</wp:posOffset>
            </wp:positionV>
            <wp:extent cx="1765300" cy="558800"/>
            <wp:effectExtent l="0" t="0" r="0" b="0"/>
            <wp:wrapNone/>
            <wp:docPr id="148683595" name="Picture 1486835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683595" name="Picture 148683595">
                      <a:extLst>
                        <a:ext uri="{C183D7F6-B498-43B3-948B-1728B52AA6E4}">
                          <adec:decorative xmlns:adec="http://schemas.microsoft.com/office/drawing/2017/decorative" val="1"/>
                        </a:ext>
                      </a:extLst>
                    </pic:cNvPr>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65300" cy="55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146DCD" w14:textId="77777777" w:rsidR="002F4DD5" w:rsidRPr="002F4DD5" w:rsidRDefault="002F4DD5" w:rsidP="002F4DD5">
      <w:pPr>
        <w:autoSpaceDE w:val="0"/>
        <w:autoSpaceDN w:val="0"/>
        <w:adjustRightInd w:val="0"/>
        <w:spacing w:before="0" w:after="100" w:line="221" w:lineRule="atLeast"/>
        <w:rPr>
          <w:rFonts w:ascii="HelveticaNeueLT Std Lt" w:hAnsi="HelveticaNeueLT Std Lt" w:cs="HelveticaNeueLT Std Lt"/>
          <w:color w:val="000000"/>
          <w:szCs w:val="22"/>
          <w:lang w:eastAsia="en-AU"/>
        </w:rPr>
      </w:pPr>
      <w:r w:rsidRPr="002F4DD5">
        <w:rPr>
          <w:rFonts w:ascii="HelveticaNeueLT Std Lt" w:hAnsi="HelveticaNeueLT Std Lt" w:cs="HelveticaNeueLT Std Lt"/>
          <w:color w:val="000000"/>
          <w:szCs w:val="22"/>
          <w:lang w:eastAsia="en-AU"/>
        </w:rPr>
        <w:lastRenderedPageBreak/>
        <w:t xml:space="preserve">Published by the Australian Government Department of Health and Aged Care </w:t>
      </w:r>
    </w:p>
    <w:p w14:paraId="79C5119C" w14:textId="77777777" w:rsidR="002F4DD5" w:rsidRPr="002F4DD5" w:rsidRDefault="002F4DD5" w:rsidP="002F4DD5">
      <w:pPr>
        <w:autoSpaceDE w:val="0"/>
        <w:autoSpaceDN w:val="0"/>
        <w:adjustRightInd w:val="0"/>
        <w:spacing w:before="0" w:after="100" w:line="221" w:lineRule="atLeast"/>
        <w:rPr>
          <w:rFonts w:ascii="HelveticaNeueLT Std Lt" w:hAnsi="HelveticaNeueLT Std Lt" w:cs="HelveticaNeueLT Std Lt"/>
          <w:color w:val="000000"/>
          <w:szCs w:val="22"/>
          <w:lang w:eastAsia="en-AU"/>
        </w:rPr>
      </w:pPr>
      <w:r w:rsidRPr="002F4DD5">
        <w:rPr>
          <w:rFonts w:ascii="HelveticaNeueLT Std Lt" w:hAnsi="HelveticaNeueLT Std Lt" w:cs="HelveticaNeueLT Std Lt"/>
          <w:color w:val="000000"/>
          <w:szCs w:val="22"/>
          <w:lang w:eastAsia="en-AU"/>
        </w:rPr>
        <w:t xml:space="preserve">For issues regarding the content of the report: </w:t>
      </w:r>
    </w:p>
    <w:p w14:paraId="18417A19" w14:textId="77777777" w:rsidR="002F4DD5" w:rsidRPr="002F4DD5" w:rsidRDefault="002F4DD5" w:rsidP="002F4DD5">
      <w:pPr>
        <w:tabs>
          <w:tab w:val="left" w:pos="6120"/>
        </w:tabs>
        <w:autoSpaceDE w:val="0"/>
        <w:autoSpaceDN w:val="0"/>
        <w:adjustRightInd w:val="0"/>
        <w:spacing w:before="0" w:after="100" w:line="221" w:lineRule="atLeast"/>
        <w:rPr>
          <w:rFonts w:ascii="HelveticaNeueLT Std Lt" w:hAnsi="HelveticaNeueLT Std Lt" w:cs="HelveticaNeueLT Std Lt"/>
          <w:color w:val="000000"/>
          <w:szCs w:val="22"/>
          <w:lang w:eastAsia="en-AU"/>
        </w:rPr>
      </w:pPr>
      <w:r w:rsidRPr="002F4DD5">
        <w:rPr>
          <w:rFonts w:ascii="HelveticaNeueLT Std Lt" w:hAnsi="HelveticaNeueLT Std Lt" w:cs="HelveticaNeueLT Std Lt"/>
          <w:color w:val="000000"/>
          <w:szCs w:val="22"/>
          <w:lang w:eastAsia="en-AU"/>
        </w:rPr>
        <w:t xml:space="preserve">Email: support@naps.org.au </w:t>
      </w:r>
      <w:r>
        <w:rPr>
          <w:rFonts w:ascii="HelveticaNeueLT Std Lt" w:hAnsi="HelveticaNeueLT Std Lt" w:cs="HelveticaNeueLT Std Lt"/>
          <w:color w:val="000000"/>
          <w:szCs w:val="22"/>
          <w:lang w:eastAsia="en-AU"/>
        </w:rPr>
        <w:tab/>
      </w:r>
    </w:p>
    <w:p w14:paraId="22F5BE44" w14:textId="77777777" w:rsidR="002F4DD5" w:rsidRPr="002F4DD5" w:rsidRDefault="002F4DD5" w:rsidP="002F4DD5">
      <w:pPr>
        <w:autoSpaceDE w:val="0"/>
        <w:autoSpaceDN w:val="0"/>
        <w:adjustRightInd w:val="0"/>
        <w:spacing w:before="0" w:after="100" w:line="221" w:lineRule="atLeast"/>
        <w:rPr>
          <w:rFonts w:ascii="HelveticaNeueLT Std Lt" w:hAnsi="HelveticaNeueLT Std Lt" w:cs="HelveticaNeueLT Std Lt"/>
          <w:color w:val="000000"/>
          <w:szCs w:val="22"/>
          <w:lang w:eastAsia="en-AU"/>
        </w:rPr>
      </w:pPr>
      <w:r w:rsidRPr="002F4DD5">
        <w:rPr>
          <w:rFonts w:ascii="HelveticaNeueLT Std Lt" w:hAnsi="HelveticaNeueLT Std Lt" w:cs="HelveticaNeueLT Std Lt"/>
          <w:color w:val="000000"/>
          <w:szCs w:val="22"/>
          <w:lang w:eastAsia="en-AU"/>
        </w:rPr>
        <w:t>Website</w:t>
      </w:r>
      <w:proofErr w:type="gramStart"/>
      <w:r w:rsidRPr="002F4DD5">
        <w:rPr>
          <w:rFonts w:ascii="HelveticaNeueLT Std Lt" w:hAnsi="HelveticaNeueLT Std Lt" w:cs="HelveticaNeueLT Std Lt"/>
          <w:color w:val="000000"/>
          <w:szCs w:val="22"/>
          <w:lang w:eastAsia="en-AU"/>
        </w:rPr>
        <w:t>: :</w:t>
      </w:r>
      <w:proofErr w:type="gramEnd"/>
      <w:r w:rsidRPr="002F4DD5">
        <w:rPr>
          <w:rFonts w:ascii="HelveticaNeueLT Std Lt" w:hAnsi="HelveticaNeueLT Std Lt" w:cs="HelveticaNeueLT Std Lt"/>
          <w:color w:val="000000"/>
          <w:szCs w:val="22"/>
          <w:lang w:eastAsia="en-AU"/>
        </w:rPr>
        <w:t xml:space="preserve"> https://www.naps.org.au/ </w:t>
      </w:r>
    </w:p>
    <w:p w14:paraId="4890FE7C" w14:textId="112C6BF2" w:rsidR="002F4DD5" w:rsidRPr="002F4DD5" w:rsidRDefault="002F4DD5" w:rsidP="002F4DD5">
      <w:pPr>
        <w:autoSpaceDE w:val="0"/>
        <w:autoSpaceDN w:val="0"/>
        <w:adjustRightInd w:val="0"/>
        <w:spacing w:before="0" w:after="100" w:line="221" w:lineRule="atLeast"/>
        <w:rPr>
          <w:rFonts w:ascii="HelveticaNeueLT Std" w:hAnsi="HelveticaNeueLT Std" w:cs="HelveticaNeueLT Std"/>
          <w:color w:val="000000"/>
          <w:szCs w:val="22"/>
          <w:lang w:eastAsia="en-AU"/>
        </w:rPr>
      </w:pPr>
      <w:r w:rsidRPr="002F4DD5">
        <w:rPr>
          <w:rFonts w:ascii="HelveticaNeueLT Std Lt" w:hAnsi="HelveticaNeueLT Std Lt" w:cs="HelveticaNeueLT Std Lt"/>
          <w:color w:val="000000"/>
          <w:szCs w:val="22"/>
          <w:lang w:eastAsia="en-AU"/>
        </w:rPr>
        <w:t>ISBN: 978-1-7</w:t>
      </w:r>
      <w:r w:rsidR="00722D24">
        <w:rPr>
          <w:rFonts w:ascii="HelveticaNeueLT Std Lt" w:hAnsi="HelveticaNeueLT Std Lt" w:cs="HelveticaNeueLT Std Lt"/>
          <w:color w:val="000000"/>
          <w:szCs w:val="22"/>
          <w:lang w:eastAsia="en-AU"/>
        </w:rPr>
        <w:t>4186-082-5</w:t>
      </w:r>
      <w:r w:rsidRPr="002F4DD5">
        <w:rPr>
          <w:rFonts w:ascii="HelveticaNeueLT Std" w:hAnsi="HelveticaNeueLT Std" w:cs="HelveticaNeueLT Std"/>
          <w:b/>
          <w:bCs/>
          <w:color w:val="000000"/>
          <w:szCs w:val="22"/>
          <w:lang w:eastAsia="en-AU"/>
        </w:rPr>
        <w:t xml:space="preserve"> </w:t>
      </w:r>
    </w:p>
    <w:p w14:paraId="7D7FB555" w14:textId="77777777" w:rsidR="002F4DD5" w:rsidRPr="002F4DD5" w:rsidRDefault="002F4DD5" w:rsidP="002F4DD5">
      <w:pPr>
        <w:autoSpaceDE w:val="0"/>
        <w:autoSpaceDN w:val="0"/>
        <w:adjustRightInd w:val="0"/>
        <w:spacing w:before="0" w:after="100" w:line="221" w:lineRule="atLeast"/>
        <w:rPr>
          <w:rFonts w:ascii="HelveticaNeueLT Std Lt" w:hAnsi="HelveticaNeueLT Std Lt" w:cs="HelveticaNeueLT Std Lt"/>
          <w:color w:val="000000"/>
          <w:szCs w:val="22"/>
          <w:lang w:eastAsia="en-AU"/>
        </w:rPr>
      </w:pPr>
      <w:r w:rsidRPr="002F4DD5">
        <w:rPr>
          <w:rFonts w:ascii="HelveticaNeueLT Std Lt" w:hAnsi="HelveticaNeueLT Std Lt" w:cs="HelveticaNeueLT Std Lt"/>
          <w:color w:val="000000"/>
          <w:szCs w:val="22"/>
          <w:lang w:eastAsia="en-AU"/>
        </w:rPr>
        <w:t xml:space="preserve">© Australian Government Department of Health and Aged Care </w:t>
      </w:r>
    </w:p>
    <w:p w14:paraId="275C795D" w14:textId="77777777" w:rsidR="002F4DD5" w:rsidRPr="002F4DD5" w:rsidRDefault="002F4DD5" w:rsidP="002F4DD5">
      <w:pPr>
        <w:autoSpaceDE w:val="0"/>
        <w:autoSpaceDN w:val="0"/>
        <w:adjustRightInd w:val="0"/>
        <w:spacing w:before="0" w:after="100" w:line="221" w:lineRule="atLeast"/>
        <w:rPr>
          <w:rFonts w:ascii="HelveticaNeueLT Std Lt" w:hAnsi="HelveticaNeueLT Std Lt" w:cs="HelveticaNeueLT Std Lt"/>
          <w:color w:val="000000"/>
          <w:szCs w:val="22"/>
          <w:lang w:eastAsia="en-AU"/>
        </w:rPr>
      </w:pPr>
      <w:r w:rsidRPr="002F4DD5">
        <w:rPr>
          <w:rFonts w:ascii="HelveticaNeueLT Std Lt" w:hAnsi="HelveticaNeueLT Std Lt" w:cs="HelveticaNeueLT Std Lt"/>
          <w:color w:val="000000"/>
          <w:szCs w:val="22"/>
          <w:lang w:eastAsia="en-AU"/>
        </w:rPr>
        <w:t xml:space="preserve">All material and work produced by the Department of Health and Aged Care is protected by copyright. The Department reserves the right to set out the terms and conditions for the use of such material. </w:t>
      </w:r>
    </w:p>
    <w:p w14:paraId="21A8A573" w14:textId="77777777" w:rsidR="002F4DD5" w:rsidRPr="002F4DD5" w:rsidRDefault="002F4DD5" w:rsidP="002F4DD5">
      <w:pPr>
        <w:autoSpaceDE w:val="0"/>
        <w:autoSpaceDN w:val="0"/>
        <w:adjustRightInd w:val="0"/>
        <w:spacing w:before="0" w:after="100" w:line="221" w:lineRule="atLeast"/>
        <w:rPr>
          <w:rFonts w:ascii="HelveticaNeueLT Std Lt" w:hAnsi="HelveticaNeueLT Std Lt" w:cs="HelveticaNeueLT Std Lt"/>
          <w:color w:val="000000"/>
          <w:szCs w:val="22"/>
          <w:lang w:eastAsia="en-AU"/>
        </w:rPr>
      </w:pPr>
      <w:r w:rsidRPr="002F4DD5">
        <w:rPr>
          <w:rFonts w:ascii="HelveticaNeueLT Std Lt" w:hAnsi="HelveticaNeueLT Std Lt" w:cs="HelveticaNeueLT Std Lt"/>
          <w:color w:val="000000"/>
          <w:szCs w:val="22"/>
          <w:lang w:eastAsia="en-AU"/>
        </w:rPr>
        <w:t xml:space="preserve">Enquiries about the licence and any use of this publication are welcome and can be sent to AMR@health.gov.au </w:t>
      </w:r>
    </w:p>
    <w:p w14:paraId="5DDFFD40" w14:textId="77777777" w:rsidR="002F4DD5" w:rsidRPr="002F4DD5" w:rsidRDefault="002F4DD5" w:rsidP="002F4DD5">
      <w:pPr>
        <w:autoSpaceDE w:val="0"/>
        <w:autoSpaceDN w:val="0"/>
        <w:adjustRightInd w:val="0"/>
        <w:spacing w:before="0" w:after="100" w:line="221" w:lineRule="atLeast"/>
        <w:rPr>
          <w:rFonts w:ascii="HelveticaNeueLT Std" w:hAnsi="HelveticaNeueLT Std" w:cs="HelveticaNeueLT Std"/>
          <w:color w:val="000000"/>
          <w:szCs w:val="22"/>
          <w:lang w:eastAsia="en-AU"/>
        </w:rPr>
      </w:pPr>
      <w:r w:rsidRPr="002F4DD5">
        <w:rPr>
          <w:rFonts w:ascii="HelveticaNeueLT Std" w:hAnsi="HelveticaNeueLT Std" w:cs="HelveticaNeueLT Std"/>
          <w:b/>
          <w:bCs/>
          <w:color w:val="000000"/>
          <w:szCs w:val="22"/>
          <w:lang w:eastAsia="en-AU"/>
        </w:rPr>
        <w:t xml:space="preserve">Preferred citation </w:t>
      </w:r>
    </w:p>
    <w:p w14:paraId="75035D3C" w14:textId="5A3468B8" w:rsidR="002F4DD5" w:rsidRPr="002F4DD5" w:rsidRDefault="002F4DD5" w:rsidP="002F4DD5">
      <w:pPr>
        <w:autoSpaceDE w:val="0"/>
        <w:autoSpaceDN w:val="0"/>
        <w:adjustRightInd w:val="0"/>
        <w:spacing w:before="0" w:after="200" w:line="221" w:lineRule="atLeast"/>
        <w:ind w:left="720"/>
        <w:rPr>
          <w:rFonts w:ascii="HelveticaNeueLT Std Lt" w:hAnsi="HelveticaNeueLT Std Lt" w:cs="HelveticaNeueLT Std Lt"/>
          <w:color w:val="000000"/>
          <w:szCs w:val="22"/>
          <w:lang w:eastAsia="en-AU"/>
        </w:rPr>
      </w:pPr>
      <w:r w:rsidRPr="002F4DD5">
        <w:rPr>
          <w:rFonts w:ascii="HelveticaNeueLT Std Lt" w:hAnsi="HelveticaNeueLT Std Lt" w:cs="HelveticaNeueLT Std Lt"/>
          <w:color w:val="000000"/>
          <w:szCs w:val="22"/>
          <w:lang w:eastAsia="en-AU"/>
        </w:rPr>
        <w:t>Royal Melbourne Hospital and the National Centre for Antimicrobial Stewardship. Surgical prophylaxis prescribing in Australian hospitals. Results of the 202</w:t>
      </w:r>
      <w:r w:rsidR="001222F5">
        <w:rPr>
          <w:rFonts w:ascii="HelveticaNeueLT Std Lt" w:hAnsi="HelveticaNeueLT Std Lt" w:cs="HelveticaNeueLT Std Lt"/>
          <w:color w:val="000000"/>
          <w:szCs w:val="22"/>
          <w:lang w:eastAsia="en-AU"/>
        </w:rPr>
        <w:t>1</w:t>
      </w:r>
      <w:r w:rsidRPr="002F4DD5">
        <w:rPr>
          <w:rFonts w:ascii="HelveticaNeueLT Std Lt" w:hAnsi="HelveticaNeueLT Std Lt" w:cs="HelveticaNeueLT Std Lt"/>
          <w:color w:val="000000"/>
          <w:szCs w:val="22"/>
          <w:lang w:eastAsia="en-AU"/>
        </w:rPr>
        <w:t xml:space="preserve"> </w:t>
      </w:r>
      <w:r w:rsidR="00722D24">
        <w:rPr>
          <w:rFonts w:ascii="HelveticaNeueLT Std Lt" w:hAnsi="HelveticaNeueLT Std Lt" w:cs="HelveticaNeueLT Std Lt"/>
          <w:color w:val="000000"/>
          <w:szCs w:val="22"/>
          <w:lang w:eastAsia="en-AU"/>
        </w:rPr>
        <w:t>Surgical</w:t>
      </w:r>
      <w:r w:rsidRPr="002F4DD5">
        <w:rPr>
          <w:rFonts w:ascii="HelveticaNeueLT Std Lt" w:hAnsi="HelveticaNeueLT Std Lt" w:cs="HelveticaNeueLT Std Lt"/>
          <w:color w:val="000000"/>
          <w:szCs w:val="22"/>
          <w:lang w:eastAsia="en-AU"/>
        </w:rPr>
        <w:t xml:space="preserve"> National Antimicrobial Prescribing Survey Canberra: Department of Health and Aged Care; 202</w:t>
      </w:r>
      <w:r w:rsidR="00C05F79">
        <w:rPr>
          <w:rFonts w:ascii="HelveticaNeueLT Std Lt" w:hAnsi="HelveticaNeueLT Std Lt" w:cs="HelveticaNeueLT Std Lt"/>
          <w:color w:val="000000"/>
          <w:szCs w:val="22"/>
          <w:lang w:eastAsia="en-AU"/>
        </w:rPr>
        <w:t>4</w:t>
      </w:r>
      <w:r w:rsidRPr="002F4DD5">
        <w:rPr>
          <w:rFonts w:ascii="HelveticaNeueLT Std Lt" w:hAnsi="HelveticaNeueLT Std Lt" w:cs="HelveticaNeueLT Std Lt"/>
          <w:color w:val="000000"/>
          <w:szCs w:val="22"/>
          <w:lang w:eastAsia="en-AU"/>
        </w:rPr>
        <w:t xml:space="preserve">. </w:t>
      </w:r>
    </w:p>
    <w:p w14:paraId="1D1CB099" w14:textId="77777777" w:rsidR="002F4DD5" w:rsidRPr="002F4DD5" w:rsidRDefault="002F4DD5" w:rsidP="002F4DD5">
      <w:pPr>
        <w:autoSpaceDE w:val="0"/>
        <w:autoSpaceDN w:val="0"/>
        <w:adjustRightInd w:val="0"/>
        <w:spacing w:before="0" w:after="200" w:line="221" w:lineRule="atLeast"/>
        <w:rPr>
          <w:rFonts w:ascii="HelveticaNeueLT Std" w:hAnsi="HelveticaNeueLT Std" w:cs="HelveticaNeueLT Std"/>
          <w:color w:val="000000"/>
          <w:szCs w:val="22"/>
          <w:lang w:eastAsia="en-AU"/>
        </w:rPr>
      </w:pPr>
      <w:r w:rsidRPr="002F4DD5">
        <w:rPr>
          <w:rFonts w:ascii="HelveticaNeueLT Std" w:hAnsi="HelveticaNeueLT Std" w:cs="HelveticaNeueLT Std"/>
          <w:b/>
          <w:bCs/>
          <w:color w:val="000000"/>
          <w:szCs w:val="22"/>
          <w:lang w:eastAsia="en-AU"/>
        </w:rPr>
        <w:t xml:space="preserve">Disclaimer </w:t>
      </w:r>
    </w:p>
    <w:p w14:paraId="70AFA356" w14:textId="77777777" w:rsidR="002F4DD5" w:rsidRPr="002F4DD5" w:rsidRDefault="002F4DD5" w:rsidP="002F4DD5">
      <w:pPr>
        <w:autoSpaceDE w:val="0"/>
        <w:autoSpaceDN w:val="0"/>
        <w:adjustRightInd w:val="0"/>
        <w:spacing w:before="0" w:after="200" w:line="221" w:lineRule="atLeast"/>
        <w:rPr>
          <w:rFonts w:ascii="HelveticaNeueLT Std Lt" w:hAnsi="HelveticaNeueLT Std Lt" w:cs="HelveticaNeueLT Std Lt"/>
          <w:color w:val="000000"/>
          <w:szCs w:val="22"/>
          <w:lang w:eastAsia="en-AU"/>
        </w:rPr>
      </w:pPr>
      <w:r w:rsidRPr="002F4DD5">
        <w:rPr>
          <w:rFonts w:ascii="HelveticaNeueLT Std Lt" w:hAnsi="HelveticaNeueLT Std Lt" w:cs="HelveticaNeueLT Std Lt"/>
          <w:color w:val="000000"/>
          <w:szCs w:val="22"/>
          <w:lang w:eastAsia="en-AU"/>
        </w:rPr>
        <w:t xml:space="preserve">This document is not intended to provide guidance on </w:t>
      </w:r>
      <w:proofErr w:type="gramStart"/>
      <w:r w:rsidRPr="002F4DD5">
        <w:rPr>
          <w:rFonts w:ascii="HelveticaNeueLT Std Lt" w:hAnsi="HelveticaNeueLT Std Lt" w:cs="HelveticaNeueLT Std Lt"/>
          <w:color w:val="000000"/>
          <w:szCs w:val="22"/>
          <w:lang w:eastAsia="en-AU"/>
        </w:rPr>
        <w:t>particular healthcare</w:t>
      </w:r>
      <w:proofErr w:type="gramEnd"/>
      <w:r w:rsidRPr="002F4DD5">
        <w:rPr>
          <w:rFonts w:ascii="HelveticaNeueLT Std Lt" w:hAnsi="HelveticaNeueLT Std Lt" w:cs="HelveticaNeueLT Std Lt"/>
          <w:color w:val="000000"/>
          <w:szCs w:val="22"/>
          <w:lang w:eastAsia="en-AU"/>
        </w:rPr>
        <w:t xml:space="preserve"> choices. You should contact your healthcare provider for advice on </w:t>
      </w:r>
      <w:proofErr w:type="gramStart"/>
      <w:r w:rsidRPr="002F4DD5">
        <w:rPr>
          <w:rFonts w:ascii="HelveticaNeueLT Std Lt" w:hAnsi="HelveticaNeueLT Std Lt" w:cs="HelveticaNeueLT Std Lt"/>
          <w:color w:val="000000"/>
          <w:szCs w:val="22"/>
          <w:lang w:eastAsia="en-AU"/>
        </w:rPr>
        <w:t>particular healthcare</w:t>
      </w:r>
      <w:proofErr w:type="gramEnd"/>
      <w:r w:rsidRPr="002F4DD5">
        <w:rPr>
          <w:rFonts w:ascii="HelveticaNeueLT Std Lt" w:hAnsi="HelveticaNeueLT Std Lt" w:cs="HelveticaNeueLT Std Lt"/>
          <w:color w:val="000000"/>
          <w:szCs w:val="22"/>
          <w:lang w:eastAsia="en-AU"/>
        </w:rPr>
        <w:t xml:space="preserve"> choices. </w:t>
      </w:r>
    </w:p>
    <w:p w14:paraId="1D1A1E91" w14:textId="761BF318" w:rsidR="002F4DD5" w:rsidRDefault="002F4DD5" w:rsidP="002F4DD5">
      <w:pPr>
        <w:spacing w:before="0" w:after="0" w:line="240" w:lineRule="auto"/>
        <w:rPr>
          <w:rFonts w:cs="Arial"/>
          <w:b/>
          <w:bCs/>
          <w:color w:val="3F4A75"/>
          <w:kern w:val="28"/>
          <w:sz w:val="44"/>
          <w:szCs w:val="36"/>
        </w:rPr>
      </w:pPr>
      <w:r w:rsidRPr="002F4DD5">
        <w:rPr>
          <w:rFonts w:ascii="HelveticaNeueLT Std Lt" w:hAnsi="HelveticaNeueLT Std Lt" w:cs="HelveticaNeueLT Std Lt"/>
          <w:color w:val="000000"/>
          <w:szCs w:val="22"/>
          <w:lang w:eastAsia="en-AU"/>
        </w:rPr>
        <w:t>This document includes the views or recommendations of its authors and third parties. Royal Me</w:t>
      </w:r>
      <w:r w:rsidR="002C1F28">
        <w:rPr>
          <w:rFonts w:ascii="HelveticaNeueLT Std Lt" w:hAnsi="HelveticaNeueLT Std Lt" w:cs="HelveticaNeueLT Std Lt"/>
          <w:color w:val="000000"/>
          <w:szCs w:val="22"/>
          <w:lang w:eastAsia="en-AU"/>
        </w:rPr>
        <w:t>l</w:t>
      </w:r>
      <w:r w:rsidRPr="002F4DD5">
        <w:rPr>
          <w:rFonts w:ascii="HelveticaNeueLT Std Lt" w:hAnsi="HelveticaNeueLT Std Lt" w:cs="HelveticaNeueLT Std Lt"/>
          <w:color w:val="000000"/>
          <w:szCs w:val="22"/>
          <w:lang w:eastAsia="en-AU"/>
        </w:rPr>
        <w:t xml:space="preserve">bourne Hospital, the National Centre for Antimicrobial Stewardship and the Department of Health and Aged Care do not accept any legal liability for any injury, loss or damage incurred </w:t>
      </w:r>
      <w:proofErr w:type="gramStart"/>
      <w:r w:rsidRPr="002F4DD5">
        <w:rPr>
          <w:rFonts w:ascii="HelveticaNeueLT Std Lt" w:hAnsi="HelveticaNeueLT Std Lt" w:cs="HelveticaNeueLT Std Lt"/>
          <w:color w:val="000000"/>
          <w:szCs w:val="22"/>
          <w:lang w:eastAsia="en-AU"/>
        </w:rPr>
        <w:t>by the use of</w:t>
      </w:r>
      <w:proofErr w:type="gramEnd"/>
      <w:r w:rsidRPr="002F4DD5">
        <w:rPr>
          <w:rFonts w:ascii="HelveticaNeueLT Std Lt" w:hAnsi="HelveticaNeueLT Std Lt" w:cs="HelveticaNeueLT Std Lt"/>
          <w:color w:val="000000"/>
          <w:szCs w:val="22"/>
          <w:lang w:eastAsia="en-AU"/>
        </w:rPr>
        <w:t>, or reliance on, this document.</w:t>
      </w:r>
      <w:r>
        <w:br w:type="page"/>
      </w:r>
    </w:p>
    <w:p w14:paraId="0E137220" w14:textId="77777777" w:rsidR="00100F6D" w:rsidRPr="00E842CE" w:rsidRDefault="00100F6D" w:rsidP="00100F6D">
      <w:pPr>
        <w:pStyle w:val="Heading1"/>
      </w:pPr>
      <w:r w:rsidRPr="00E842CE">
        <w:lastRenderedPageBreak/>
        <w:t>Contents</w:t>
      </w:r>
    </w:p>
    <w:p w14:paraId="1B0DFA1D" w14:textId="77777777" w:rsidR="00572F25" w:rsidRDefault="00572F25" w:rsidP="00572F25">
      <w:pPr>
        <w:pStyle w:val="TOC1"/>
        <w:rPr>
          <w:rFonts w:asciiTheme="minorHAnsi" w:eastAsiaTheme="minorEastAsia" w:hAnsiTheme="minorHAnsi" w:cstheme="minorBidi"/>
          <w:b w:val="0"/>
          <w:bCs w:val="0"/>
          <w:color w:val="auto"/>
          <w:szCs w:val="24"/>
          <w:lang w:eastAsia="en-GB"/>
        </w:rPr>
      </w:pPr>
      <w:r w:rsidRPr="00C23DFC">
        <w:rPr>
          <w:color w:val="2C5A6C"/>
        </w:rPr>
        <w:fldChar w:fldCharType="begin"/>
      </w:r>
      <w:r w:rsidRPr="00C23DFC">
        <w:rPr>
          <w:color w:val="2C5A6C"/>
        </w:rPr>
        <w:instrText xml:space="preserve"> TOC \o "1-2" \h \z \u </w:instrText>
      </w:r>
      <w:r w:rsidRPr="00C23DFC">
        <w:rPr>
          <w:color w:val="2C5A6C"/>
        </w:rPr>
        <w:fldChar w:fldCharType="separate"/>
      </w:r>
      <w:hyperlink w:anchor="_Toc126664191" w:history="1">
        <w:r w:rsidRPr="006D4D88">
          <w:rPr>
            <w:rStyle w:val="Hyperlink"/>
          </w:rPr>
          <w:t>Summary</w:t>
        </w:r>
        <w:r>
          <w:rPr>
            <w:webHidden/>
          </w:rPr>
          <w:tab/>
        </w:r>
        <w:r>
          <w:rPr>
            <w:webHidden/>
          </w:rPr>
          <w:fldChar w:fldCharType="begin"/>
        </w:r>
        <w:r>
          <w:rPr>
            <w:webHidden/>
          </w:rPr>
          <w:instrText xml:space="preserve"> PAGEREF _Toc126664191 \h </w:instrText>
        </w:r>
        <w:r>
          <w:rPr>
            <w:webHidden/>
          </w:rPr>
        </w:r>
        <w:r>
          <w:rPr>
            <w:webHidden/>
          </w:rPr>
          <w:fldChar w:fldCharType="separate"/>
        </w:r>
        <w:r w:rsidR="00F902DD">
          <w:rPr>
            <w:webHidden/>
          </w:rPr>
          <w:t>4</w:t>
        </w:r>
        <w:r>
          <w:rPr>
            <w:webHidden/>
          </w:rPr>
          <w:fldChar w:fldCharType="end"/>
        </w:r>
      </w:hyperlink>
    </w:p>
    <w:p w14:paraId="0240DEC4" w14:textId="77777777" w:rsidR="00572F25" w:rsidRDefault="00AA61F0" w:rsidP="00572F25">
      <w:pPr>
        <w:pStyle w:val="TOC2"/>
        <w:rPr>
          <w:rFonts w:asciiTheme="minorHAnsi" w:eastAsiaTheme="minorEastAsia" w:hAnsiTheme="minorHAnsi" w:cstheme="minorBidi"/>
          <w:noProof/>
          <w:sz w:val="24"/>
          <w:szCs w:val="24"/>
          <w:lang w:eastAsia="en-GB"/>
        </w:rPr>
      </w:pPr>
      <w:hyperlink w:anchor="_Toc126664192" w:history="1">
        <w:r w:rsidR="00572F25" w:rsidRPr="006D4D88">
          <w:rPr>
            <w:rStyle w:val="Hyperlink"/>
            <w:noProof/>
          </w:rPr>
          <w:t>Key findings of the 2021 Surgical NAPS</w:t>
        </w:r>
        <w:r w:rsidR="00572F25">
          <w:rPr>
            <w:noProof/>
            <w:webHidden/>
          </w:rPr>
          <w:tab/>
        </w:r>
        <w:r w:rsidR="00572F25">
          <w:rPr>
            <w:noProof/>
            <w:webHidden/>
          </w:rPr>
          <w:fldChar w:fldCharType="begin"/>
        </w:r>
        <w:r w:rsidR="00572F25">
          <w:rPr>
            <w:noProof/>
            <w:webHidden/>
          </w:rPr>
          <w:instrText xml:space="preserve"> PAGEREF _Toc126664192 \h </w:instrText>
        </w:r>
        <w:r w:rsidR="00572F25">
          <w:rPr>
            <w:noProof/>
            <w:webHidden/>
          </w:rPr>
        </w:r>
        <w:r w:rsidR="00572F25">
          <w:rPr>
            <w:noProof/>
            <w:webHidden/>
          </w:rPr>
          <w:fldChar w:fldCharType="separate"/>
        </w:r>
        <w:r w:rsidR="00F902DD">
          <w:rPr>
            <w:noProof/>
            <w:webHidden/>
          </w:rPr>
          <w:t>4</w:t>
        </w:r>
        <w:r w:rsidR="00572F25">
          <w:rPr>
            <w:noProof/>
            <w:webHidden/>
          </w:rPr>
          <w:fldChar w:fldCharType="end"/>
        </w:r>
      </w:hyperlink>
    </w:p>
    <w:p w14:paraId="0DAEA979" w14:textId="77777777" w:rsidR="00572F25" w:rsidRDefault="00AA61F0" w:rsidP="00572F25">
      <w:pPr>
        <w:pStyle w:val="TOC1"/>
        <w:tabs>
          <w:tab w:val="left" w:pos="442"/>
        </w:tabs>
        <w:rPr>
          <w:rFonts w:asciiTheme="minorHAnsi" w:eastAsiaTheme="minorEastAsia" w:hAnsiTheme="minorHAnsi" w:cstheme="minorBidi"/>
          <w:b w:val="0"/>
          <w:bCs w:val="0"/>
          <w:color w:val="auto"/>
          <w:szCs w:val="24"/>
          <w:lang w:eastAsia="en-GB"/>
        </w:rPr>
      </w:pPr>
      <w:hyperlink w:anchor="_Toc126664193" w:history="1">
        <w:r w:rsidR="00572F25" w:rsidRPr="006D4D88">
          <w:rPr>
            <w:rStyle w:val="Hyperlink"/>
          </w:rPr>
          <w:t>1</w:t>
        </w:r>
        <w:r w:rsidR="00572F25">
          <w:rPr>
            <w:rFonts w:asciiTheme="minorHAnsi" w:eastAsiaTheme="minorEastAsia" w:hAnsiTheme="minorHAnsi" w:cstheme="minorBidi"/>
            <w:b w:val="0"/>
            <w:bCs w:val="0"/>
            <w:color w:val="auto"/>
            <w:szCs w:val="24"/>
            <w:lang w:eastAsia="en-GB"/>
          </w:rPr>
          <w:tab/>
        </w:r>
        <w:r w:rsidR="00572F25" w:rsidRPr="006D4D88">
          <w:rPr>
            <w:rStyle w:val="Hyperlink"/>
          </w:rPr>
          <w:t>Introduction</w:t>
        </w:r>
        <w:r w:rsidR="00572F25">
          <w:rPr>
            <w:webHidden/>
          </w:rPr>
          <w:tab/>
        </w:r>
        <w:r w:rsidR="00572F25">
          <w:rPr>
            <w:webHidden/>
          </w:rPr>
          <w:fldChar w:fldCharType="begin"/>
        </w:r>
        <w:r w:rsidR="00572F25">
          <w:rPr>
            <w:webHidden/>
          </w:rPr>
          <w:instrText xml:space="preserve"> PAGEREF _Toc126664193 \h </w:instrText>
        </w:r>
        <w:r w:rsidR="00572F25">
          <w:rPr>
            <w:webHidden/>
          </w:rPr>
        </w:r>
        <w:r w:rsidR="00572F25">
          <w:rPr>
            <w:webHidden/>
          </w:rPr>
          <w:fldChar w:fldCharType="separate"/>
        </w:r>
        <w:r w:rsidR="00F902DD">
          <w:rPr>
            <w:webHidden/>
          </w:rPr>
          <w:t>5</w:t>
        </w:r>
        <w:r w:rsidR="00572F25">
          <w:rPr>
            <w:webHidden/>
          </w:rPr>
          <w:fldChar w:fldCharType="end"/>
        </w:r>
      </w:hyperlink>
    </w:p>
    <w:p w14:paraId="00A83724" w14:textId="77777777" w:rsidR="00572F25" w:rsidRDefault="00AA61F0" w:rsidP="00572F25">
      <w:pPr>
        <w:pStyle w:val="TOC1"/>
        <w:tabs>
          <w:tab w:val="left" w:pos="442"/>
        </w:tabs>
        <w:rPr>
          <w:rFonts w:asciiTheme="minorHAnsi" w:eastAsiaTheme="minorEastAsia" w:hAnsiTheme="minorHAnsi" w:cstheme="minorBidi"/>
          <w:b w:val="0"/>
          <w:bCs w:val="0"/>
          <w:color w:val="auto"/>
          <w:szCs w:val="24"/>
          <w:lang w:eastAsia="en-GB"/>
        </w:rPr>
      </w:pPr>
      <w:hyperlink w:anchor="_Toc126664196" w:history="1">
        <w:r w:rsidR="00572F25" w:rsidRPr="006D4D88">
          <w:rPr>
            <w:rStyle w:val="Hyperlink"/>
          </w:rPr>
          <w:t>2</w:t>
        </w:r>
        <w:r w:rsidR="00572F25">
          <w:rPr>
            <w:rFonts w:asciiTheme="minorHAnsi" w:eastAsiaTheme="minorEastAsia" w:hAnsiTheme="minorHAnsi" w:cstheme="minorBidi"/>
            <w:b w:val="0"/>
            <w:bCs w:val="0"/>
            <w:color w:val="auto"/>
            <w:szCs w:val="24"/>
            <w:lang w:eastAsia="en-GB"/>
          </w:rPr>
          <w:tab/>
        </w:r>
        <w:r w:rsidR="00572F25" w:rsidRPr="006D4D88">
          <w:rPr>
            <w:rStyle w:val="Hyperlink"/>
          </w:rPr>
          <w:t>Methodology</w:t>
        </w:r>
        <w:r w:rsidR="00572F25">
          <w:rPr>
            <w:webHidden/>
          </w:rPr>
          <w:tab/>
        </w:r>
        <w:r w:rsidR="00572F25">
          <w:rPr>
            <w:webHidden/>
          </w:rPr>
          <w:fldChar w:fldCharType="begin"/>
        </w:r>
        <w:r w:rsidR="00572F25">
          <w:rPr>
            <w:webHidden/>
          </w:rPr>
          <w:instrText xml:space="preserve"> PAGEREF _Toc126664196 \h </w:instrText>
        </w:r>
        <w:r w:rsidR="00572F25">
          <w:rPr>
            <w:webHidden/>
          </w:rPr>
        </w:r>
        <w:r w:rsidR="00572F25">
          <w:rPr>
            <w:webHidden/>
          </w:rPr>
          <w:fldChar w:fldCharType="separate"/>
        </w:r>
        <w:r w:rsidR="00F902DD">
          <w:rPr>
            <w:webHidden/>
          </w:rPr>
          <w:t>7</w:t>
        </w:r>
        <w:r w:rsidR="00572F25">
          <w:rPr>
            <w:webHidden/>
          </w:rPr>
          <w:fldChar w:fldCharType="end"/>
        </w:r>
      </w:hyperlink>
    </w:p>
    <w:p w14:paraId="505822B0" w14:textId="77777777" w:rsidR="00572F25" w:rsidRDefault="00AA61F0" w:rsidP="00572F25">
      <w:pPr>
        <w:pStyle w:val="TOC2"/>
        <w:rPr>
          <w:rFonts w:asciiTheme="minorHAnsi" w:eastAsiaTheme="minorEastAsia" w:hAnsiTheme="minorHAnsi" w:cstheme="minorBidi"/>
          <w:noProof/>
          <w:sz w:val="24"/>
          <w:szCs w:val="24"/>
          <w:lang w:eastAsia="en-GB"/>
        </w:rPr>
      </w:pPr>
      <w:hyperlink w:anchor="_Toc126664197" w:history="1">
        <w:r w:rsidR="00572F25" w:rsidRPr="006D4D88">
          <w:rPr>
            <w:rStyle w:val="Hyperlink"/>
            <w:noProof/>
            <w14:scene3d>
              <w14:camera w14:prst="orthographicFront"/>
              <w14:lightRig w14:rig="threePt" w14:dir="t">
                <w14:rot w14:lat="0" w14:lon="0" w14:rev="0"/>
              </w14:lightRig>
            </w14:scene3d>
          </w:rPr>
          <w:t>2.1</w:t>
        </w:r>
        <w:r w:rsidR="00572F25">
          <w:rPr>
            <w:rFonts w:asciiTheme="minorHAnsi" w:eastAsiaTheme="minorEastAsia" w:hAnsiTheme="minorHAnsi" w:cstheme="minorBidi"/>
            <w:noProof/>
            <w:sz w:val="24"/>
            <w:szCs w:val="24"/>
            <w:lang w:eastAsia="en-GB"/>
          </w:rPr>
          <w:tab/>
        </w:r>
        <w:r w:rsidR="00572F25" w:rsidRPr="006D4D88">
          <w:rPr>
            <w:rStyle w:val="Hyperlink"/>
            <w:noProof/>
          </w:rPr>
          <w:t>Data collection</w:t>
        </w:r>
        <w:r w:rsidR="00572F25">
          <w:rPr>
            <w:noProof/>
            <w:webHidden/>
          </w:rPr>
          <w:tab/>
        </w:r>
        <w:r w:rsidR="00572F25">
          <w:rPr>
            <w:noProof/>
            <w:webHidden/>
          </w:rPr>
          <w:fldChar w:fldCharType="begin"/>
        </w:r>
        <w:r w:rsidR="00572F25">
          <w:rPr>
            <w:noProof/>
            <w:webHidden/>
          </w:rPr>
          <w:instrText xml:space="preserve"> PAGEREF _Toc126664197 \h </w:instrText>
        </w:r>
        <w:r w:rsidR="00572F25">
          <w:rPr>
            <w:noProof/>
            <w:webHidden/>
          </w:rPr>
        </w:r>
        <w:r w:rsidR="00572F25">
          <w:rPr>
            <w:noProof/>
            <w:webHidden/>
          </w:rPr>
          <w:fldChar w:fldCharType="separate"/>
        </w:r>
        <w:r w:rsidR="00F902DD">
          <w:rPr>
            <w:noProof/>
            <w:webHidden/>
          </w:rPr>
          <w:t>7</w:t>
        </w:r>
        <w:r w:rsidR="00572F25">
          <w:rPr>
            <w:noProof/>
            <w:webHidden/>
          </w:rPr>
          <w:fldChar w:fldCharType="end"/>
        </w:r>
      </w:hyperlink>
    </w:p>
    <w:p w14:paraId="6037A622" w14:textId="77777777" w:rsidR="00572F25" w:rsidRDefault="00AA61F0" w:rsidP="00572F25">
      <w:pPr>
        <w:pStyle w:val="TOC2"/>
        <w:rPr>
          <w:rFonts w:asciiTheme="minorHAnsi" w:eastAsiaTheme="minorEastAsia" w:hAnsiTheme="minorHAnsi" w:cstheme="minorBidi"/>
          <w:noProof/>
          <w:sz w:val="24"/>
          <w:szCs w:val="24"/>
          <w:lang w:eastAsia="en-GB"/>
        </w:rPr>
      </w:pPr>
      <w:hyperlink w:anchor="_Toc126664198" w:history="1">
        <w:r w:rsidR="00572F25" w:rsidRPr="006D4D88">
          <w:rPr>
            <w:rStyle w:val="Hyperlink"/>
            <w:noProof/>
            <w14:scene3d>
              <w14:camera w14:prst="orthographicFront"/>
              <w14:lightRig w14:rig="threePt" w14:dir="t">
                <w14:rot w14:lat="0" w14:lon="0" w14:rev="0"/>
              </w14:lightRig>
            </w14:scene3d>
          </w:rPr>
          <w:t>2.2</w:t>
        </w:r>
        <w:r w:rsidR="00572F25">
          <w:rPr>
            <w:rFonts w:asciiTheme="minorHAnsi" w:eastAsiaTheme="minorEastAsia" w:hAnsiTheme="minorHAnsi" w:cstheme="minorBidi"/>
            <w:noProof/>
            <w:sz w:val="24"/>
            <w:szCs w:val="24"/>
            <w:lang w:eastAsia="en-GB"/>
          </w:rPr>
          <w:tab/>
        </w:r>
        <w:r w:rsidR="00572F25" w:rsidRPr="006D4D88">
          <w:rPr>
            <w:rStyle w:val="Hyperlink"/>
            <w:noProof/>
          </w:rPr>
          <w:t>Auditor education and support</w:t>
        </w:r>
        <w:r w:rsidR="00572F25">
          <w:rPr>
            <w:noProof/>
            <w:webHidden/>
          </w:rPr>
          <w:tab/>
        </w:r>
        <w:r w:rsidR="00572F25">
          <w:rPr>
            <w:noProof/>
            <w:webHidden/>
          </w:rPr>
          <w:fldChar w:fldCharType="begin"/>
        </w:r>
        <w:r w:rsidR="00572F25">
          <w:rPr>
            <w:noProof/>
            <w:webHidden/>
          </w:rPr>
          <w:instrText xml:space="preserve"> PAGEREF _Toc126664198 \h </w:instrText>
        </w:r>
        <w:r w:rsidR="00572F25">
          <w:rPr>
            <w:noProof/>
            <w:webHidden/>
          </w:rPr>
        </w:r>
        <w:r w:rsidR="00572F25">
          <w:rPr>
            <w:noProof/>
            <w:webHidden/>
          </w:rPr>
          <w:fldChar w:fldCharType="separate"/>
        </w:r>
        <w:r w:rsidR="00F902DD">
          <w:rPr>
            <w:noProof/>
            <w:webHidden/>
          </w:rPr>
          <w:t>8</w:t>
        </w:r>
        <w:r w:rsidR="00572F25">
          <w:rPr>
            <w:noProof/>
            <w:webHidden/>
          </w:rPr>
          <w:fldChar w:fldCharType="end"/>
        </w:r>
      </w:hyperlink>
    </w:p>
    <w:p w14:paraId="51ED56BE" w14:textId="77777777" w:rsidR="00572F25" w:rsidRDefault="00AA61F0" w:rsidP="00572F25">
      <w:pPr>
        <w:pStyle w:val="TOC2"/>
        <w:rPr>
          <w:rFonts w:asciiTheme="minorHAnsi" w:eastAsiaTheme="minorEastAsia" w:hAnsiTheme="minorHAnsi" w:cstheme="minorBidi"/>
          <w:noProof/>
          <w:sz w:val="24"/>
          <w:szCs w:val="24"/>
          <w:lang w:eastAsia="en-GB"/>
        </w:rPr>
      </w:pPr>
      <w:hyperlink w:anchor="_Toc126664199" w:history="1">
        <w:r w:rsidR="00572F25" w:rsidRPr="006D4D88">
          <w:rPr>
            <w:rStyle w:val="Hyperlink"/>
            <w:noProof/>
            <w14:scene3d>
              <w14:camera w14:prst="orthographicFront"/>
              <w14:lightRig w14:rig="threePt" w14:dir="t">
                <w14:rot w14:lat="0" w14:lon="0" w14:rev="0"/>
              </w14:lightRig>
            </w14:scene3d>
          </w:rPr>
          <w:t>2.3</w:t>
        </w:r>
        <w:r w:rsidR="00572F25">
          <w:rPr>
            <w:rFonts w:asciiTheme="minorHAnsi" w:eastAsiaTheme="minorEastAsia" w:hAnsiTheme="minorHAnsi" w:cstheme="minorBidi"/>
            <w:noProof/>
            <w:sz w:val="24"/>
            <w:szCs w:val="24"/>
            <w:lang w:eastAsia="en-GB"/>
          </w:rPr>
          <w:tab/>
        </w:r>
        <w:r w:rsidR="00572F25" w:rsidRPr="006D4D88">
          <w:rPr>
            <w:rStyle w:val="Hyperlink"/>
            <w:noProof/>
          </w:rPr>
          <w:t>Data cleaning</w:t>
        </w:r>
        <w:r w:rsidR="00572F25">
          <w:rPr>
            <w:noProof/>
            <w:webHidden/>
          </w:rPr>
          <w:tab/>
        </w:r>
        <w:r w:rsidR="00572F25">
          <w:rPr>
            <w:noProof/>
            <w:webHidden/>
          </w:rPr>
          <w:fldChar w:fldCharType="begin"/>
        </w:r>
        <w:r w:rsidR="00572F25">
          <w:rPr>
            <w:noProof/>
            <w:webHidden/>
          </w:rPr>
          <w:instrText xml:space="preserve"> PAGEREF _Toc126664199 \h </w:instrText>
        </w:r>
        <w:r w:rsidR="00572F25">
          <w:rPr>
            <w:noProof/>
            <w:webHidden/>
          </w:rPr>
        </w:r>
        <w:r w:rsidR="00572F25">
          <w:rPr>
            <w:noProof/>
            <w:webHidden/>
          </w:rPr>
          <w:fldChar w:fldCharType="separate"/>
        </w:r>
        <w:r w:rsidR="00F902DD">
          <w:rPr>
            <w:noProof/>
            <w:webHidden/>
          </w:rPr>
          <w:t>8</w:t>
        </w:r>
        <w:r w:rsidR="00572F25">
          <w:rPr>
            <w:noProof/>
            <w:webHidden/>
          </w:rPr>
          <w:fldChar w:fldCharType="end"/>
        </w:r>
      </w:hyperlink>
    </w:p>
    <w:p w14:paraId="1925A28C" w14:textId="77777777" w:rsidR="00572F25" w:rsidRDefault="00AA61F0" w:rsidP="00572F25">
      <w:pPr>
        <w:pStyle w:val="TOC2"/>
        <w:rPr>
          <w:rFonts w:asciiTheme="minorHAnsi" w:eastAsiaTheme="minorEastAsia" w:hAnsiTheme="minorHAnsi" w:cstheme="minorBidi"/>
          <w:noProof/>
          <w:sz w:val="24"/>
          <w:szCs w:val="24"/>
          <w:lang w:eastAsia="en-GB"/>
        </w:rPr>
      </w:pPr>
      <w:hyperlink w:anchor="_Toc126664200" w:history="1">
        <w:r w:rsidR="00572F25" w:rsidRPr="006D4D88">
          <w:rPr>
            <w:rStyle w:val="Hyperlink"/>
            <w:noProof/>
            <w14:scene3d>
              <w14:camera w14:prst="orthographicFront"/>
              <w14:lightRig w14:rig="threePt" w14:dir="t">
                <w14:rot w14:lat="0" w14:lon="0" w14:rev="0"/>
              </w14:lightRig>
            </w14:scene3d>
          </w:rPr>
          <w:t>2.4</w:t>
        </w:r>
        <w:r w:rsidR="00572F25">
          <w:rPr>
            <w:rFonts w:asciiTheme="minorHAnsi" w:eastAsiaTheme="minorEastAsia" w:hAnsiTheme="minorHAnsi" w:cstheme="minorBidi"/>
            <w:noProof/>
            <w:sz w:val="24"/>
            <w:szCs w:val="24"/>
            <w:lang w:eastAsia="en-GB"/>
          </w:rPr>
          <w:tab/>
        </w:r>
        <w:r w:rsidR="00572F25" w:rsidRPr="006D4D88">
          <w:rPr>
            <w:rStyle w:val="Hyperlink"/>
            <w:noProof/>
          </w:rPr>
          <w:t>Data analysis</w:t>
        </w:r>
        <w:r w:rsidR="00572F25">
          <w:rPr>
            <w:noProof/>
            <w:webHidden/>
          </w:rPr>
          <w:tab/>
        </w:r>
        <w:r w:rsidR="00572F25">
          <w:rPr>
            <w:noProof/>
            <w:webHidden/>
          </w:rPr>
          <w:fldChar w:fldCharType="begin"/>
        </w:r>
        <w:r w:rsidR="00572F25">
          <w:rPr>
            <w:noProof/>
            <w:webHidden/>
          </w:rPr>
          <w:instrText xml:space="preserve"> PAGEREF _Toc126664200 \h </w:instrText>
        </w:r>
        <w:r w:rsidR="00572F25">
          <w:rPr>
            <w:noProof/>
            <w:webHidden/>
          </w:rPr>
        </w:r>
        <w:r w:rsidR="00572F25">
          <w:rPr>
            <w:noProof/>
            <w:webHidden/>
          </w:rPr>
          <w:fldChar w:fldCharType="separate"/>
        </w:r>
        <w:r w:rsidR="00F902DD">
          <w:rPr>
            <w:noProof/>
            <w:webHidden/>
          </w:rPr>
          <w:t>8</w:t>
        </w:r>
        <w:r w:rsidR="00572F25">
          <w:rPr>
            <w:noProof/>
            <w:webHidden/>
          </w:rPr>
          <w:fldChar w:fldCharType="end"/>
        </w:r>
      </w:hyperlink>
    </w:p>
    <w:p w14:paraId="53D9A16F" w14:textId="77777777" w:rsidR="00572F25" w:rsidRDefault="00AA61F0" w:rsidP="00572F25">
      <w:pPr>
        <w:pStyle w:val="TOC1"/>
        <w:tabs>
          <w:tab w:val="left" w:pos="442"/>
        </w:tabs>
        <w:rPr>
          <w:rFonts w:asciiTheme="minorHAnsi" w:eastAsiaTheme="minorEastAsia" w:hAnsiTheme="minorHAnsi" w:cstheme="minorBidi"/>
          <w:b w:val="0"/>
          <w:bCs w:val="0"/>
          <w:color w:val="auto"/>
          <w:szCs w:val="24"/>
          <w:lang w:eastAsia="en-GB"/>
        </w:rPr>
      </w:pPr>
      <w:hyperlink w:anchor="_Toc126664201" w:history="1">
        <w:r w:rsidR="00572F25" w:rsidRPr="006D4D88">
          <w:rPr>
            <w:rStyle w:val="Hyperlink"/>
          </w:rPr>
          <w:t>3</w:t>
        </w:r>
        <w:r w:rsidR="00572F25">
          <w:rPr>
            <w:rFonts w:asciiTheme="minorHAnsi" w:eastAsiaTheme="minorEastAsia" w:hAnsiTheme="minorHAnsi" w:cstheme="minorBidi"/>
            <w:b w:val="0"/>
            <w:bCs w:val="0"/>
            <w:color w:val="auto"/>
            <w:szCs w:val="24"/>
            <w:lang w:eastAsia="en-GB"/>
          </w:rPr>
          <w:tab/>
        </w:r>
        <w:r w:rsidR="00572F25" w:rsidRPr="006D4D88">
          <w:rPr>
            <w:rStyle w:val="Hyperlink"/>
          </w:rPr>
          <w:t>Key findings</w:t>
        </w:r>
        <w:r w:rsidR="00572F25">
          <w:rPr>
            <w:webHidden/>
          </w:rPr>
          <w:tab/>
        </w:r>
        <w:r w:rsidR="00572F25">
          <w:rPr>
            <w:webHidden/>
          </w:rPr>
          <w:fldChar w:fldCharType="begin"/>
        </w:r>
        <w:r w:rsidR="00572F25">
          <w:rPr>
            <w:webHidden/>
          </w:rPr>
          <w:instrText xml:space="preserve"> PAGEREF _Toc126664201 \h </w:instrText>
        </w:r>
        <w:r w:rsidR="00572F25">
          <w:rPr>
            <w:webHidden/>
          </w:rPr>
        </w:r>
        <w:r w:rsidR="00572F25">
          <w:rPr>
            <w:webHidden/>
          </w:rPr>
          <w:fldChar w:fldCharType="separate"/>
        </w:r>
        <w:r w:rsidR="00F902DD">
          <w:rPr>
            <w:webHidden/>
          </w:rPr>
          <w:t>12</w:t>
        </w:r>
        <w:r w:rsidR="00572F25">
          <w:rPr>
            <w:webHidden/>
          </w:rPr>
          <w:fldChar w:fldCharType="end"/>
        </w:r>
      </w:hyperlink>
    </w:p>
    <w:p w14:paraId="5F131197" w14:textId="77777777" w:rsidR="00572F25" w:rsidRDefault="00AA61F0" w:rsidP="00572F25">
      <w:pPr>
        <w:pStyle w:val="TOC2"/>
        <w:rPr>
          <w:rFonts w:asciiTheme="minorHAnsi" w:eastAsiaTheme="minorEastAsia" w:hAnsiTheme="minorHAnsi" w:cstheme="minorBidi"/>
          <w:noProof/>
          <w:sz w:val="24"/>
          <w:szCs w:val="24"/>
          <w:lang w:eastAsia="en-GB"/>
        </w:rPr>
      </w:pPr>
      <w:hyperlink w:anchor="_Toc126664202" w:history="1">
        <w:r w:rsidR="00572F25" w:rsidRPr="006D4D88">
          <w:rPr>
            <w:rStyle w:val="Hyperlink"/>
            <w:noProof/>
          </w:rPr>
          <w:t xml:space="preserve">3.1 </w:t>
        </w:r>
        <w:r w:rsidR="00572F25">
          <w:rPr>
            <w:rFonts w:asciiTheme="minorHAnsi" w:eastAsiaTheme="minorEastAsia" w:hAnsiTheme="minorHAnsi" w:cstheme="minorBidi"/>
            <w:noProof/>
            <w:sz w:val="24"/>
            <w:szCs w:val="24"/>
            <w:lang w:eastAsia="en-GB"/>
          </w:rPr>
          <w:tab/>
        </w:r>
        <w:r w:rsidR="00572F25" w:rsidRPr="006D4D88">
          <w:rPr>
            <w:rStyle w:val="Hyperlink"/>
            <w:noProof/>
          </w:rPr>
          <w:t>Overall findings</w:t>
        </w:r>
        <w:r w:rsidR="00572F25">
          <w:rPr>
            <w:noProof/>
            <w:webHidden/>
          </w:rPr>
          <w:tab/>
        </w:r>
        <w:r w:rsidR="00572F25">
          <w:rPr>
            <w:noProof/>
            <w:webHidden/>
          </w:rPr>
          <w:fldChar w:fldCharType="begin"/>
        </w:r>
        <w:r w:rsidR="00572F25">
          <w:rPr>
            <w:noProof/>
            <w:webHidden/>
          </w:rPr>
          <w:instrText xml:space="preserve"> PAGEREF _Toc126664202 \h </w:instrText>
        </w:r>
        <w:r w:rsidR="00572F25">
          <w:rPr>
            <w:noProof/>
            <w:webHidden/>
          </w:rPr>
        </w:r>
        <w:r w:rsidR="00572F25">
          <w:rPr>
            <w:noProof/>
            <w:webHidden/>
          </w:rPr>
          <w:fldChar w:fldCharType="separate"/>
        </w:r>
        <w:r w:rsidR="00F902DD">
          <w:rPr>
            <w:noProof/>
            <w:webHidden/>
          </w:rPr>
          <w:t>12</w:t>
        </w:r>
        <w:r w:rsidR="00572F25">
          <w:rPr>
            <w:noProof/>
            <w:webHidden/>
          </w:rPr>
          <w:fldChar w:fldCharType="end"/>
        </w:r>
      </w:hyperlink>
    </w:p>
    <w:p w14:paraId="7996A7C4" w14:textId="77777777" w:rsidR="00572F25" w:rsidRDefault="00AA61F0" w:rsidP="00572F25">
      <w:pPr>
        <w:pStyle w:val="TOC2"/>
        <w:rPr>
          <w:rFonts w:asciiTheme="minorHAnsi" w:eastAsiaTheme="minorEastAsia" w:hAnsiTheme="minorHAnsi" w:cstheme="minorBidi"/>
          <w:noProof/>
          <w:sz w:val="24"/>
          <w:szCs w:val="24"/>
          <w:lang w:eastAsia="en-GB"/>
        </w:rPr>
      </w:pPr>
      <w:hyperlink w:anchor="_Toc126664205" w:history="1">
        <w:r w:rsidR="00572F25" w:rsidRPr="006D4D88">
          <w:rPr>
            <w:rStyle w:val="Hyperlink"/>
            <w:noProof/>
            <w14:scene3d>
              <w14:camera w14:prst="orthographicFront"/>
              <w14:lightRig w14:rig="threePt" w14:dir="t">
                <w14:rot w14:lat="0" w14:lon="0" w14:rev="0"/>
              </w14:lightRig>
            </w14:scene3d>
          </w:rPr>
          <w:t>3.2</w:t>
        </w:r>
        <w:r w:rsidR="00572F25">
          <w:rPr>
            <w:rFonts w:asciiTheme="minorHAnsi" w:eastAsiaTheme="minorEastAsia" w:hAnsiTheme="minorHAnsi" w:cstheme="minorBidi"/>
            <w:noProof/>
            <w:sz w:val="24"/>
            <w:szCs w:val="24"/>
            <w:lang w:eastAsia="en-GB"/>
          </w:rPr>
          <w:tab/>
        </w:r>
        <w:r w:rsidR="00572F25" w:rsidRPr="006D4D88">
          <w:rPr>
            <w:rStyle w:val="Hyperlink"/>
            <w:noProof/>
          </w:rPr>
          <w:t>Key performance indicators</w:t>
        </w:r>
        <w:r w:rsidR="00572F25">
          <w:rPr>
            <w:noProof/>
            <w:webHidden/>
          </w:rPr>
          <w:tab/>
        </w:r>
        <w:r w:rsidR="00572F25">
          <w:rPr>
            <w:noProof/>
            <w:webHidden/>
          </w:rPr>
          <w:fldChar w:fldCharType="begin"/>
        </w:r>
        <w:r w:rsidR="00572F25">
          <w:rPr>
            <w:noProof/>
            <w:webHidden/>
          </w:rPr>
          <w:instrText xml:space="preserve"> PAGEREF _Toc126664205 \h </w:instrText>
        </w:r>
        <w:r w:rsidR="00572F25">
          <w:rPr>
            <w:noProof/>
            <w:webHidden/>
          </w:rPr>
        </w:r>
        <w:r w:rsidR="00572F25">
          <w:rPr>
            <w:noProof/>
            <w:webHidden/>
          </w:rPr>
          <w:fldChar w:fldCharType="separate"/>
        </w:r>
        <w:r w:rsidR="00F902DD">
          <w:rPr>
            <w:noProof/>
            <w:webHidden/>
          </w:rPr>
          <w:t>15</w:t>
        </w:r>
        <w:r w:rsidR="00572F25">
          <w:rPr>
            <w:noProof/>
            <w:webHidden/>
          </w:rPr>
          <w:fldChar w:fldCharType="end"/>
        </w:r>
      </w:hyperlink>
    </w:p>
    <w:p w14:paraId="23AF0935" w14:textId="77777777" w:rsidR="00572F25" w:rsidRDefault="00AA61F0" w:rsidP="00572F25">
      <w:pPr>
        <w:pStyle w:val="TOC2"/>
        <w:rPr>
          <w:rFonts w:asciiTheme="minorHAnsi" w:eastAsiaTheme="minorEastAsia" w:hAnsiTheme="minorHAnsi" w:cstheme="minorBidi"/>
          <w:noProof/>
          <w:sz w:val="24"/>
          <w:szCs w:val="24"/>
          <w:lang w:eastAsia="en-GB"/>
        </w:rPr>
      </w:pPr>
      <w:hyperlink w:anchor="_Toc126664206" w:history="1">
        <w:r w:rsidR="00572F25" w:rsidRPr="006D4D88">
          <w:rPr>
            <w:rStyle w:val="Hyperlink"/>
            <w:noProof/>
            <w14:scene3d>
              <w14:camera w14:prst="orthographicFront"/>
              <w14:lightRig w14:rig="threePt" w14:dir="t">
                <w14:rot w14:lat="0" w14:lon="0" w14:rev="0"/>
              </w14:lightRig>
            </w14:scene3d>
          </w:rPr>
          <w:t>3.3</w:t>
        </w:r>
        <w:r w:rsidR="00572F25">
          <w:rPr>
            <w:rFonts w:asciiTheme="minorHAnsi" w:eastAsiaTheme="minorEastAsia" w:hAnsiTheme="minorHAnsi" w:cstheme="minorBidi"/>
            <w:noProof/>
            <w:sz w:val="24"/>
            <w:szCs w:val="24"/>
            <w:lang w:eastAsia="en-GB"/>
          </w:rPr>
          <w:tab/>
        </w:r>
        <w:r w:rsidR="00572F25" w:rsidRPr="006D4D88">
          <w:rPr>
            <w:rStyle w:val="Hyperlink"/>
            <w:noProof/>
          </w:rPr>
          <w:t>Impact of SARS-CoV-2 on the Surgical NAPS in 2021</w:t>
        </w:r>
        <w:r w:rsidR="00572F25">
          <w:rPr>
            <w:noProof/>
            <w:webHidden/>
          </w:rPr>
          <w:tab/>
        </w:r>
        <w:r w:rsidR="00572F25">
          <w:rPr>
            <w:noProof/>
            <w:webHidden/>
          </w:rPr>
          <w:fldChar w:fldCharType="begin"/>
        </w:r>
        <w:r w:rsidR="00572F25">
          <w:rPr>
            <w:noProof/>
            <w:webHidden/>
          </w:rPr>
          <w:instrText xml:space="preserve"> PAGEREF _Toc126664206 \h </w:instrText>
        </w:r>
        <w:r w:rsidR="00572F25">
          <w:rPr>
            <w:noProof/>
            <w:webHidden/>
          </w:rPr>
        </w:r>
        <w:r w:rsidR="00572F25">
          <w:rPr>
            <w:noProof/>
            <w:webHidden/>
          </w:rPr>
          <w:fldChar w:fldCharType="separate"/>
        </w:r>
        <w:r w:rsidR="00F902DD">
          <w:rPr>
            <w:noProof/>
            <w:webHidden/>
          </w:rPr>
          <w:t>24</w:t>
        </w:r>
        <w:r w:rsidR="00572F25">
          <w:rPr>
            <w:noProof/>
            <w:webHidden/>
          </w:rPr>
          <w:fldChar w:fldCharType="end"/>
        </w:r>
      </w:hyperlink>
    </w:p>
    <w:p w14:paraId="0D010B9A" w14:textId="77777777" w:rsidR="00572F25" w:rsidRDefault="00AA61F0" w:rsidP="00572F25">
      <w:pPr>
        <w:pStyle w:val="TOC1"/>
        <w:tabs>
          <w:tab w:val="left" w:pos="442"/>
        </w:tabs>
        <w:rPr>
          <w:rFonts w:asciiTheme="minorHAnsi" w:eastAsiaTheme="minorEastAsia" w:hAnsiTheme="minorHAnsi" w:cstheme="minorBidi"/>
          <w:b w:val="0"/>
          <w:bCs w:val="0"/>
          <w:color w:val="auto"/>
          <w:szCs w:val="24"/>
          <w:lang w:eastAsia="en-GB"/>
        </w:rPr>
      </w:pPr>
      <w:hyperlink w:anchor="_Toc126664207" w:history="1">
        <w:r w:rsidR="00572F25" w:rsidRPr="006D4D88">
          <w:rPr>
            <w:rStyle w:val="Hyperlink"/>
          </w:rPr>
          <w:t>4</w:t>
        </w:r>
        <w:r w:rsidR="00572F25">
          <w:rPr>
            <w:rFonts w:asciiTheme="minorHAnsi" w:eastAsiaTheme="minorEastAsia" w:hAnsiTheme="minorHAnsi" w:cstheme="minorBidi"/>
            <w:b w:val="0"/>
            <w:bCs w:val="0"/>
            <w:color w:val="auto"/>
            <w:szCs w:val="24"/>
            <w:lang w:eastAsia="en-GB"/>
          </w:rPr>
          <w:tab/>
        </w:r>
        <w:r w:rsidR="00572F25" w:rsidRPr="006D4D88">
          <w:rPr>
            <w:rStyle w:val="Hyperlink"/>
          </w:rPr>
          <w:t>Implications for clinical practice</w:t>
        </w:r>
        <w:r w:rsidR="00572F25">
          <w:rPr>
            <w:webHidden/>
          </w:rPr>
          <w:tab/>
        </w:r>
        <w:r w:rsidR="00572F25">
          <w:rPr>
            <w:webHidden/>
          </w:rPr>
          <w:fldChar w:fldCharType="begin"/>
        </w:r>
        <w:r w:rsidR="00572F25">
          <w:rPr>
            <w:webHidden/>
          </w:rPr>
          <w:instrText xml:space="preserve"> PAGEREF _Toc126664207 \h </w:instrText>
        </w:r>
        <w:r w:rsidR="00572F25">
          <w:rPr>
            <w:webHidden/>
          </w:rPr>
        </w:r>
        <w:r w:rsidR="00572F25">
          <w:rPr>
            <w:webHidden/>
          </w:rPr>
          <w:fldChar w:fldCharType="separate"/>
        </w:r>
        <w:r w:rsidR="00F902DD">
          <w:rPr>
            <w:webHidden/>
          </w:rPr>
          <w:t>25</w:t>
        </w:r>
        <w:r w:rsidR="00572F25">
          <w:rPr>
            <w:webHidden/>
          </w:rPr>
          <w:fldChar w:fldCharType="end"/>
        </w:r>
      </w:hyperlink>
    </w:p>
    <w:p w14:paraId="7C26C226" w14:textId="77777777" w:rsidR="00572F25" w:rsidRDefault="00AA61F0" w:rsidP="00572F25">
      <w:pPr>
        <w:pStyle w:val="TOC1"/>
        <w:tabs>
          <w:tab w:val="left" w:pos="442"/>
        </w:tabs>
        <w:rPr>
          <w:rFonts w:asciiTheme="minorHAnsi" w:eastAsiaTheme="minorEastAsia" w:hAnsiTheme="minorHAnsi" w:cstheme="minorBidi"/>
          <w:b w:val="0"/>
          <w:bCs w:val="0"/>
          <w:color w:val="auto"/>
          <w:szCs w:val="24"/>
          <w:lang w:eastAsia="en-GB"/>
        </w:rPr>
      </w:pPr>
      <w:hyperlink w:anchor="_Toc126664208" w:history="1">
        <w:r w:rsidR="00572F25" w:rsidRPr="006D4D88">
          <w:rPr>
            <w:rStyle w:val="Hyperlink"/>
          </w:rPr>
          <w:t>5</w:t>
        </w:r>
        <w:r w:rsidR="00572F25">
          <w:rPr>
            <w:rFonts w:asciiTheme="minorHAnsi" w:eastAsiaTheme="minorEastAsia" w:hAnsiTheme="minorHAnsi" w:cstheme="minorBidi"/>
            <w:b w:val="0"/>
            <w:bCs w:val="0"/>
            <w:color w:val="auto"/>
            <w:szCs w:val="24"/>
            <w:lang w:eastAsia="en-GB"/>
          </w:rPr>
          <w:tab/>
        </w:r>
        <w:r w:rsidR="00572F25" w:rsidRPr="006D4D88">
          <w:rPr>
            <w:rStyle w:val="Hyperlink"/>
          </w:rPr>
          <w:t>Conclusion</w:t>
        </w:r>
        <w:r w:rsidR="00572F25">
          <w:rPr>
            <w:webHidden/>
          </w:rPr>
          <w:tab/>
        </w:r>
        <w:r w:rsidR="00572F25">
          <w:rPr>
            <w:webHidden/>
          </w:rPr>
          <w:fldChar w:fldCharType="begin"/>
        </w:r>
        <w:r w:rsidR="00572F25">
          <w:rPr>
            <w:webHidden/>
          </w:rPr>
          <w:instrText xml:space="preserve"> PAGEREF _Toc126664208 \h </w:instrText>
        </w:r>
        <w:r w:rsidR="00572F25">
          <w:rPr>
            <w:webHidden/>
          </w:rPr>
        </w:r>
        <w:r w:rsidR="00572F25">
          <w:rPr>
            <w:webHidden/>
          </w:rPr>
          <w:fldChar w:fldCharType="separate"/>
        </w:r>
        <w:r w:rsidR="00F902DD">
          <w:rPr>
            <w:webHidden/>
          </w:rPr>
          <w:t>27</w:t>
        </w:r>
        <w:r w:rsidR="00572F25">
          <w:rPr>
            <w:webHidden/>
          </w:rPr>
          <w:fldChar w:fldCharType="end"/>
        </w:r>
      </w:hyperlink>
    </w:p>
    <w:p w14:paraId="75F31646" w14:textId="77777777" w:rsidR="00572F25" w:rsidRDefault="00AA61F0" w:rsidP="00572F25">
      <w:pPr>
        <w:pStyle w:val="TOC1"/>
        <w:rPr>
          <w:rFonts w:asciiTheme="minorHAnsi" w:eastAsiaTheme="minorEastAsia" w:hAnsiTheme="minorHAnsi" w:cstheme="minorBidi"/>
          <w:b w:val="0"/>
          <w:bCs w:val="0"/>
          <w:color w:val="auto"/>
          <w:szCs w:val="24"/>
          <w:lang w:eastAsia="en-GB"/>
        </w:rPr>
      </w:pPr>
      <w:hyperlink w:anchor="_Toc126664209" w:history="1">
        <w:r w:rsidR="00572F25" w:rsidRPr="006D4D88">
          <w:rPr>
            <w:rStyle w:val="Hyperlink"/>
          </w:rPr>
          <w:t>Appendix 1: Limitations and considerations for interpretation of results</w:t>
        </w:r>
        <w:r w:rsidR="00572F25">
          <w:rPr>
            <w:webHidden/>
          </w:rPr>
          <w:tab/>
        </w:r>
        <w:r w:rsidR="00572F25">
          <w:rPr>
            <w:webHidden/>
          </w:rPr>
          <w:fldChar w:fldCharType="begin"/>
        </w:r>
        <w:r w:rsidR="00572F25">
          <w:rPr>
            <w:webHidden/>
          </w:rPr>
          <w:instrText xml:space="preserve"> PAGEREF _Toc126664209 \h </w:instrText>
        </w:r>
        <w:r w:rsidR="00572F25">
          <w:rPr>
            <w:webHidden/>
          </w:rPr>
        </w:r>
        <w:r w:rsidR="00572F25">
          <w:rPr>
            <w:webHidden/>
          </w:rPr>
          <w:fldChar w:fldCharType="separate"/>
        </w:r>
        <w:r w:rsidR="00F902DD">
          <w:rPr>
            <w:webHidden/>
          </w:rPr>
          <w:t>29</w:t>
        </w:r>
        <w:r w:rsidR="00572F25">
          <w:rPr>
            <w:webHidden/>
          </w:rPr>
          <w:fldChar w:fldCharType="end"/>
        </w:r>
      </w:hyperlink>
    </w:p>
    <w:p w14:paraId="09AA7FFB" w14:textId="77777777" w:rsidR="00572F25" w:rsidRDefault="00AA61F0" w:rsidP="00572F25">
      <w:pPr>
        <w:pStyle w:val="TOC2"/>
        <w:rPr>
          <w:rFonts w:asciiTheme="minorHAnsi" w:eastAsiaTheme="minorEastAsia" w:hAnsiTheme="minorHAnsi" w:cstheme="minorBidi"/>
          <w:noProof/>
          <w:sz w:val="24"/>
          <w:szCs w:val="24"/>
          <w:lang w:eastAsia="en-GB"/>
        </w:rPr>
      </w:pPr>
      <w:hyperlink w:anchor="_Toc126664210" w:history="1">
        <w:r w:rsidR="00572F25" w:rsidRPr="006D4D88">
          <w:rPr>
            <w:rStyle w:val="Hyperlink"/>
            <w:noProof/>
          </w:rPr>
          <w:t>Sampling and selection bias</w:t>
        </w:r>
        <w:r w:rsidR="00572F25">
          <w:rPr>
            <w:noProof/>
            <w:webHidden/>
          </w:rPr>
          <w:tab/>
        </w:r>
        <w:r w:rsidR="00572F25">
          <w:rPr>
            <w:noProof/>
            <w:webHidden/>
          </w:rPr>
          <w:fldChar w:fldCharType="begin"/>
        </w:r>
        <w:r w:rsidR="00572F25">
          <w:rPr>
            <w:noProof/>
            <w:webHidden/>
          </w:rPr>
          <w:instrText xml:space="preserve"> PAGEREF _Toc126664210 \h </w:instrText>
        </w:r>
        <w:r w:rsidR="00572F25">
          <w:rPr>
            <w:noProof/>
            <w:webHidden/>
          </w:rPr>
        </w:r>
        <w:r w:rsidR="00572F25">
          <w:rPr>
            <w:noProof/>
            <w:webHidden/>
          </w:rPr>
          <w:fldChar w:fldCharType="separate"/>
        </w:r>
        <w:r w:rsidR="00F902DD">
          <w:rPr>
            <w:noProof/>
            <w:webHidden/>
          </w:rPr>
          <w:t>29</w:t>
        </w:r>
        <w:r w:rsidR="00572F25">
          <w:rPr>
            <w:noProof/>
            <w:webHidden/>
          </w:rPr>
          <w:fldChar w:fldCharType="end"/>
        </w:r>
      </w:hyperlink>
    </w:p>
    <w:p w14:paraId="6CFC8018" w14:textId="77777777" w:rsidR="00572F25" w:rsidRDefault="00AA61F0" w:rsidP="00572F25">
      <w:pPr>
        <w:pStyle w:val="TOC2"/>
        <w:rPr>
          <w:rFonts w:asciiTheme="minorHAnsi" w:eastAsiaTheme="minorEastAsia" w:hAnsiTheme="minorHAnsi" w:cstheme="minorBidi"/>
          <w:noProof/>
          <w:sz w:val="24"/>
          <w:szCs w:val="24"/>
          <w:lang w:eastAsia="en-GB"/>
        </w:rPr>
      </w:pPr>
      <w:hyperlink w:anchor="_Toc126664211" w:history="1">
        <w:r w:rsidR="00572F25" w:rsidRPr="006D4D88">
          <w:rPr>
            <w:rStyle w:val="Hyperlink"/>
            <w:noProof/>
          </w:rPr>
          <w:t>Survey methodology not defined</w:t>
        </w:r>
        <w:r w:rsidR="00572F25">
          <w:rPr>
            <w:noProof/>
            <w:webHidden/>
          </w:rPr>
          <w:tab/>
        </w:r>
        <w:r w:rsidR="00572F25">
          <w:rPr>
            <w:noProof/>
            <w:webHidden/>
          </w:rPr>
          <w:fldChar w:fldCharType="begin"/>
        </w:r>
        <w:r w:rsidR="00572F25">
          <w:rPr>
            <w:noProof/>
            <w:webHidden/>
          </w:rPr>
          <w:instrText xml:space="preserve"> PAGEREF _Toc126664211 \h </w:instrText>
        </w:r>
        <w:r w:rsidR="00572F25">
          <w:rPr>
            <w:noProof/>
            <w:webHidden/>
          </w:rPr>
        </w:r>
        <w:r w:rsidR="00572F25">
          <w:rPr>
            <w:noProof/>
            <w:webHidden/>
          </w:rPr>
          <w:fldChar w:fldCharType="separate"/>
        </w:r>
        <w:r w:rsidR="00F902DD">
          <w:rPr>
            <w:noProof/>
            <w:webHidden/>
          </w:rPr>
          <w:t>29</w:t>
        </w:r>
        <w:r w:rsidR="00572F25">
          <w:rPr>
            <w:noProof/>
            <w:webHidden/>
          </w:rPr>
          <w:fldChar w:fldCharType="end"/>
        </w:r>
      </w:hyperlink>
    </w:p>
    <w:p w14:paraId="2DCB169A" w14:textId="77777777" w:rsidR="00572F25" w:rsidRDefault="00AA61F0" w:rsidP="00572F25">
      <w:pPr>
        <w:pStyle w:val="TOC2"/>
        <w:rPr>
          <w:rFonts w:asciiTheme="minorHAnsi" w:eastAsiaTheme="minorEastAsia" w:hAnsiTheme="minorHAnsi" w:cstheme="minorBidi"/>
          <w:noProof/>
          <w:sz w:val="24"/>
          <w:szCs w:val="24"/>
          <w:lang w:eastAsia="en-GB"/>
        </w:rPr>
      </w:pPr>
      <w:hyperlink w:anchor="_Toc126664212" w:history="1">
        <w:r w:rsidR="00572F25" w:rsidRPr="006D4D88">
          <w:rPr>
            <w:rStyle w:val="Hyperlink"/>
            <w:noProof/>
          </w:rPr>
          <w:t>Subjective nature of assessments</w:t>
        </w:r>
        <w:r w:rsidR="00572F25">
          <w:rPr>
            <w:noProof/>
            <w:webHidden/>
          </w:rPr>
          <w:tab/>
        </w:r>
        <w:r w:rsidR="00572F25">
          <w:rPr>
            <w:noProof/>
            <w:webHidden/>
          </w:rPr>
          <w:fldChar w:fldCharType="begin"/>
        </w:r>
        <w:r w:rsidR="00572F25">
          <w:rPr>
            <w:noProof/>
            <w:webHidden/>
          </w:rPr>
          <w:instrText xml:space="preserve"> PAGEREF _Toc126664212 \h </w:instrText>
        </w:r>
        <w:r w:rsidR="00572F25">
          <w:rPr>
            <w:noProof/>
            <w:webHidden/>
          </w:rPr>
        </w:r>
        <w:r w:rsidR="00572F25">
          <w:rPr>
            <w:noProof/>
            <w:webHidden/>
          </w:rPr>
          <w:fldChar w:fldCharType="separate"/>
        </w:r>
        <w:r w:rsidR="00F902DD">
          <w:rPr>
            <w:noProof/>
            <w:webHidden/>
          </w:rPr>
          <w:t>29</w:t>
        </w:r>
        <w:r w:rsidR="00572F25">
          <w:rPr>
            <w:noProof/>
            <w:webHidden/>
          </w:rPr>
          <w:fldChar w:fldCharType="end"/>
        </w:r>
      </w:hyperlink>
    </w:p>
    <w:p w14:paraId="632ECB6A" w14:textId="77777777" w:rsidR="00572F25" w:rsidRDefault="00AA61F0" w:rsidP="00572F25">
      <w:pPr>
        <w:pStyle w:val="TOC2"/>
        <w:rPr>
          <w:rFonts w:asciiTheme="minorHAnsi" w:eastAsiaTheme="minorEastAsia" w:hAnsiTheme="minorHAnsi" w:cstheme="minorBidi"/>
          <w:noProof/>
          <w:sz w:val="24"/>
          <w:szCs w:val="24"/>
          <w:lang w:eastAsia="en-GB"/>
        </w:rPr>
      </w:pPr>
      <w:hyperlink w:anchor="_Toc126664213" w:history="1">
        <w:r w:rsidR="00572F25" w:rsidRPr="006D4D88">
          <w:rPr>
            <w:rStyle w:val="Hyperlink"/>
            <w:noProof/>
          </w:rPr>
          <w:t>Comparison of data over time</w:t>
        </w:r>
        <w:r w:rsidR="00572F25">
          <w:rPr>
            <w:noProof/>
            <w:webHidden/>
          </w:rPr>
          <w:tab/>
        </w:r>
        <w:r w:rsidR="00572F25">
          <w:rPr>
            <w:noProof/>
            <w:webHidden/>
          </w:rPr>
          <w:fldChar w:fldCharType="begin"/>
        </w:r>
        <w:r w:rsidR="00572F25">
          <w:rPr>
            <w:noProof/>
            <w:webHidden/>
          </w:rPr>
          <w:instrText xml:space="preserve"> PAGEREF _Toc126664213 \h </w:instrText>
        </w:r>
        <w:r w:rsidR="00572F25">
          <w:rPr>
            <w:noProof/>
            <w:webHidden/>
          </w:rPr>
        </w:r>
        <w:r w:rsidR="00572F25">
          <w:rPr>
            <w:noProof/>
            <w:webHidden/>
          </w:rPr>
          <w:fldChar w:fldCharType="separate"/>
        </w:r>
        <w:r w:rsidR="00F902DD">
          <w:rPr>
            <w:noProof/>
            <w:webHidden/>
          </w:rPr>
          <w:t>29</w:t>
        </w:r>
        <w:r w:rsidR="00572F25">
          <w:rPr>
            <w:noProof/>
            <w:webHidden/>
          </w:rPr>
          <w:fldChar w:fldCharType="end"/>
        </w:r>
      </w:hyperlink>
    </w:p>
    <w:p w14:paraId="153E8790" w14:textId="77777777" w:rsidR="00572F25" w:rsidRDefault="00AA61F0" w:rsidP="00572F25">
      <w:pPr>
        <w:pStyle w:val="TOC1"/>
        <w:rPr>
          <w:rFonts w:asciiTheme="minorHAnsi" w:eastAsiaTheme="minorEastAsia" w:hAnsiTheme="minorHAnsi" w:cstheme="minorBidi"/>
          <w:b w:val="0"/>
          <w:bCs w:val="0"/>
          <w:color w:val="auto"/>
          <w:szCs w:val="24"/>
          <w:lang w:eastAsia="en-GB"/>
        </w:rPr>
      </w:pPr>
      <w:hyperlink w:anchor="_Toc126664214" w:history="1">
        <w:r w:rsidR="00572F25" w:rsidRPr="006D4D88">
          <w:rPr>
            <w:rStyle w:val="Hyperlink"/>
          </w:rPr>
          <w:t>Appendix 2: Supplementary data</w:t>
        </w:r>
        <w:r w:rsidR="00572F25">
          <w:rPr>
            <w:webHidden/>
          </w:rPr>
          <w:tab/>
        </w:r>
        <w:r w:rsidR="00572F25">
          <w:rPr>
            <w:webHidden/>
          </w:rPr>
          <w:fldChar w:fldCharType="begin"/>
        </w:r>
        <w:r w:rsidR="00572F25">
          <w:rPr>
            <w:webHidden/>
          </w:rPr>
          <w:instrText xml:space="preserve"> PAGEREF _Toc126664214 \h </w:instrText>
        </w:r>
        <w:r w:rsidR="00572F25">
          <w:rPr>
            <w:webHidden/>
          </w:rPr>
        </w:r>
        <w:r w:rsidR="00572F25">
          <w:rPr>
            <w:webHidden/>
          </w:rPr>
          <w:fldChar w:fldCharType="separate"/>
        </w:r>
        <w:r w:rsidR="00F902DD">
          <w:rPr>
            <w:webHidden/>
          </w:rPr>
          <w:t>30</w:t>
        </w:r>
        <w:r w:rsidR="00572F25">
          <w:rPr>
            <w:webHidden/>
          </w:rPr>
          <w:fldChar w:fldCharType="end"/>
        </w:r>
      </w:hyperlink>
    </w:p>
    <w:p w14:paraId="1AE361ED" w14:textId="77777777" w:rsidR="00572F25" w:rsidRDefault="00AA61F0" w:rsidP="00572F25">
      <w:pPr>
        <w:pStyle w:val="TOC1"/>
        <w:rPr>
          <w:rFonts w:asciiTheme="minorHAnsi" w:eastAsiaTheme="minorEastAsia" w:hAnsiTheme="minorHAnsi" w:cstheme="minorBidi"/>
          <w:b w:val="0"/>
          <w:bCs w:val="0"/>
          <w:color w:val="auto"/>
          <w:szCs w:val="24"/>
          <w:lang w:eastAsia="en-GB"/>
        </w:rPr>
      </w:pPr>
      <w:hyperlink w:anchor="_Toc126664215" w:history="1">
        <w:r w:rsidR="00572F25" w:rsidRPr="006D4D88">
          <w:rPr>
            <w:rStyle w:val="Hyperlink"/>
          </w:rPr>
          <w:t>Appendix 3: Additional analyses</w:t>
        </w:r>
        <w:r w:rsidR="00572F25">
          <w:rPr>
            <w:webHidden/>
          </w:rPr>
          <w:tab/>
        </w:r>
        <w:r w:rsidR="00572F25">
          <w:rPr>
            <w:webHidden/>
          </w:rPr>
          <w:fldChar w:fldCharType="begin"/>
        </w:r>
        <w:r w:rsidR="00572F25">
          <w:rPr>
            <w:webHidden/>
          </w:rPr>
          <w:instrText xml:space="preserve"> PAGEREF _Toc126664215 \h </w:instrText>
        </w:r>
        <w:r w:rsidR="00572F25">
          <w:rPr>
            <w:webHidden/>
          </w:rPr>
        </w:r>
        <w:r w:rsidR="00572F25">
          <w:rPr>
            <w:webHidden/>
          </w:rPr>
          <w:fldChar w:fldCharType="separate"/>
        </w:r>
        <w:r w:rsidR="00F902DD">
          <w:rPr>
            <w:webHidden/>
          </w:rPr>
          <w:t>36</w:t>
        </w:r>
        <w:r w:rsidR="00572F25">
          <w:rPr>
            <w:webHidden/>
          </w:rPr>
          <w:fldChar w:fldCharType="end"/>
        </w:r>
      </w:hyperlink>
    </w:p>
    <w:p w14:paraId="203086EF" w14:textId="77777777" w:rsidR="00572F25" w:rsidRDefault="00AA61F0" w:rsidP="00572F25">
      <w:pPr>
        <w:pStyle w:val="TOC2"/>
        <w:rPr>
          <w:rFonts w:asciiTheme="minorHAnsi" w:eastAsiaTheme="minorEastAsia" w:hAnsiTheme="minorHAnsi" w:cstheme="minorBidi"/>
          <w:noProof/>
          <w:sz w:val="24"/>
          <w:szCs w:val="24"/>
          <w:lang w:eastAsia="en-GB"/>
        </w:rPr>
      </w:pPr>
      <w:hyperlink w:anchor="_Toc126664216" w:history="1">
        <w:r w:rsidR="00572F25" w:rsidRPr="006D4D88">
          <w:rPr>
            <w:rStyle w:val="Hyperlink"/>
            <w:noProof/>
          </w:rPr>
          <w:t>Antimicrobial choice</w:t>
        </w:r>
        <w:r w:rsidR="00572F25">
          <w:rPr>
            <w:noProof/>
            <w:webHidden/>
          </w:rPr>
          <w:tab/>
        </w:r>
        <w:r w:rsidR="00572F25">
          <w:rPr>
            <w:noProof/>
            <w:webHidden/>
          </w:rPr>
          <w:fldChar w:fldCharType="begin"/>
        </w:r>
        <w:r w:rsidR="00572F25">
          <w:rPr>
            <w:noProof/>
            <w:webHidden/>
          </w:rPr>
          <w:instrText xml:space="preserve"> PAGEREF _Toc126664216 \h </w:instrText>
        </w:r>
        <w:r w:rsidR="00572F25">
          <w:rPr>
            <w:noProof/>
            <w:webHidden/>
          </w:rPr>
        </w:r>
        <w:r w:rsidR="00572F25">
          <w:rPr>
            <w:noProof/>
            <w:webHidden/>
          </w:rPr>
          <w:fldChar w:fldCharType="separate"/>
        </w:r>
        <w:r w:rsidR="00F902DD">
          <w:rPr>
            <w:noProof/>
            <w:webHidden/>
          </w:rPr>
          <w:t>36</w:t>
        </w:r>
        <w:r w:rsidR="00572F25">
          <w:rPr>
            <w:noProof/>
            <w:webHidden/>
          </w:rPr>
          <w:fldChar w:fldCharType="end"/>
        </w:r>
      </w:hyperlink>
    </w:p>
    <w:p w14:paraId="00B53D65" w14:textId="77777777" w:rsidR="00572F25" w:rsidRDefault="00AA61F0" w:rsidP="00572F25">
      <w:pPr>
        <w:pStyle w:val="TOC2"/>
        <w:rPr>
          <w:rFonts w:asciiTheme="minorHAnsi" w:eastAsiaTheme="minorEastAsia" w:hAnsiTheme="minorHAnsi" w:cstheme="minorBidi"/>
          <w:noProof/>
          <w:sz w:val="24"/>
          <w:szCs w:val="24"/>
          <w:lang w:eastAsia="en-GB"/>
        </w:rPr>
      </w:pPr>
      <w:hyperlink w:anchor="_Toc126664217" w:history="1">
        <w:r w:rsidR="00572F25" w:rsidRPr="006D4D88">
          <w:rPr>
            <w:rStyle w:val="Hyperlink"/>
            <w:noProof/>
          </w:rPr>
          <w:t>Route of administration</w:t>
        </w:r>
        <w:r w:rsidR="00572F25">
          <w:rPr>
            <w:noProof/>
            <w:webHidden/>
          </w:rPr>
          <w:tab/>
        </w:r>
        <w:r w:rsidR="00572F25">
          <w:rPr>
            <w:noProof/>
            <w:webHidden/>
          </w:rPr>
          <w:fldChar w:fldCharType="begin"/>
        </w:r>
        <w:r w:rsidR="00572F25">
          <w:rPr>
            <w:noProof/>
            <w:webHidden/>
          </w:rPr>
          <w:instrText xml:space="preserve"> PAGEREF _Toc126664217 \h </w:instrText>
        </w:r>
        <w:r w:rsidR="00572F25">
          <w:rPr>
            <w:noProof/>
            <w:webHidden/>
          </w:rPr>
        </w:r>
        <w:r w:rsidR="00572F25">
          <w:rPr>
            <w:noProof/>
            <w:webHidden/>
          </w:rPr>
          <w:fldChar w:fldCharType="separate"/>
        </w:r>
        <w:r w:rsidR="00F902DD">
          <w:rPr>
            <w:noProof/>
            <w:webHidden/>
          </w:rPr>
          <w:t>38</w:t>
        </w:r>
        <w:r w:rsidR="00572F25">
          <w:rPr>
            <w:noProof/>
            <w:webHidden/>
          </w:rPr>
          <w:fldChar w:fldCharType="end"/>
        </w:r>
      </w:hyperlink>
    </w:p>
    <w:p w14:paraId="4400F281" w14:textId="77777777" w:rsidR="00572F25" w:rsidRDefault="00AA61F0" w:rsidP="00572F25">
      <w:pPr>
        <w:pStyle w:val="TOC2"/>
        <w:rPr>
          <w:rFonts w:asciiTheme="minorHAnsi" w:eastAsiaTheme="minorEastAsia" w:hAnsiTheme="minorHAnsi" w:cstheme="minorBidi"/>
          <w:noProof/>
          <w:sz w:val="24"/>
          <w:szCs w:val="24"/>
          <w:lang w:eastAsia="en-GB"/>
        </w:rPr>
      </w:pPr>
      <w:hyperlink w:anchor="_Toc126664218" w:history="1">
        <w:r w:rsidR="00572F25" w:rsidRPr="006D4D88">
          <w:rPr>
            <w:rStyle w:val="Hyperlink"/>
            <w:noProof/>
          </w:rPr>
          <w:t>Prescribing by facility funding type</w:t>
        </w:r>
        <w:r w:rsidR="00572F25">
          <w:rPr>
            <w:noProof/>
            <w:webHidden/>
          </w:rPr>
          <w:tab/>
        </w:r>
        <w:r w:rsidR="00572F25">
          <w:rPr>
            <w:noProof/>
            <w:webHidden/>
          </w:rPr>
          <w:fldChar w:fldCharType="begin"/>
        </w:r>
        <w:r w:rsidR="00572F25">
          <w:rPr>
            <w:noProof/>
            <w:webHidden/>
          </w:rPr>
          <w:instrText xml:space="preserve"> PAGEREF _Toc126664218 \h </w:instrText>
        </w:r>
        <w:r w:rsidR="00572F25">
          <w:rPr>
            <w:noProof/>
            <w:webHidden/>
          </w:rPr>
        </w:r>
        <w:r w:rsidR="00572F25">
          <w:rPr>
            <w:noProof/>
            <w:webHidden/>
          </w:rPr>
          <w:fldChar w:fldCharType="separate"/>
        </w:r>
        <w:r w:rsidR="00F902DD">
          <w:rPr>
            <w:noProof/>
            <w:webHidden/>
          </w:rPr>
          <w:t>39</w:t>
        </w:r>
        <w:r w:rsidR="00572F25">
          <w:rPr>
            <w:noProof/>
            <w:webHidden/>
          </w:rPr>
          <w:fldChar w:fldCharType="end"/>
        </w:r>
      </w:hyperlink>
    </w:p>
    <w:p w14:paraId="73641C26" w14:textId="77777777" w:rsidR="00572F25" w:rsidRDefault="00AA61F0" w:rsidP="00572F25">
      <w:pPr>
        <w:pStyle w:val="TOC2"/>
        <w:rPr>
          <w:rFonts w:asciiTheme="minorHAnsi" w:eastAsiaTheme="minorEastAsia" w:hAnsiTheme="minorHAnsi" w:cstheme="minorBidi"/>
          <w:noProof/>
          <w:sz w:val="24"/>
          <w:szCs w:val="24"/>
          <w:lang w:eastAsia="en-GB"/>
        </w:rPr>
      </w:pPr>
      <w:hyperlink w:anchor="_Toc126664219" w:history="1">
        <w:r w:rsidR="00572F25" w:rsidRPr="006D4D88">
          <w:rPr>
            <w:rStyle w:val="Hyperlink"/>
            <w:noProof/>
          </w:rPr>
          <w:t>Procedure group analysis</w:t>
        </w:r>
        <w:r w:rsidR="00572F25">
          <w:rPr>
            <w:noProof/>
            <w:webHidden/>
          </w:rPr>
          <w:tab/>
        </w:r>
        <w:r w:rsidR="00572F25">
          <w:rPr>
            <w:noProof/>
            <w:webHidden/>
          </w:rPr>
          <w:fldChar w:fldCharType="begin"/>
        </w:r>
        <w:r w:rsidR="00572F25">
          <w:rPr>
            <w:noProof/>
            <w:webHidden/>
          </w:rPr>
          <w:instrText xml:space="preserve"> PAGEREF _Toc126664219 \h </w:instrText>
        </w:r>
        <w:r w:rsidR="00572F25">
          <w:rPr>
            <w:noProof/>
            <w:webHidden/>
          </w:rPr>
        </w:r>
        <w:r w:rsidR="00572F25">
          <w:rPr>
            <w:noProof/>
            <w:webHidden/>
          </w:rPr>
          <w:fldChar w:fldCharType="separate"/>
        </w:r>
        <w:r w:rsidR="00F902DD">
          <w:rPr>
            <w:noProof/>
            <w:webHidden/>
          </w:rPr>
          <w:t>40</w:t>
        </w:r>
        <w:r w:rsidR="00572F25">
          <w:rPr>
            <w:noProof/>
            <w:webHidden/>
          </w:rPr>
          <w:fldChar w:fldCharType="end"/>
        </w:r>
      </w:hyperlink>
    </w:p>
    <w:p w14:paraId="6298C893" w14:textId="77777777" w:rsidR="00572F25" w:rsidRDefault="00AA61F0" w:rsidP="00572F25">
      <w:pPr>
        <w:pStyle w:val="TOC1"/>
        <w:rPr>
          <w:rFonts w:asciiTheme="minorHAnsi" w:eastAsiaTheme="minorEastAsia" w:hAnsiTheme="minorHAnsi" w:cstheme="minorBidi"/>
          <w:b w:val="0"/>
          <w:bCs w:val="0"/>
          <w:color w:val="auto"/>
          <w:szCs w:val="24"/>
          <w:lang w:eastAsia="en-GB"/>
        </w:rPr>
      </w:pPr>
      <w:hyperlink w:anchor="_Toc126664220" w:history="1">
        <w:r w:rsidR="00572F25" w:rsidRPr="006D4D88">
          <w:rPr>
            <w:rStyle w:val="Hyperlink"/>
          </w:rPr>
          <w:t>Appendix 4: Comparative data analysis</w:t>
        </w:r>
        <w:r w:rsidR="00572F25">
          <w:rPr>
            <w:webHidden/>
          </w:rPr>
          <w:tab/>
        </w:r>
        <w:r w:rsidR="00572F25">
          <w:rPr>
            <w:webHidden/>
          </w:rPr>
          <w:fldChar w:fldCharType="begin"/>
        </w:r>
        <w:r w:rsidR="00572F25">
          <w:rPr>
            <w:webHidden/>
          </w:rPr>
          <w:instrText xml:space="preserve"> PAGEREF _Toc126664220 \h </w:instrText>
        </w:r>
        <w:r w:rsidR="00572F25">
          <w:rPr>
            <w:webHidden/>
          </w:rPr>
        </w:r>
        <w:r w:rsidR="00572F25">
          <w:rPr>
            <w:webHidden/>
          </w:rPr>
          <w:fldChar w:fldCharType="separate"/>
        </w:r>
        <w:r w:rsidR="00F902DD">
          <w:rPr>
            <w:webHidden/>
          </w:rPr>
          <w:t>45</w:t>
        </w:r>
        <w:r w:rsidR="00572F25">
          <w:rPr>
            <w:webHidden/>
          </w:rPr>
          <w:fldChar w:fldCharType="end"/>
        </w:r>
      </w:hyperlink>
    </w:p>
    <w:p w14:paraId="1A53A977" w14:textId="77777777" w:rsidR="00572F25" w:rsidRDefault="00AA61F0" w:rsidP="00572F25">
      <w:pPr>
        <w:pStyle w:val="TOC1"/>
        <w:rPr>
          <w:rFonts w:asciiTheme="minorHAnsi" w:eastAsiaTheme="minorEastAsia" w:hAnsiTheme="minorHAnsi" w:cstheme="minorBidi"/>
          <w:b w:val="0"/>
          <w:bCs w:val="0"/>
          <w:color w:val="auto"/>
          <w:szCs w:val="24"/>
          <w:lang w:eastAsia="en-GB"/>
        </w:rPr>
      </w:pPr>
      <w:hyperlink w:anchor="_Toc126664221" w:history="1">
        <w:r w:rsidR="00572F25" w:rsidRPr="006D4D88">
          <w:rPr>
            <w:rStyle w:val="Hyperlink"/>
          </w:rPr>
          <w:t>Appendix 5: Procedure groups</w:t>
        </w:r>
        <w:r w:rsidR="00572F25">
          <w:rPr>
            <w:webHidden/>
          </w:rPr>
          <w:tab/>
        </w:r>
        <w:r w:rsidR="00572F25">
          <w:rPr>
            <w:webHidden/>
          </w:rPr>
          <w:fldChar w:fldCharType="begin"/>
        </w:r>
        <w:r w:rsidR="00572F25">
          <w:rPr>
            <w:webHidden/>
          </w:rPr>
          <w:instrText xml:space="preserve"> PAGEREF _Toc126664221 \h </w:instrText>
        </w:r>
        <w:r w:rsidR="00572F25">
          <w:rPr>
            <w:webHidden/>
          </w:rPr>
        </w:r>
        <w:r w:rsidR="00572F25">
          <w:rPr>
            <w:webHidden/>
          </w:rPr>
          <w:fldChar w:fldCharType="separate"/>
        </w:r>
        <w:r w:rsidR="00F902DD">
          <w:rPr>
            <w:webHidden/>
          </w:rPr>
          <w:t>52</w:t>
        </w:r>
        <w:r w:rsidR="00572F25">
          <w:rPr>
            <w:webHidden/>
          </w:rPr>
          <w:fldChar w:fldCharType="end"/>
        </w:r>
      </w:hyperlink>
    </w:p>
    <w:p w14:paraId="1698E997" w14:textId="77777777" w:rsidR="00572F25" w:rsidRDefault="00AA61F0" w:rsidP="00572F25">
      <w:pPr>
        <w:pStyle w:val="TOC1"/>
        <w:rPr>
          <w:rFonts w:asciiTheme="minorHAnsi" w:eastAsiaTheme="minorEastAsia" w:hAnsiTheme="minorHAnsi" w:cstheme="minorBidi"/>
          <w:b w:val="0"/>
          <w:bCs w:val="0"/>
          <w:color w:val="auto"/>
          <w:szCs w:val="24"/>
          <w:lang w:eastAsia="en-GB"/>
        </w:rPr>
      </w:pPr>
      <w:hyperlink w:anchor="_Toc126664222" w:history="1">
        <w:r w:rsidR="00572F25" w:rsidRPr="006D4D88">
          <w:rPr>
            <w:rStyle w:val="Hyperlink"/>
          </w:rPr>
          <w:t>Appendix 6: Surgical NAPS data collection form</w:t>
        </w:r>
        <w:r w:rsidR="00572F25">
          <w:rPr>
            <w:webHidden/>
          </w:rPr>
          <w:tab/>
        </w:r>
        <w:r w:rsidR="00572F25">
          <w:rPr>
            <w:webHidden/>
          </w:rPr>
          <w:fldChar w:fldCharType="begin"/>
        </w:r>
        <w:r w:rsidR="00572F25">
          <w:rPr>
            <w:webHidden/>
          </w:rPr>
          <w:instrText xml:space="preserve"> PAGEREF _Toc126664222 \h </w:instrText>
        </w:r>
        <w:r w:rsidR="00572F25">
          <w:rPr>
            <w:webHidden/>
          </w:rPr>
        </w:r>
        <w:r w:rsidR="00572F25">
          <w:rPr>
            <w:webHidden/>
          </w:rPr>
          <w:fldChar w:fldCharType="separate"/>
        </w:r>
        <w:r w:rsidR="00F902DD">
          <w:rPr>
            <w:webHidden/>
          </w:rPr>
          <w:t>53</w:t>
        </w:r>
        <w:r w:rsidR="00572F25">
          <w:rPr>
            <w:webHidden/>
          </w:rPr>
          <w:fldChar w:fldCharType="end"/>
        </w:r>
      </w:hyperlink>
    </w:p>
    <w:p w14:paraId="0345F18B" w14:textId="77777777" w:rsidR="00572F25" w:rsidRDefault="00AA61F0" w:rsidP="00572F25">
      <w:pPr>
        <w:pStyle w:val="TOC1"/>
        <w:rPr>
          <w:rFonts w:asciiTheme="minorHAnsi" w:eastAsiaTheme="minorEastAsia" w:hAnsiTheme="minorHAnsi" w:cstheme="minorBidi"/>
          <w:b w:val="0"/>
          <w:bCs w:val="0"/>
          <w:color w:val="auto"/>
          <w:szCs w:val="24"/>
          <w:lang w:eastAsia="en-GB"/>
        </w:rPr>
      </w:pPr>
      <w:hyperlink w:anchor="_Toc126664223" w:history="1">
        <w:r w:rsidR="00572F25" w:rsidRPr="006D4D88">
          <w:rPr>
            <w:rStyle w:val="Hyperlink"/>
          </w:rPr>
          <w:t>Appendix 7: Surgical NAPS appropriateness definitions</w:t>
        </w:r>
        <w:r w:rsidR="00572F25">
          <w:rPr>
            <w:webHidden/>
          </w:rPr>
          <w:tab/>
        </w:r>
        <w:r w:rsidR="00572F25">
          <w:rPr>
            <w:webHidden/>
          </w:rPr>
          <w:fldChar w:fldCharType="begin"/>
        </w:r>
        <w:r w:rsidR="00572F25">
          <w:rPr>
            <w:webHidden/>
          </w:rPr>
          <w:instrText xml:space="preserve"> PAGEREF _Toc126664223 \h </w:instrText>
        </w:r>
        <w:r w:rsidR="00572F25">
          <w:rPr>
            <w:webHidden/>
          </w:rPr>
        </w:r>
        <w:r w:rsidR="00572F25">
          <w:rPr>
            <w:webHidden/>
          </w:rPr>
          <w:fldChar w:fldCharType="separate"/>
        </w:r>
        <w:r w:rsidR="00F902DD">
          <w:rPr>
            <w:webHidden/>
          </w:rPr>
          <w:t>55</w:t>
        </w:r>
        <w:r w:rsidR="00572F25">
          <w:rPr>
            <w:webHidden/>
          </w:rPr>
          <w:fldChar w:fldCharType="end"/>
        </w:r>
      </w:hyperlink>
    </w:p>
    <w:p w14:paraId="2D501101" w14:textId="77777777" w:rsidR="00572F25" w:rsidRDefault="00AA61F0" w:rsidP="00572F25">
      <w:pPr>
        <w:pStyle w:val="TOC1"/>
        <w:rPr>
          <w:rFonts w:asciiTheme="minorHAnsi" w:eastAsiaTheme="minorEastAsia" w:hAnsiTheme="minorHAnsi" w:cstheme="minorBidi"/>
          <w:b w:val="0"/>
          <w:bCs w:val="0"/>
          <w:color w:val="auto"/>
          <w:szCs w:val="24"/>
          <w:lang w:eastAsia="en-GB"/>
        </w:rPr>
      </w:pPr>
      <w:hyperlink w:anchor="_Toc126664224" w:history="1">
        <w:r w:rsidR="00572F25" w:rsidRPr="006D4D88">
          <w:rPr>
            <w:rStyle w:val="Hyperlink"/>
          </w:rPr>
          <w:t>Appendix 8: Glossary</w:t>
        </w:r>
        <w:r w:rsidR="00572F25">
          <w:rPr>
            <w:webHidden/>
          </w:rPr>
          <w:tab/>
        </w:r>
        <w:r w:rsidR="00572F25">
          <w:rPr>
            <w:webHidden/>
          </w:rPr>
          <w:fldChar w:fldCharType="begin"/>
        </w:r>
        <w:r w:rsidR="00572F25">
          <w:rPr>
            <w:webHidden/>
          </w:rPr>
          <w:instrText xml:space="preserve"> PAGEREF _Toc126664224 \h </w:instrText>
        </w:r>
        <w:r w:rsidR="00572F25">
          <w:rPr>
            <w:webHidden/>
          </w:rPr>
        </w:r>
        <w:r w:rsidR="00572F25">
          <w:rPr>
            <w:webHidden/>
          </w:rPr>
          <w:fldChar w:fldCharType="separate"/>
        </w:r>
        <w:r w:rsidR="00F902DD">
          <w:rPr>
            <w:webHidden/>
          </w:rPr>
          <w:t>56</w:t>
        </w:r>
        <w:r w:rsidR="00572F25">
          <w:rPr>
            <w:webHidden/>
          </w:rPr>
          <w:fldChar w:fldCharType="end"/>
        </w:r>
      </w:hyperlink>
    </w:p>
    <w:p w14:paraId="73A90CFC" w14:textId="77777777" w:rsidR="00572F25" w:rsidRDefault="00AA61F0" w:rsidP="00572F25">
      <w:pPr>
        <w:pStyle w:val="TOC1"/>
        <w:rPr>
          <w:rFonts w:asciiTheme="minorHAnsi" w:eastAsiaTheme="minorEastAsia" w:hAnsiTheme="minorHAnsi" w:cstheme="minorBidi"/>
          <w:b w:val="0"/>
          <w:bCs w:val="0"/>
          <w:color w:val="auto"/>
          <w:szCs w:val="24"/>
          <w:lang w:eastAsia="en-GB"/>
        </w:rPr>
      </w:pPr>
      <w:hyperlink w:anchor="_Toc126664225" w:history="1">
        <w:r w:rsidR="00572F25" w:rsidRPr="006D4D88">
          <w:rPr>
            <w:rStyle w:val="Hyperlink"/>
          </w:rPr>
          <w:t>Appendix 9: Abbreviations</w:t>
        </w:r>
        <w:r w:rsidR="00572F25">
          <w:rPr>
            <w:webHidden/>
          </w:rPr>
          <w:tab/>
        </w:r>
        <w:r w:rsidR="00572F25">
          <w:rPr>
            <w:webHidden/>
          </w:rPr>
          <w:fldChar w:fldCharType="begin"/>
        </w:r>
        <w:r w:rsidR="00572F25">
          <w:rPr>
            <w:webHidden/>
          </w:rPr>
          <w:instrText xml:space="preserve"> PAGEREF _Toc126664225 \h </w:instrText>
        </w:r>
        <w:r w:rsidR="00572F25">
          <w:rPr>
            <w:webHidden/>
          </w:rPr>
        </w:r>
        <w:r w:rsidR="00572F25">
          <w:rPr>
            <w:webHidden/>
          </w:rPr>
          <w:fldChar w:fldCharType="separate"/>
        </w:r>
        <w:r w:rsidR="00F902DD">
          <w:rPr>
            <w:webHidden/>
          </w:rPr>
          <w:t>59</w:t>
        </w:r>
        <w:r w:rsidR="00572F25">
          <w:rPr>
            <w:webHidden/>
          </w:rPr>
          <w:fldChar w:fldCharType="end"/>
        </w:r>
      </w:hyperlink>
    </w:p>
    <w:p w14:paraId="3764042D" w14:textId="77777777" w:rsidR="00572F25" w:rsidRDefault="00AA61F0" w:rsidP="00572F25">
      <w:pPr>
        <w:pStyle w:val="TOC1"/>
        <w:rPr>
          <w:rFonts w:asciiTheme="minorHAnsi" w:eastAsiaTheme="minorEastAsia" w:hAnsiTheme="minorHAnsi" w:cstheme="minorBidi"/>
          <w:b w:val="0"/>
          <w:bCs w:val="0"/>
          <w:color w:val="auto"/>
          <w:szCs w:val="24"/>
          <w:lang w:eastAsia="en-GB"/>
        </w:rPr>
      </w:pPr>
      <w:hyperlink w:anchor="_Toc126664226" w:history="1">
        <w:r w:rsidR="00572F25" w:rsidRPr="006D4D88">
          <w:rPr>
            <w:rStyle w:val="Hyperlink"/>
          </w:rPr>
          <w:t>References</w:t>
        </w:r>
        <w:r w:rsidR="00572F25">
          <w:rPr>
            <w:webHidden/>
          </w:rPr>
          <w:tab/>
        </w:r>
        <w:r w:rsidR="00572F25">
          <w:rPr>
            <w:webHidden/>
          </w:rPr>
          <w:fldChar w:fldCharType="begin"/>
        </w:r>
        <w:r w:rsidR="00572F25">
          <w:rPr>
            <w:webHidden/>
          </w:rPr>
          <w:instrText xml:space="preserve"> PAGEREF _Toc126664226 \h </w:instrText>
        </w:r>
        <w:r w:rsidR="00572F25">
          <w:rPr>
            <w:webHidden/>
          </w:rPr>
        </w:r>
        <w:r w:rsidR="00572F25">
          <w:rPr>
            <w:webHidden/>
          </w:rPr>
          <w:fldChar w:fldCharType="separate"/>
        </w:r>
        <w:r w:rsidR="00F902DD">
          <w:rPr>
            <w:webHidden/>
          </w:rPr>
          <w:t>60</w:t>
        </w:r>
        <w:r w:rsidR="00572F25">
          <w:rPr>
            <w:webHidden/>
          </w:rPr>
          <w:fldChar w:fldCharType="end"/>
        </w:r>
      </w:hyperlink>
    </w:p>
    <w:p w14:paraId="13010A17" w14:textId="77777777" w:rsidR="00572F25" w:rsidRDefault="00AA61F0" w:rsidP="00572F25">
      <w:pPr>
        <w:pStyle w:val="TOC1"/>
        <w:rPr>
          <w:rFonts w:asciiTheme="minorHAnsi" w:eastAsiaTheme="minorEastAsia" w:hAnsiTheme="minorHAnsi" w:cstheme="minorBidi"/>
          <w:b w:val="0"/>
          <w:bCs w:val="0"/>
          <w:color w:val="auto"/>
          <w:szCs w:val="24"/>
          <w:lang w:eastAsia="en-GB"/>
        </w:rPr>
      </w:pPr>
      <w:hyperlink w:anchor="_Toc126664227" w:history="1">
        <w:r w:rsidR="00572F25" w:rsidRPr="006D4D88">
          <w:rPr>
            <w:rStyle w:val="Hyperlink"/>
          </w:rPr>
          <w:t>Acknowledgements</w:t>
        </w:r>
        <w:r w:rsidR="00572F25">
          <w:rPr>
            <w:webHidden/>
          </w:rPr>
          <w:tab/>
        </w:r>
        <w:r w:rsidR="00572F25">
          <w:rPr>
            <w:webHidden/>
          </w:rPr>
          <w:fldChar w:fldCharType="begin"/>
        </w:r>
        <w:r w:rsidR="00572F25">
          <w:rPr>
            <w:webHidden/>
          </w:rPr>
          <w:instrText xml:space="preserve"> PAGEREF _Toc126664227 \h </w:instrText>
        </w:r>
        <w:r w:rsidR="00572F25">
          <w:rPr>
            <w:webHidden/>
          </w:rPr>
        </w:r>
        <w:r w:rsidR="00572F25">
          <w:rPr>
            <w:webHidden/>
          </w:rPr>
          <w:fldChar w:fldCharType="separate"/>
        </w:r>
        <w:r w:rsidR="00F902DD">
          <w:rPr>
            <w:webHidden/>
          </w:rPr>
          <w:t>62</w:t>
        </w:r>
        <w:r w:rsidR="00572F25">
          <w:rPr>
            <w:webHidden/>
          </w:rPr>
          <w:fldChar w:fldCharType="end"/>
        </w:r>
      </w:hyperlink>
    </w:p>
    <w:p w14:paraId="29ECE2BB" w14:textId="77777777" w:rsidR="00CF14A6" w:rsidRPr="00E842CE" w:rsidRDefault="00572F25" w:rsidP="00100F6D">
      <w:pPr>
        <w:sectPr w:rsidR="00CF14A6" w:rsidRPr="00E842CE" w:rsidSect="0034738E">
          <w:headerReference w:type="even" r:id="rId19"/>
          <w:headerReference w:type="default" r:id="rId20"/>
          <w:footerReference w:type="even" r:id="rId21"/>
          <w:footerReference w:type="default" r:id="rId22"/>
          <w:headerReference w:type="first" r:id="rId23"/>
          <w:footerReference w:type="first" r:id="rId24"/>
          <w:pgSz w:w="11906" w:h="16838"/>
          <w:pgMar w:top="1701" w:right="1418" w:bottom="1418" w:left="1418" w:header="709" w:footer="709" w:gutter="0"/>
          <w:cols w:space="708"/>
          <w:docGrid w:linePitch="360"/>
        </w:sectPr>
      </w:pPr>
      <w:r w:rsidRPr="00C23DFC">
        <w:rPr>
          <w:noProof/>
          <w:sz w:val="24"/>
          <w:szCs w:val="20"/>
        </w:rPr>
        <w:fldChar w:fldCharType="end"/>
      </w:r>
    </w:p>
    <w:p w14:paraId="7FC2F99F" w14:textId="77777777" w:rsidR="00572F25" w:rsidRPr="00572F25" w:rsidRDefault="00572F25" w:rsidP="00977AD6">
      <w:pPr>
        <w:pStyle w:val="Heading1"/>
      </w:pPr>
      <w:bookmarkStart w:id="0" w:name="_Toc126664191"/>
      <w:r w:rsidRPr="00572F25">
        <w:lastRenderedPageBreak/>
        <w:t>Summary</w:t>
      </w:r>
      <w:bookmarkEnd w:id="0"/>
    </w:p>
    <w:p w14:paraId="75EF32DB" w14:textId="77777777" w:rsidR="00572F25" w:rsidRDefault="00572F25" w:rsidP="00572F25">
      <w:pPr>
        <w:spacing w:after="0"/>
        <w:ind w:right="-1"/>
      </w:pPr>
      <w:r>
        <w:t>Now in its sixth year, the Surgical National Antimicrobial Prescribing Survey (Surgical NAPS) continues to be a widely adopted and valued tool to assess the quality of antimicrobial prescribing across Australian hospitals. It is a key contributor towards Australia’s National Antimicrobial Resistance Strategy</w:t>
      </w:r>
      <w:r>
        <w:rPr>
          <w:vertAlign w:val="superscript"/>
        </w:rPr>
        <w:t>1</w:t>
      </w:r>
      <w:r>
        <w:t xml:space="preserve"> and the Antimicrobial Use and Resistance in Australia (AURA) Surveillance System.</w:t>
      </w:r>
      <w:r>
        <w:rPr>
          <w:vertAlign w:val="superscript"/>
        </w:rPr>
        <w:t>2</w:t>
      </w:r>
      <w:r>
        <w:t xml:space="preserve"> Its focus on providing meaningful data for action with clear data visualisation for contributing hospitals has led to the continued high participation </w:t>
      </w:r>
      <w:proofErr w:type="gramStart"/>
      <w:r>
        <w:t>from  Australian</w:t>
      </w:r>
      <w:proofErr w:type="gramEnd"/>
      <w:r>
        <w:t xml:space="preserve"> hospitals, funding types, peer groups and remoteness classifications.</w:t>
      </w:r>
    </w:p>
    <w:p w14:paraId="47B82C23" w14:textId="77777777" w:rsidR="00572F25" w:rsidRDefault="00572F25" w:rsidP="00572F25">
      <w:pPr>
        <w:spacing w:after="0"/>
      </w:pPr>
      <w:r>
        <w:t>During 2021, 181</w:t>
      </w:r>
      <w:r w:rsidRPr="0025428E">
        <w:t xml:space="preserve"> hospitals (</w:t>
      </w:r>
      <w:r>
        <w:t xml:space="preserve">90 </w:t>
      </w:r>
      <w:r w:rsidRPr="0025428E">
        <w:t xml:space="preserve">public and </w:t>
      </w:r>
      <w:r>
        <w:t xml:space="preserve">91 </w:t>
      </w:r>
      <w:r w:rsidRPr="0025428E">
        <w:t xml:space="preserve">private) </w:t>
      </w:r>
      <w:r>
        <w:t>submitted data on 10,927 surgical episodes with 9,599 procedural doses and 5,634 post-procedural prescriptions to the Surgical NAPS database. A</w:t>
      </w:r>
      <w:r w:rsidRPr="00AB1E75">
        <w:t xml:space="preserve">nalyses </w:t>
      </w:r>
      <w:r>
        <w:t xml:space="preserve">are also presented </w:t>
      </w:r>
      <w:r w:rsidRPr="00AB1E75">
        <w:t xml:space="preserve">of </w:t>
      </w:r>
      <w:r>
        <w:t xml:space="preserve">trends </w:t>
      </w:r>
      <w:r w:rsidRPr="00C11B90">
        <w:t>from 201</w:t>
      </w:r>
      <w:r>
        <w:t>6</w:t>
      </w:r>
      <w:r w:rsidRPr="00C11B90">
        <w:t xml:space="preserve"> to 20</w:t>
      </w:r>
      <w:r>
        <w:t>21.</w:t>
      </w:r>
    </w:p>
    <w:p w14:paraId="7F82148D" w14:textId="77777777" w:rsidR="00572F25" w:rsidRPr="00977AD6" w:rsidRDefault="00572F25" w:rsidP="00572F25">
      <w:pPr>
        <w:pStyle w:val="Heading2"/>
        <w:ind w:left="576" w:hanging="576"/>
        <w:rPr>
          <w:sz w:val="32"/>
          <w:szCs w:val="32"/>
        </w:rPr>
      </w:pPr>
      <w:bookmarkStart w:id="1" w:name="_Toc126664192"/>
      <w:r w:rsidRPr="00977AD6">
        <w:rPr>
          <w:sz w:val="32"/>
          <w:szCs w:val="32"/>
        </w:rPr>
        <w:t>Key findings of the 2021 Surgical NAPS</w:t>
      </w:r>
      <w:bookmarkEnd w:id="1"/>
    </w:p>
    <w:p w14:paraId="3C5B5D42" w14:textId="77777777" w:rsidR="00572F25" w:rsidRPr="00D0120F" w:rsidRDefault="00572F25" w:rsidP="00572F25">
      <w:r w:rsidRPr="00D0120F">
        <w:t>Consistent with findings from previous surveys of surgical prophylaxis, the 20</w:t>
      </w:r>
      <w:r>
        <w:t>21</w:t>
      </w:r>
      <w:r w:rsidRPr="00D0120F">
        <w:t xml:space="preserve"> Surgical NAPS identified ongoing concerning inappropriate use of surgical prophylaxis in contributor hospitals. </w:t>
      </w:r>
      <w:r>
        <w:t>I</w:t>
      </w:r>
      <w:r w:rsidRPr="00D0120F">
        <w:t>ssues which require urgent and specific attention include:</w:t>
      </w:r>
    </w:p>
    <w:p w14:paraId="18158685" w14:textId="77777777" w:rsidR="00572F25" w:rsidRDefault="00572F25" w:rsidP="00572F25">
      <w:pPr>
        <w:pStyle w:val="ListParagraph"/>
        <w:numPr>
          <w:ilvl w:val="0"/>
          <w:numId w:val="38"/>
        </w:numPr>
        <w:spacing w:before="0"/>
      </w:pPr>
      <w:r>
        <w:t>suboptimal documentation of the time of antimicrobial administration (90.8%) and incision time (76.6%)</w:t>
      </w:r>
    </w:p>
    <w:p w14:paraId="0CD6521E" w14:textId="77777777" w:rsidR="00572F25" w:rsidRPr="00B7332D" w:rsidRDefault="00572F25" w:rsidP="00572F25">
      <w:pPr>
        <w:pStyle w:val="ListParagraph"/>
        <w:numPr>
          <w:ilvl w:val="0"/>
          <w:numId w:val="38"/>
        </w:numPr>
        <w:spacing w:before="0" w:after="200"/>
      </w:pPr>
      <w:r>
        <w:t>l</w:t>
      </w:r>
      <w:r w:rsidRPr="00B7332D">
        <w:t>ow rates of compliance with prescribing guidelines for procedural (</w:t>
      </w:r>
      <w:r>
        <w:t>68.3</w:t>
      </w:r>
      <w:r w:rsidRPr="00B7332D">
        <w:t>%) and post</w:t>
      </w:r>
      <w:r>
        <w:t>-</w:t>
      </w:r>
      <w:r w:rsidRPr="00B7332D">
        <w:t>procedural (</w:t>
      </w:r>
      <w:r>
        <w:t>57.2</w:t>
      </w:r>
      <w:r w:rsidRPr="00B7332D">
        <w:t xml:space="preserve">%) antimicrobial prophylaxis in relation to timing, </w:t>
      </w:r>
      <w:proofErr w:type="gramStart"/>
      <w:r w:rsidRPr="00B7332D">
        <w:t>dosage</w:t>
      </w:r>
      <w:proofErr w:type="gramEnd"/>
      <w:r w:rsidRPr="00B7332D">
        <w:t xml:space="preserve"> and duration of use</w:t>
      </w:r>
    </w:p>
    <w:p w14:paraId="15190C69" w14:textId="77777777" w:rsidR="00572F25" w:rsidRPr="00BD3436" w:rsidRDefault="00572F25" w:rsidP="00572F25">
      <w:pPr>
        <w:pStyle w:val="ListParagraph"/>
        <w:numPr>
          <w:ilvl w:val="0"/>
          <w:numId w:val="38"/>
        </w:numPr>
        <w:spacing w:before="0" w:after="200"/>
      </w:pPr>
      <w:r>
        <w:t>i</w:t>
      </w:r>
      <w:r w:rsidRPr="00BD3436">
        <w:t xml:space="preserve">nappropriate procedural prescribing </w:t>
      </w:r>
      <w:r>
        <w:t xml:space="preserve">(&gt;30%) </w:t>
      </w:r>
      <w:r w:rsidRPr="00BD3436">
        <w:t xml:space="preserve">for </w:t>
      </w:r>
      <w:r>
        <w:t>dentoalveolar surgery,</w:t>
      </w:r>
      <w:r w:rsidRPr="00BD3436">
        <w:t xml:space="preserve"> urological surgery</w:t>
      </w:r>
      <w:r>
        <w:t xml:space="preserve">, cardiac </w:t>
      </w:r>
      <w:proofErr w:type="gramStart"/>
      <w:r>
        <w:t>surgery</w:t>
      </w:r>
      <w:proofErr w:type="gramEnd"/>
      <w:r w:rsidRPr="00BD3436">
        <w:t xml:space="preserve"> and </w:t>
      </w:r>
      <w:r>
        <w:t>gynaecological surgery</w:t>
      </w:r>
      <w:r w:rsidRPr="00BD3436">
        <w:t>, in particular</w:t>
      </w:r>
    </w:p>
    <w:p w14:paraId="7CFDE4DE" w14:textId="77777777" w:rsidR="00572F25" w:rsidRPr="009159E7" w:rsidRDefault="00572F25" w:rsidP="00572F25">
      <w:pPr>
        <w:pStyle w:val="ListParagraph"/>
        <w:numPr>
          <w:ilvl w:val="0"/>
          <w:numId w:val="38"/>
        </w:numPr>
        <w:spacing w:before="0" w:after="200"/>
      </w:pPr>
      <w:r>
        <w:t>i</w:t>
      </w:r>
      <w:r w:rsidRPr="009159E7">
        <w:t>nappropriate post</w:t>
      </w:r>
      <w:r>
        <w:t>-</w:t>
      </w:r>
      <w:r w:rsidRPr="009159E7">
        <w:t>procedural prescribing</w:t>
      </w:r>
      <w:r>
        <w:t xml:space="preserve"> (&gt;30%)</w:t>
      </w:r>
      <w:r w:rsidRPr="009159E7">
        <w:t xml:space="preserve"> for </w:t>
      </w:r>
      <w:r w:rsidRPr="00497D29">
        <w:rPr>
          <w:rFonts w:cs="Arial"/>
        </w:rPr>
        <w:t>thoracic surgery, vascular surgery, dentoalveolar surgery</w:t>
      </w:r>
      <w:r>
        <w:rPr>
          <w:rFonts w:cs="Arial"/>
        </w:rPr>
        <w:t xml:space="preserve">, breast surgery, </w:t>
      </w:r>
      <w:proofErr w:type="gramStart"/>
      <w:r>
        <w:t>neurosurgery</w:t>
      </w:r>
      <w:proofErr w:type="gramEnd"/>
      <w:r>
        <w:t xml:space="preserve"> and cardiac surgery,</w:t>
      </w:r>
      <w:r w:rsidRPr="009159E7">
        <w:t xml:space="preserve"> in particular.</w:t>
      </w:r>
    </w:p>
    <w:p w14:paraId="09C034F2" w14:textId="77777777" w:rsidR="00572F25" w:rsidRPr="00543D71" w:rsidRDefault="00572F25" w:rsidP="00572F25">
      <w:pPr>
        <w:ind w:right="403"/>
      </w:pPr>
      <w:r w:rsidRPr="00543D71">
        <w:t>Other key findings from the 20</w:t>
      </w:r>
      <w:r>
        <w:t>21</w:t>
      </w:r>
      <w:r w:rsidRPr="00543D71">
        <w:t xml:space="preserve"> Surgical NAPS include:</w:t>
      </w:r>
    </w:p>
    <w:p w14:paraId="2DBBE1E9" w14:textId="77777777" w:rsidR="00572F25" w:rsidRPr="00543D71" w:rsidRDefault="00572F25" w:rsidP="00572F25">
      <w:pPr>
        <w:pStyle w:val="ListParagraph"/>
        <w:numPr>
          <w:ilvl w:val="0"/>
          <w:numId w:val="39"/>
        </w:numPr>
        <w:spacing w:before="0" w:after="0"/>
        <w:ind w:right="402"/>
      </w:pPr>
      <w:r w:rsidRPr="00543D71">
        <w:t xml:space="preserve">Antimicrobial prescribing was assessed as appropriate in </w:t>
      </w:r>
      <w:r>
        <w:t>56.5</w:t>
      </w:r>
      <w:r w:rsidRPr="00543D71">
        <w:t>% of all surgical episodes</w:t>
      </w:r>
      <w:r>
        <w:t>.</w:t>
      </w:r>
      <w:r w:rsidRPr="00543D71">
        <w:t xml:space="preserve"> </w:t>
      </w:r>
    </w:p>
    <w:p w14:paraId="1BD671C0" w14:textId="77777777" w:rsidR="00572F25" w:rsidRPr="00543D71" w:rsidRDefault="00572F25" w:rsidP="00572F25">
      <w:pPr>
        <w:pStyle w:val="ListParagraph"/>
        <w:numPr>
          <w:ilvl w:val="0"/>
          <w:numId w:val="39"/>
        </w:numPr>
        <w:spacing w:before="0" w:after="0"/>
        <w:ind w:right="402"/>
      </w:pPr>
      <w:r w:rsidRPr="00543D71">
        <w:t>Reasons for inappropriate procedural prescribing were most commonly incorrect timing (</w:t>
      </w:r>
      <w:r>
        <w:t>50.2</w:t>
      </w:r>
      <w:r w:rsidRPr="00543D71">
        <w:t xml:space="preserve">%) and </w:t>
      </w:r>
      <w:r>
        <w:t>the antimicrobial spectrum being too broad</w:t>
      </w:r>
      <w:r w:rsidRPr="00543D71">
        <w:t xml:space="preserve"> (2</w:t>
      </w:r>
      <w:r>
        <w:t>2.4</w:t>
      </w:r>
      <w:r w:rsidRPr="00543D71">
        <w:t>%)</w:t>
      </w:r>
      <w:r>
        <w:t>.</w:t>
      </w:r>
      <w:r w:rsidRPr="00543D71">
        <w:t xml:space="preserve"> </w:t>
      </w:r>
    </w:p>
    <w:p w14:paraId="0CD69EE1" w14:textId="77777777" w:rsidR="00572F25" w:rsidRPr="00543D71" w:rsidRDefault="00572F25" w:rsidP="00572F25">
      <w:pPr>
        <w:pStyle w:val="ListParagraph"/>
        <w:numPr>
          <w:ilvl w:val="0"/>
          <w:numId w:val="39"/>
        </w:numPr>
        <w:spacing w:before="0" w:after="0"/>
        <w:ind w:right="402"/>
      </w:pPr>
      <w:r w:rsidRPr="00543D71">
        <w:t>Post</w:t>
      </w:r>
      <w:r>
        <w:t>-</w:t>
      </w:r>
      <w:r w:rsidRPr="00543D71">
        <w:t>procedurally, the most common reasons for inappropriate prescribing were incorrect duration (</w:t>
      </w:r>
      <w:r>
        <w:t>75.0</w:t>
      </w:r>
      <w:r w:rsidRPr="00543D71">
        <w:t>%) and incorrect dose or frequency (</w:t>
      </w:r>
      <w:r>
        <w:t>20.7</w:t>
      </w:r>
      <w:r w:rsidRPr="00543D71">
        <w:t>%)</w:t>
      </w:r>
      <w:r>
        <w:t>.</w:t>
      </w:r>
      <w:r w:rsidRPr="00543D71">
        <w:t xml:space="preserve"> </w:t>
      </w:r>
    </w:p>
    <w:p w14:paraId="2099E632" w14:textId="77777777" w:rsidR="00572F25" w:rsidRPr="00EE2F1F" w:rsidRDefault="00572F25" w:rsidP="00572F25">
      <w:pPr>
        <w:pStyle w:val="ListParagraph"/>
        <w:numPr>
          <w:ilvl w:val="0"/>
          <w:numId w:val="39"/>
        </w:numPr>
        <w:spacing w:before="0" w:after="200"/>
      </w:pPr>
      <w:r>
        <w:t>Antimicrobials prescribed post-procedurally continued for greater than 24 hours for 68.9% of prescriptions, and 42.4% continued for greater than 48 hours.</w:t>
      </w:r>
    </w:p>
    <w:p w14:paraId="4B20D871" w14:textId="77777777" w:rsidR="00572F25" w:rsidRPr="006F6AE8" w:rsidRDefault="00572F25" w:rsidP="00572F25">
      <w:pPr>
        <w:pStyle w:val="ListParagraph"/>
        <w:numPr>
          <w:ilvl w:val="0"/>
          <w:numId w:val="39"/>
        </w:numPr>
        <w:spacing w:before="0" w:after="200"/>
      </w:pPr>
      <w:r w:rsidRPr="006F6AE8">
        <w:t xml:space="preserve">Three procedure groups accounted for </w:t>
      </w:r>
      <w:r>
        <w:t>53.7</w:t>
      </w:r>
      <w:r w:rsidRPr="006F6AE8">
        <w:t>% of all surgical prophylaxis for up to or greater than 48 hours: orthopaedic surgery, ophthalmology</w:t>
      </w:r>
      <w:r>
        <w:t>,</w:t>
      </w:r>
      <w:r w:rsidRPr="006F6AE8">
        <w:t xml:space="preserve"> and plastic and reconstructive surgery.</w:t>
      </w:r>
    </w:p>
    <w:p w14:paraId="461C3D71" w14:textId="413E39F8" w:rsidR="00572F25" w:rsidRPr="00195C5D" w:rsidRDefault="00572F25" w:rsidP="00572F25">
      <w:r>
        <w:t xml:space="preserve">The ongoing success of the Surgical NAPS is reflected in this report’s inclusion of over 6 years of data, with </w:t>
      </w:r>
      <w:r w:rsidR="0063637B">
        <w:t>many hospitals continu</w:t>
      </w:r>
      <w:r w:rsidR="002C1F28">
        <w:t>i</w:t>
      </w:r>
      <w:r w:rsidR="0063637B">
        <w:t>ng to participate over that period.</w:t>
      </w:r>
      <w:r>
        <w:t xml:space="preserve"> A comparative data analysis is provided</w:t>
      </w:r>
      <w:r w:rsidRPr="007861DB">
        <w:t xml:space="preserve"> in </w:t>
      </w:r>
      <w:hyperlink w:anchor="_Appendix_4:_Comparative" w:history="1">
        <w:r w:rsidRPr="007861DB">
          <w:rPr>
            <w:rStyle w:val="Hyperlink"/>
          </w:rPr>
          <w:t>Appendix 4</w:t>
        </w:r>
      </w:hyperlink>
      <w:r w:rsidRPr="007861DB">
        <w:t>.</w:t>
      </w:r>
      <w:r>
        <w:t xml:space="preserve"> </w:t>
      </w:r>
    </w:p>
    <w:p w14:paraId="446E0273" w14:textId="77777777" w:rsidR="00572F25" w:rsidRPr="00101477" w:rsidRDefault="00572F25" w:rsidP="00572F25">
      <w:pPr>
        <w:pStyle w:val="Heading1"/>
        <w:numPr>
          <w:ilvl w:val="0"/>
          <w:numId w:val="27"/>
        </w:numPr>
        <w:ind w:left="0" w:firstLine="0"/>
        <w:jc w:val="both"/>
      </w:pPr>
      <w:bookmarkStart w:id="2" w:name="_Toc126664193"/>
      <w:r>
        <w:lastRenderedPageBreak/>
        <w:t>I</w:t>
      </w:r>
      <w:r w:rsidRPr="00BB1F3C">
        <w:t>ntroduction</w:t>
      </w:r>
      <w:bookmarkEnd w:id="2"/>
    </w:p>
    <w:p w14:paraId="4B60CCEB" w14:textId="77777777" w:rsidR="00572F25" w:rsidRPr="00EF0129" w:rsidRDefault="00572F25" w:rsidP="00572F25">
      <w:pPr>
        <w:rPr>
          <w:rFonts w:cs="Arial"/>
          <w:vertAlign w:val="superscript"/>
          <w:lang w:val="en-US"/>
        </w:rPr>
      </w:pPr>
      <w:r w:rsidRPr="00461C21" w:rsidDel="00955670">
        <w:rPr>
          <w:rFonts w:cs="Arial"/>
        </w:rPr>
        <w:t xml:space="preserve">The Surgical </w:t>
      </w:r>
      <w:r w:rsidRPr="00461C21">
        <w:rPr>
          <w:rFonts w:cs="Arial"/>
        </w:rPr>
        <w:t>National Antimicrobial Prescribing Survey</w:t>
      </w:r>
      <w:r w:rsidRPr="00461C21" w:rsidDel="00955670">
        <w:rPr>
          <w:rFonts w:cs="Arial"/>
        </w:rPr>
        <w:t xml:space="preserve"> </w:t>
      </w:r>
      <w:r w:rsidRPr="00461C21">
        <w:rPr>
          <w:rFonts w:cs="Arial"/>
        </w:rPr>
        <w:t xml:space="preserve">(Surgical </w:t>
      </w:r>
      <w:r w:rsidRPr="00461C21" w:rsidDel="00955670">
        <w:rPr>
          <w:rFonts w:cs="Arial"/>
        </w:rPr>
        <w:t>NAPS</w:t>
      </w:r>
      <w:r w:rsidRPr="00461C21">
        <w:rPr>
          <w:rFonts w:cs="Arial"/>
        </w:rPr>
        <w:t>)</w:t>
      </w:r>
      <w:r w:rsidRPr="00461C21" w:rsidDel="00955670">
        <w:rPr>
          <w:rFonts w:cs="Arial"/>
        </w:rPr>
        <w:t xml:space="preserve"> </w:t>
      </w:r>
      <w:r w:rsidRPr="00461C21">
        <w:rPr>
          <w:rFonts w:cs="Arial"/>
        </w:rPr>
        <w:t>i</w:t>
      </w:r>
      <w:r w:rsidRPr="00461C21" w:rsidDel="00955670">
        <w:rPr>
          <w:rFonts w:cs="Arial"/>
        </w:rPr>
        <w:t>s a standardised tool that allows Australian health</w:t>
      </w:r>
      <w:r w:rsidRPr="00EF0129">
        <w:rPr>
          <w:rFonts w:cs="Arial"/>
        </w:rPr>
        <w:t xml:space="preserve"> service organisations</w:t>
      </w:r>
      <w:r w:rsidRPr="00EF0129" w:rsidDel="00955670">
        <w:rPr>
          <w:rFonts w:cs="Arial"/>
        </w:rPr>
        <w:t xml:space="preserve"> to audit and report antimicrobial use in incisional and non</w:t>
      </w:r>
      <w:r>
        <w:rPr>
          <w:rFonts w:cs="Arial"/>
        </w:rPr>
        <w:t>-</w:t>
      </w:r>
      <w:r w:rsidRPr="00EF0129" w:rsidDel="00955670">
        <w:rPr>
          <w:rFonts w:cs="Arial"/>
        </w:rPr>
        <w:t>incisional surgical procedures, and to investigate procedural and post</w:t>
      </w:r>
      <w:r>
        <w:rPr>
          <w:rFonts w:cs="Arial"/>
        </w:rPr>
        <w:t>-</w:t>
      </w:r>
      <w:r w:rsidRPr="00EF0129" w:rsidDel="00955670">
        <w:rPr>
          <w:rFonts w:cs="Arial"/>
        </w:rPr>
        <w:t xml:space="preserve">procedural </w:t>
      </w:r>
      <w:r w:rsidRPr="00EF0129">
        <w:rPr>
          <w:rFonts w:cs="Arial"/>
        </w:rPr>
        <w:t>surgical prophylaxis</w:t>
      </w:r>
      <w:r w:rsidRPr="00EF0129" w:rsidDel="00955670">
        <w:rPr>
          <w:rFonts w:cs="Arial"/>
        </w:rPr>
        <w:t xml:space="preserve"> prescribing practices. It is designed to be a useful, </w:t>
      </w:r>
      <w:proofErr w:type="gramStart"/>
      <w:r w:rsidRPr="00EF0129" w:rsidDel="00955670">
        <w:rPr>
          <w:rFonts w:cs="Arial"/>
        </w:rPr>
        <w:t>practical</w:t>
      </w:r>
      <w:proofErr w:type="gramEnd"/>
      <w:r w:rsidRPr="00EF0129" w:rsidDel="00955670">
        <w:rPr>
          <w:rFonts w:cs="Arial"/>
        </w:rPr>
        <w:t xml:space="preserve"> and generalisable audit tool, providing some flexibility to fit the workflow of different facilities and to suit a range of </w:t>
      </w:r>
      <w:r w:rsidRPr="00EF0129">
        <w:rPr>
          <w:rFonts w:cs="Arial"/>
        </w:rPr>
        <w:t>auditors</w:t>
      </w:r>
      <w:r w:rsidRPr="00EF0129" w:rsidDel="00955670">
        <w:rPr>
          <w:rFonts w:cs="Arial"/>
        </w:rPr>
        <w:t xml:space="preserve"> including pharmacists, nurses and medical practitioners. </w:t>
      </w:r>
    </w:p>
    <w:p w14:paraId="5BA236BA" w14:textId="77777777" w:rsidR="00572F25" w:rsidRPr="00EF0129" w:rsidRDefault="00572F25" w:rsidP="00572F25">
      <w:r w:rsidRPr="00EF0129">
        <w:t>The Surgical NAPS supports Australian health service organisations, states and territories and private health service provider organisations to develop and conduct antimicrobial stewardship</w:t>
      </w:r>
      <w:r>
        <w:t xml:space="preserve"> (AMS)</w:t>
      </w:r>
      <w:r w:rsidRPr="00EF0129">
        <w:t xml:space="preserve"> programs by:</w:t>
      </w:r>
    </w:p>
    <w:p w14:paraId="791A51DD" w14:textId="77777777" w:rsidR="00572F25" w:rsidRPr="00EF0129" w:rsidRDefault="00572F25" w:rsidP="00572F25">
      <w:pPr>
        <w:pStyle w:val="Bulletlist"/>
        <w:ind w:left="426" w:hanging="284"/>
        <w:rPr>
          <w:szCs w:val="22"/>
        </w:rPr>
      </w:pPr>
      <w:r>
        <w:rPr>
          <w:szCs w:val="22"/>
        </w:rPr>
        <w:t>f</w:t>
      </w:r>
      <w:r w:rsidRPr="00EF0129">
        <w:rPr>
          <w:szCs w:val="22"/>
        </w:rPr>
        <w:t xml:space="preserve">acilitating effective audit and review of antimicrobial use associated with surgical procedures, including compliance with prescribing guidelines and prescribing </w:t>
      </w:r>
      <w:proofErr w:type="gramStart"/>
      <w:r w:rsidRPr="00EF0129">
        <w:rPr>
          <w:szCs w:val="22"/>
        </w:rPr>
        <w:t>appropriateness</w:t>
      </w:r>
      <w:proofErr w:type="gramEnd"/>
    </w:p>
    <w:p w14:paraId="01C37264" w14:textId="77777777" w:rsidR="00572F25" w:rsidRPr="00EF0129" w:rsidRDefault="00572F25" w:rsidP="00572F25">
      <w:pPr>
        <w:pStyle w:val="Bulletlist"/>
        <w:ind w:left="426" w:hanging="284"/>
        <w:rPr>
          <w:szCs w:val="22"/>
        </w:rPr>
      </w:pPr>
      <w:r>
        <w:rPr>
          <w:szCs w:val="22"/>
        </w:rPr>
        <w:t>f</w:t>
      </w:r>
      <w:r w:rsidRPr="00EF0129">
        <w:rPr>
          <w:szCs w:val="22"/>
        </w:rPr>
        <w:t>acilitating effective communication regarding antimicrobial use and identifying key targets for interventions</w:t>
      </w:r>
    </w:p>
    <w:p w14:paraId="42081768" w14:textId="77777777" w:rsidR="00572F25" w:rsidRPr="00EF0129" w:rsidRDefault="00572F25" w:rsidP="00572F25">
      <w:pPr>
        <w:pStyle w:val="Bulletlist"/>
        <w:ind w:left="426" w:hanging="284"/>
        <w:rPr>
          <w:szCs w:val="22"/>
        </w:rPr>
      </w:pPr>
      <w:r>
        <w:rPr>
          <w:szCs w:val="22"/>
        </w:rPr>
        <w:t>s</w:t>
      </w:r>
      <w:r w:rsidRPr="00EF0129">
        <w:rPr>
          <w:szCs w:val="22"/>
        </w:rPr>
        <w:t>upporting workforce education and training</w:t>
      </w:r>
    </w:p>
    <w:p w14:paraId="4B76C9A6" w14:textId="77777777" w:rsidR="00572F25" w:rsidRPr="00EF0129" w:rsidRDefault="00572F25" w:rsidP="00572F25">
      <w:pPr>
        <w:pStyle w:val="Bulletlist"/>
        <w:ind w:left="426" w:hanging="284"/>
        <w:rPr>
          <w:szCs w:val="22"/>
        </w:rPr>
      </w:pPr>
      <w:r>
        <w:rPr>
          <w:szCs w:val="22"/>
        </w:rPr>
        <w:t>s</w:t>
      </w:r>
      <w:r w:rsidRPr="00EF0129">
        <w:rPr>
          <w:szCs w:val="22"/>
        </w:rPr>
        <w:t xml:space="preserve">upporting the implementation of antimicrobial stewardship practices across facilities where surgical procedures are performed. </w:t>
      </w:r>
    </w:p>
    <w:p w14:paraId="2722C01F" w14:textId="77777777" w:rsidR="00572F25" w:rsidRPr="00A65FA7" w:rsidRDefault="00572F25" w:rsidP="00572F25">
      <w:r w:rsidRPr="00A65FA7">
        <w:t xml:space="preserve">Participation in the Surgical NAPS may assist health service organisations to demonstrate that they meet the antimicrobial stewardship actions of the National Safety and Quality Health Service </w:t>
      </w:r>
      <w:r w:rsidRPr="00EA66BA">
        <w:t>(NSQHS)</w:t>
      </w:r>
      <w:r w:rsidRPr="00A65FA7">
        <w:t xml:space="preserve"> Preventing and Controlling Healthcare</w:t>
      </w:r>
      <w:r>
        <w:t>-</w:t>
      </w:r>
      <w:r w:rsidRPr="00A65FA7">
        <w:t xml:space="preserve">Associated Infection Standard. </w:t>
      </w:r>
      <w:r>
        <w:t>This standard requires AMS programs to take action to improve prescribing, and to report to clinicians on appropriateness of prescribing and compliance with guidelines.</w:t>
      </w:r>
      <w:r w:rsidRPr="00A65FA7">
        <w:rPr>
          <w:vertAlign w:val="superscript"/>
        </w:rPr>
        <w:t>3</w:t>
      </w:r>
    </w:p>
    <w:p w14:paraId="7B311E6E" w14:textId="77777777" w:rsidR="00572F25" w:rsidRPr="00EF0129" w:rsidRDefault="00572F25" w:rsidP="00572F25">
      <w:pPr>
        <w:rPr>
          <w:rFonts w:cs="Arial"/>
          <w:color w:val="000000"/>
        </w:rPr>
      </w:pPr>
      <w:r w:rsidRPr="00A0072F">
        <w:rPr>
          <w:rFonts w:cs="Arial"/>
          <w:color w:val="000000"/>
        </w:rPr>
        <w:t xml:space="preserve">An advisory statement </w:t>
      </w:r>
      <w:r>
        <w:rPr>
          <w:rFonts w:cs="Arial"/>
          <w:color w:val="000000"/>
        </w:rPr>
        <w:t xml:space="preserve">(AS18/08) </w:t>
      </w:r>
      <w:r w:rsidRPr="00A0072F">
        <w:rPr>
          <w:rFonts w:cs="Arial"/>
          <w:color w:val="000000"/>
        </w:rPr>
        <w:t xml:space="preserve">from the </w:t>
      </w:r>
      <w:r w:rsidRPr="00A0072F">
        <w:rPr>
          <w:rFonts w:cs="Arial"/>
        </w:rPr>
        <w:t>Australian Commission on Safety and Quality in Health Care (</w:t>
      </w:r>
      <w:r>
        <w:rPr>
          <w:rFonts w:cs="Arial"/>
        </w:rPr>
        <w:t>ACSQHC</w:t>
      </w:r>
      <w:r w:rsidRPr="00EF0129">
        <w:rPr>
          <w:rFonts w:cs="Arial"/>
        </w:rPr>
        <w:t>)</w:t>
      </w:r>
      <w:r w:rsidRPr="00EF0129">
        <w:rPr>
          <w:rFonts w:cs="Arial"/>
          <w:color w:val="000000"/>
        </w:rPr>
        <w:t xml:space="preserve"> was published in 20</w:t>
      </w:r>
      <w:r>
        <w:rPr>
          <w:rFonts w:cs="Arial"/>
          <w:color w:val="000000"/>
        </w:rPr>
        <w:t>21</w:t>
      </w:r>
      <w:r w:rsidRPr="00EF0129">
        <w:rPr>
          <w:rFonts w:cs="Arial"/>
          <w:color w:val="000000"/>
        </w:rPr>
        <w:t xml:space="preserve"> to update the </w:t>
      </w:r>
      <w:r w:rsidRPr="006B7BCA">
        <w:rPr>
          <w:rFonts w:cs="Arial"/>
          <w:color w:val="000000"/>
        </w:rPr>
        <w:t>NSQHS Standards</w:t>
      </w:r>
      <w:r w:rsidRPr="00EF0129">
        <w:rPr>
          <w:rFonts w:cs="Arial"/>
          <w:color w:val="000000"/>
        </w:rPr>
        <w:t xml:space="preserve"> to ensure </w:t>
      </w:r>
      <w:r>
        <w:rPr>
          <w:rFonts w:cs="Arial"/>
          <w:color w:val="000000"/>
        </w:rPr>
        <w:t xml:space="preserve">hospitals address </w:t>
      </w:r>
      <w:r w:rsidRPr="00EF0129">
        <w:rPr>
          <w:rFonts w:cs="Arial"/>
          <w:color w:val="000000"/>
        </w:rPr>
        <w:t xml:space="preserve">surgical prophylaxis as part of </w:t>
      </w:r>
      <w:r>
        <w:rPr>
          <w:rFonts w:cs="Arial"/>
          <w:color w:val="000000"/>
        </w:rPr>
        <w:t>their</w:t>
      </w:r>
      <w:r w:rsidRPr="00EF0129">
        <w:rPr>
          <w:rFonts w:cs="Arial"/>
          <w:color w:val="000000"/>
        </w:rPr>
        <w:t xml:space="preserve"> </w:t>
      </w:r>
      <w:r w:rsidRPr="006B7BCA">
        <w:rPr>
          <w:rFonts w:cs="Arial"/>
          <w:color w:val="000000"/>
        </w:rPr>
        <w:t>AMS</w:t>
      </w:r>
      <w:r w:rsidRPr="00EF0129">
        <w:rPr>
          <w:rFonts w:cs="Arial"/>
          <w:color w:val="000000"/>
        </w:rPr>
        <w:t xml:space="preserve"> programs to maintain their national accreditation.</w:t>
      </w:r>
      <w:r>
        <w:rPr>
          <w:vertAlign w:val="superscript"/>
        </w:rPr>
        <w:t>4</w:t>
      </w:r>
    </w:p>
    <w:p w14:paraId="26695281" w14:textId="57283DCE" w:rsidR="00572F25" w:rsidRDefault="00572F25" w:rsidP="00572F25">
      <w:pPr>
        <w:rPr>
          <w:rFonts w:cs="Arial"/>
          <w:color w:val="000000"/>
        </w:rPr>
      </w:pPr>
      <w:r w:rsidRPr="00EF0129">
        <w:rPr>
          <w:rFonts w:cs="Arial"/>
          <w:color w:val="000000"/>
        </w:rPr>
        <w:t xml:space="preserve">To ensure this requirement </w:t>
      </w:r>
      <w:r>
        <w:rPr>
          <w:rFonts w:cs="Arial"/>
          <w:color w:val="000000"/>
        </w:rPr>
        <w:t>is</w:t>
      </w:r>
      <w:r w:rsidRPr="00EF0129">
        <w:rPr>
          <w:rFonts w:cs="Arial"/>
          <w:color w:val="000000"/>
        </w:rPr>
        <w:t xml:space="preserve"> met, the statement advise</w:t>
      </w:r>
      <w:r>
        <w:rPr>
          <w:rFonts w:cs="Arial"/>
          <w:color w:val="000000"/>
        </w:rPr>
        <w:t>s</w:t>
      </w:r>
      <w:r w:rsidRPr="00EF0129">
        <w:rPr>
          <w:rFonts w:cs="Arial"/>
          <w:color w:val="000000"/>
        </w:rPr>
        <w:t xml:space="preserve"> monitoring the performance of </w:t>
      </w:r>
      <w:r>
        <w:rPr>
          <w:rFonts w:cs="Arial"/>
          <w:color w:val="000000"/>
        </w:rPr>
        <w:t xml:space="preserve">surgical antimicrobial prophylaxis </w:t>
      </w:r>
      <w:r w:rsidRPr="00EF0129">
        <w:rPr>
          <w:rFonts w:cs="Arial"/>
          <w:color w:val="000000"/>
        </w:rPr>
        <w:t xml:space="preserve">prescribing </w:t>
      </w:r>
      <w:r>
        <w:rPr>
          <w:rFonts w:cs="Arial"/>
          <w:color w:val="000000"/>
        </w:rPr>
        <w:t>against</w:t>
      </w:r>
      <w:r w:rsidRPr="00461C21">
        <w:rPr>
          <w:rFonts w:cs="Arial"/>
          <w:color w:val="000000"/>
        </w:rPr>
        <w:t xml:space="preserve"> the following indicators from the</w:t>
      </w:r>
      <w:r>
        <w:rPr>
          <w:rFonts w:cs="Arial"/>
          <w:color w:val="000000"/>
        </w:rPr>
        <w:t xml:space="preserve"> </w:t>
      </w:r>
      <w:r w:rsidRPr="00461C21">
        <w:rPr>
          <w:rFonts w:cs="Arial"/>
          <w:color w:val="000000"/>
        </w:rPr>
        <w:t xml:space="preserve">Antimicrobial Stewardship Clinical Care Standard </w:t>
      </w:r>
      <w:r>
        <w:rPr>
          <w:rFonts w:cs="Arial"/>
          <w:color w:val="000000"/>
        </w:rPr>
        <w:t>(</w:t>
      </w:r>
      <w:r w:rsidRPr="00461C21">
        <w:rPr>
          <w:rFonts w:cs="Arial"/>
          <w:color w:val="000000"/>
        </w:rPr>
        <w:t>ASCCS</w:t>
      </w:r>
      <w:r>
        <w:rPr>
          <w:rFonts w:cs="Arial"/>
          <w:color w:val="000000"/>
        </w:rPr>
        <w:t>) (revised 2020)</w:t>
      </w:r>
      <w:r>
        <w:rPr>
          <w:vertAlign w:val="superscript"/>
        </w:rPr>
        <w:t>5</w:t>
      </w:r>
      <w:r w:rsidR="007014BA" w:rsidRPr="007014BA">
        <w:t>:</w:t>
      </w:r>
    </w:p>
    <w:p w14:paraId="318EF21C" w14:textId="77777777" w:rsidR="00572F25" w:rsidRDefault="00572F25" w:rsidP="00572F25">
      <w:pPr>
        <w:pStyle w:val="Bulletlist"/>
      </w:pPr>
      <w:r>
        <w:t xml:space="preserve">Indicator 6a: the proportion of prescriptions for which the indication for prescribing the antimicrobial is documented. </w:t>
      </w:r>
    </w:p>
    <w:p w14:paraId="53EAEE71" w14:textId="77777777" w:rsidR="00572F25" w:rsidRDefault="00572F25" w:rsidP="00572F25">
      <w:pPr>
        <w:pStyle w:val="Bulletlist"/>
      </w:pPr>
      <w:r>
        <w:t xml:space="preserve">Indicator 6b: the proportion of prescriptions for which the duration, stop date or review date for the antimicrobial is documented. </w:t>
      </w:r>
    </w:p>
    <w:p w14:paraId="76CA4FD2" w14:textId="77777777" w:rsidR="00572F25" w:rsidRDefault="00572F25" w:rsidP="00572F25">
      <w:pPr>
        <w:pStyle w:val="Bulletlist"/>
      </w:pPr>
      <w:r>
        <w:t xml:space="preserve">Indicator 8a: the proportion of patients for whom the perioperative prophylactic antimicrobial is prescribed in accordance with the current </w:t>
      </w:r>
      <w:r w:rsidRPr="00990814">
        <w:t>Therapeutic Guidelines</w:t>
      </w:r>
      <w:r>
        <w:rPr>
          <w:rFonts w:cs="Arial"/>
          <w:vertAlign w:val="superscript"/>
        </w:rPr>
        <w:t>10</w:t>
      </w:r>
      <w:r>
        <w:t xml:space="preserve"> or evidence-based, locally endorsed guidelines. </w:t>
      </w:r>
    </w:p>
    <w:p w14:paraId="4A652546" w14:textId="77777777" w:rsidR="00572F25" w:rsidRDefault="00572F25" w:rsidP="00572F25">
      <w:pPr>
        <w:pStyle w:val="Bulletlist"/>
      </w:pPr>
      <w:r>
        <w:t xml:space="preserve">Indicator 8b: the proportion of patients for whom the perioperative prophylactic antimicrobial dose is prescribed in accordance with the current </w:t>
      </w:r>
      <w:r w:rsidRPr="00990814">
        <w:t>Therapeutic Guidelines</w:t>
      </w:r>
      <w:r>
        <w:rPr>
          <w:rFonts w:cs="Arial"/>
          <w:vertAlign w:val="superscript"/>
        </w:rPr>
        <w:t>10</w:t>
      </w:r>
      <w:r>
        <w:t xml:space="preserve"> or evidence-based, locally endorsed guidelines. </w:t>
      </w:r>
    </w:p>
    <w:p w14:paraId="2553BD2E" w14:textId="77777777" w:rsidR="00572F25" w:rsidRDefault="00572F25" w:rsidP="00572F25">
      <w:pPr>
        <w:pStyle w:val="Bulletlist"/>
      </w:pPr>
      <w:r>
        <w:t xml:space="preserve">Indicator 8c: the proportion of patients who are administered prophylactic antimicrobials within the recommended time peri-operatively. </w:t>
      </w:r>
    </w:p>
    <w:p w14:paraId="188D63E2" w14:textId="77777777" w:rsidR="00572F25" w:rsidRPr="00A30ADA" w:rsidRDefault="00572F25" w:rsidP="00572F25">
      <w:pPr>
        <w:pStyle w:val="Bulletlist"/>
      </w:pPr>
      <w:r>
        <w:t xml:space="preserve">Indicator 8d: the proportion of patients who were prescribed prolonged antimicrobials following a surgery or procedure that is discordant with the current </w:t>
      </w:r>
      <w:r w:rsidRPr="00990814">
        <w:t>Therapeutic Guidelines</w:t>
      </w:r>
      <w:r>
        <w:rPr>
          <w:rFonts w:cs="Arial"/>
          <w:vertAlign w:val="superscript"/>
        </w:rPr>
        <w:t>10</w:t>
      </w:r>
      <w:r>
        <w:t xml:space="preserve"> or evidence-based, locally endorsed guidelines.</w:t>
      </w:r>
    </w:p>
    <w:p w14:paraId="033D843C" w14:textId="77777777" w:rsidR="00572F25" w:rsidRPr="00461C21" w:rsidRDefault="00572F25" w:rsidP="00572F25">
      <w:pPr>
        <w:spacing w:after="0"/>
        <w:jc w:val="both"/>
        <w:rPr>
          <w:rFonts w:cs="Arial"/>
        </w:rPr>
      </w:pPr>
    </w:p>
    <w:p w14:paraId="6A06AEF0" w14:textId="77777777" w:rsidR="00572F25" w:rsidRPr="00607EA3" w:rsidRDefault="00572F25" w:rsidP="00572F25">
      <w:r w:rsidRPr="00461C21">
        <w:lastRenderedPageBreak/>
        <w:t xml:space="preserve">The advisory statement also endorsed the </w:t>
      </w:r>
      <w:r w:rsidRPr="00AD60E1">
        <w:t>utilisation</w:t>
      </w:r>
      <w:r w:rsidRPr="00461C21">
        <w:t xml:space="preserve"> of the NAPS online auditing platform and the </w:t>
      </w:r>
      <w:r w:rsidRPr="00EF0129">
        <w:rPr>
          <w:rStyle w:val="Emphasis"/>
          <w:rFonts w:cs="Arial"/>
          <w:bCs/>
          <w:i w:val="0"/>
          <w:iCs w:val="0"/>
          <w:shd w:val="clear" w:color="auto" w:fill="FFFFFF"/>
        </w:rPr>
        <w:t>National Antimicrobial Utilisation Surveillance Program</w:t>
      </w:r>
      <w:r w:rsidRPr="00EF0129">
        <w:rPr>
          <w:shd w:val="clear" w:color="auto" w:fill="FFFFFF"/>
        </w:rPr>
        <w:t> </w:t>
      </w:r>
      <w:r w:rsidRPr="00EF0129">
        <w:t>(N</w:t>
      </w:r>
      <w:r w:rsidRPr="00461C21">
        <w:t>AUSP) for monitoring appropriateness and usage respectively</w:t>
      </w:r>
      <w:r>
        <w:t>.</w:t>
      </w:r>
      <w:r>
        <w:rPr>
          <w:vertAlign w:val="superscript"/>
        </w:rPr>
        <w:t>4</w:t>
      </w:r>
      <w:r w:rsidRPr="00461C21">
        <w:t xml:space="preserve"> </w:t>
      </w:r>
      <w:r>
        <w:t>The Surgical NAPS provides a means for assessing antimicrobial use; however, the onus is on the contributing facility to take action to address its local audit results.</w:t>
      </w:r>
    </w:p>
    <w:p w14:paraId="1D720F6C" w14:textId="77777777" w:rsidR="00572F25" w:rsidRPr="00EF0129" w:rsidRDefault="00572F25" w:rsidP="00572F25">
      <w:r w:rsidRPr="00461C21">
        <w:t xml:space="preserve">Since 2016, </w:t>
      </w:r>
      <w:r>
        <w:t>ACSQHC</w:t>
      </w:r>
      <w:r w:rsidRPr="00461C21">
        <w:t xml:space="preserve"> and the Australian Government Department of Health</w:t>
      </w:r>
      <w:r>
        <w:t xml:space="preserve"> and Aged Care (DHAC)</w:t>
      </w:r>
      <w:r w:rsidRPr="00461C21">
        <w:t xml:space="preserve"> have provided funding for the National Centre </w:t>
      </w:r>
      <w:r>
        <w:t>for</w:t>
      </w:r>
      <w:r w:rsidRPr="00461C21">
        <w:t xml:space="preserve"> Antimicrobial Stewardship (NCAS) to conduct the Surgical NAPS and contribute data to the Antimicrobial Use and Resistance in Austr</w:t>
      </w:r>
      <w:r w:rsidRPr="00EF0129">
        <w:t>alia (AURA) Surveillance System.</w:t>
      </w:r>
      <w:r>
        <w:rPr>
          <w:vertAlign w:val="superscript"/>
        </w:rPr>
        <w:t>6,7</w:t>
      </w:r>
      <w:r w:rsidRPr="00EF0129">
        <w:rPr>
          <w:vertAlign w:val="superscript"/>
        </w:rPr>
        <w:t xml:space="preserve"> </w:t>
      </w:r>
      <w:r w:rsidRPr="00EF0129">
        <w:t xml:space="preserve">Funding for AURA is provided by </w:t>
      </w:r>
      <w:r>
        <w:t>DHAC</w:t>
      </w:r>
      <w:r w:rsidRPr="00EF0129">
        <w:t xml:space="preserve"> and state and territory health departments. </w:t>
      </w:r>
    </w:p>
    <w:p w14:paraId="3BC671BC" w14:textId="77777777" w:rsidR="00572F25" w:rsidRDefault="00572F25" w:rsidP="00572F25">
      <w:r w:rsidRPr="00EF0129">
        <w:t xml:space="preserve">The Surgical NAPS methods are described </w:t>
      </w:r>
      <w:r>
        <w:t xml:space="preserve">in </w:t>
      </w:r>
      <w:r w:rsidRPr="00AD60E1">
        <w:t>Chapter 2</w:t>
      </w:r>
      <w:r w:rsidRPr="00461C21">
        <w:t>, and the limitations</w:t>
      </w:r>
      <w:r>
        <w:t xml:space="preserve"> of</w:t>
      </w:r>
      <w:r w:rsidRPr="00461C21">
        <w:t xml:space="preserve"> and considerations for interpretation of results are outlined in </w:t>
      </w:r>
      <w:hyperlink w:anchor="_Appendix_2:_Limitations" w:history="1">
        <w:r w:rsidRPr="00461C21">
          <w:rPr>
            <w:rStyle w:val="Hyperlink"/>
            <w:iCs/>
          </w:rPr>
          <w:t xml:space="preserve">Appendix </w:t>
        </w:r>
        <w:r>
          <w:rPr>
            <w:rStyle w:val="Hyperlink"/>
            <w:iCs/>
          </w:rPr>
          <w:t>1</w:t>
        </w:r>
      </w:hyperlink>
      <w:r w:rsidRPr="00461C21">
        <w:t xml:space="preserve">. </w:t>
      </w:r>
    </w:p>
    <w:p w14:paraId="4706086C" w14:textId="77777777" w:rsidR="00572F25" w:rsidRDefault="00572F25" w:rsidP="00572F25">
      <w:pPr>
        <w:spacing w:after="0"/>
      </w:pPr>
      <w:r>
        <w:br w:type="page"/>
      </w:r>
    </w:p>
    <w:p w14:paraId="4D7DE9E1" w14:textId="77777777" w:rsidR="00572F25" w:rsidRDefault="00572F25" w:rsidP="00572F25">
      <w:pPr>
        <w:pStyle w:val="Heading1"/>
        <w:numPr>
          <w:ilvl w:val="0"/>
          <w:numId w:val="27"/>
        </w:numPr>
        <w:ind w:left="0" w:firstLine="0"/>
      </w:pPr>
      <w:bookmarkStart w:id="3" w:name="_Toc126604226"/>
      <w:bookmarkStart w:id="4" w:name="_Toc126604306"/>
      <w:bookmarkStart w:id="5" w:name="_Toc126604514"/>
      <w:bookmarkStart w:id="6" w:name="_Toc126661402"/>
      <w:bookmarkStart w:id="7" w:name="_Toc126661439"/>
      <w:bookmarkStart w:id="8" w:name="_Toc126664194"/>
      <w:bookmarkStart w:id="9" w:name="_Toc126604227"/>
      <w:bookmarkStart w:id="10" w:name="_Toc126604307"/>
      <w:bookmarkStart w:id="11" w:name="_Toc126604515"/>
      <w:bookmarkStart w:id="12" w:name="_Toc126661403"/>
      <w:bookmarkStart w:id="13" w:name="_Toc126661440"/>
      <w:bookmarkStart w:id="14" w:name="_Toc126664195"/>
      <w:bookmarkStart w:id="15" w:name="_Methodology_1"/>
      <w:bookmarkStart w:id="16" w:name="_Toc126664196"/>
      <w:bookmarkEnd w:id="3"/>
      <w:bookmarkEnd w:id="4"/>
      <w:bookmarkEnd w:id="5"/>
      <w:bookmarkEnd w:id="6"/>
      <w:bookmarkEnd w:id="7"/>
      <w:bookmarkEnd w:id="8"/>
      <w:bookmarkEnd w:id="9"/>
      <w:bookmarkEnd w:id="10"/>
      <w:bookmarkEnd w:id="11"/>
      <w:bookmarkEnd w:id="12"/>
      <w:bookmarkEnd w:id="13"/>
      <w:bookmarkEnd w:id="14"/>
      <w:bookmarkEnd w:id="15"/>
      <w:r>
        <w:lastRenderedPageBreak/>
        <w:t>Methodology</w:t>
      </w:r>
      <w:bookmarkEnd w:id="16"/>
    </w:p>
    <w:p w14:paraId="728243FD" w14:textId="77777777" w:rsidR="00572F25" w:rsidRPr="00EC1C06" w:rsidRDefault="00DC6E9C" w:rsidP="00DC6E9C">
      <w:pPr>
        <w:pStyle w:val="Heading2"/>
      </w:pPr>
      <w:bookmarkStart w:id="17" w:name="_Toc18018568"/>
      <w:bookmarkStart w:id="18" w:name="_Toc45292090"/>
      <w:bookmarkStart w:id="19" w:name="_Toc47422938"/>
      <w:bookmarkStart w:id="20" w:name="_Toc47423751"/>
      <w:bookmarkStart w:id="21" w:name="_Toc106731792"/>
      <w:bookmarkStart w:id="22" w:name="_Toc126664197"/>
      <w:r>
        <w:t>2.1</w:t>
      </w:r>
      <w:r>
        <w:tab/>
      </w:r>
      <w:r w:rsidR="00572F25" w:rsidRPr="00EC1C06">
        <w:t>Data collection</w:t>
      </w:r>
      <w:bookmarkEnd w:id="17"/>
      <w:bookmarkEnd w:id="18"/>
      <w:bookmarkEnd w:id="19"/>
      <w:bookmarkEnd w:id="20"/>
      <w:bookmarkEnd w:id="21"/>
      <w:bookmarkEnd w:id="22"/>
    </w:p>
    <w:p w14:paraId="0A77264B" w14:textId="77777777" w:rsidR="00572F25" w:rsidRPr="00EC1C06" w:rsidRDefault="00DC6E9C" w:rsidP="00DC6E9C">
      <w:pPr>
        <w:pStyle w:val="Heading3"/>
      </w:pPr>
      <w:bookmarkStart w:id="23" w:name="_Toc45292091"/>
      <w:bookmarkStart w:id="24" w:name="_Toc47422939"/>
      <w:bookmarkStart w:id="25" w:name="_Toc47423752"/>
      <w:bookmarkStart w:id="26" w:name="_Toc106731793"/>
      <w:r>
        <w:t>2.1.1</w:t>
      </w:r>
      <w:proofErr w:type="gramStart"/>
      <w:r>
        <w:tab/>
        <w:t xml:space="preserve">  </w:t>
      </w:r>
      <w:r w:rsidR="00572F25" w:rsidRPr="00EC1C06">
        <w:t>Data</w:t>
      </w:r>
      <w:proofErr w:type="gramEnd"/>
      <w:r w:rsidR="00572F25" w:rsidRPr="00EC1C06">
        <w:t xml:space="preserve"> collection period</w:t>
      </w:r>
      <w:bookmarkEnd w:id="23"/>
      <w:bookmarkEnd w:id="24"/>
      <w:bookmarkEnd w:id="25"/>
      <w:bookmarkEnd w:id="26"/>
    </w:p>
    <w:p w14:paraId="1804B595" w14:textId="77777777" w:rsidR="00DF7D25" w:rsidRPr="00DF7D25" w:rsidRDefault="00572F25" w:rsidP="00DF7D25">
      <w:pPr>
        <w:rPr>
          <w:rFonts w:cs="Arial"/>
          <w:color w:val="auto"/>
          <w:szCs w:val="22"/>
        </w:rPr>
      </w:pPr>
      <w:r w:rsidRPr="00EC1C06">
        <w:rPr>
          <w:rFonts w:cs="Arial"/>
        </w:rPr>
        <w:t>Data submitted through the online data entry portal from 1 January to 31 December 20</w:t>
      </w:r>
      <w:r>
        <w:rPr>
          <w:rFonts w:cs="Arial"/>
        </w:rPr>
        <w:t xml:space="preserve">21 </w:t>
      </w:r>
      <w:r w:rsidRPr="00EC1C06">
        <w:rPr>
          <w:rFonts w:cs="Arial"/>
        </w:rPr>
        <w:t>were eligible for inclusion in the 20</w:t>
      </w:r>
      <w:r>
        <w:rPr>
          <w:rFonts w:cs="Arial"/>
        </w:rPr>
        <w:t>21</w:t>
      </w:r>
      <w:r w:rsidRPr="00EC1C06">
        <w:rPr>
          <w:rFonts w:cs="Arial"/>
        </w:rPr>
        <w:t xml:space="preserve"> public report. </w:t>
      </w:r>
      <w:r w:rsidR="00DF7D25" w:rsidRPr="00DF7D25">
        <w:rPr>
          <w:color w:val="auto"/>
        </w:rPr>
        <w:t xml:space="preserve">Auditors may decide to audit from a different </w:t>
      </w:r>
      <w:proofErr w:type="gramStart"/>
      <w:r w:rsidR="00DF7D25" w:rsidRPr="00DF7D25">
        <w:rPr>
          <w:color w:val="auto"/>
        </w:rPr>
        <w:t>time period</w:t>
      </w:r>
      <w:proofErr w:type="gramEnd"/>
      <w:r w:rsidR="00DF7D25" w:rsidRPr="00DF7D25">
        <w:rPr>
          <w:color w:val="auto"/>
        </w:rPr>
        <w:t xml:space="preserve"> i.e., prior to 2021. This data is not included in the 2021 public </w:t>
      </w:r>
      <w:proofErr w:type="gramStart"/>
      <w:r w:rsidR="00DF7D25" w:rsidRPr="00DF7D25">
        <w:rPr>
          <w:color w:val="auto"/>
        </w:rPr>
        <w:t>report, but</w:t>
      </w:r>
      <w:proofErr w:type="gramEnd"/>
      <w:r w:rsidR="00DF7D25" w:rsidRPr="00DF7D25">
        <w:rPr>
          <w:color w:val="auto"/>
        </w:rPr>
        <w:t xml:space="preserve"> will influence the total number of facilities that have contributed data per year over time.</w:t>
      </w:r>
    </w:p>
    <w:p w14:paraId="07B6E0A9" w14:textId="77777777" w:rsidR="00572F25" w:rsidRPr="00EC1C06" w:rsidRDefault="00DC6E9C" w:rsidP="00DC6E9C">
      <w:pPr>
        <w:pStyle w:val="Heading3"/>
      </w:pPr>
      <w:bookmarkStart w:id="27" w:name="_Toc45292092"/>
      <w:bookmarkStart w:id="28" w:name="_Toc47422940"/>
      <w:bookmarkStart w:id="29" w:name="_Toc47423753"/>
      <w:bookmarkStart w:id="30" w:name="_Toc106731794"/>
      <w:bookmarkStart w:id="31" w:name="_Toc18018567"/>
      <w:bookmarkStart w:id="32" w:name="_Toc462924810"/>
      <w:proofErr w:type="gramStart"/>
      <w:r>
        <w:t xml:space="preserve">2.1.2  </w:t>
      </w:r>
      <w:r w:rsidR="00572F25" w:rsidRPr="00EC1C06">
        <w:t>Recruitment</w:t>
      </w:r>
      <w:bookmarkEnd w:id="27"/>
      <w:bookmarkEnd w:id="28"/>
      <w:bookmarkEnd w:id="29"/>
      <w:bookmarkEnd w:id="30"/>
      <w:proofErr w:type="gramEnd"/>
      <w:r w:rsidR="00572F25" w:rsidRPr="00EC1C06">
        <w:t xml:space="preserve"> </w:t>
      </w:r>
    </w:p>
    <w:p w14:paraId="0DD56A78" w14:textId="77777777" w:rsidR="00572F25" w:rsidRPr="00EC1C06" w:rsidRDefault="00572F25" w:rsidP="00572F25">
      <w:pPr>
        <w:rPr>
          <w:rFonts w:cs="Arial"/>
        </w:rPr>
      </w:pPr>
      <w:r w:rsidRPr="00EC1C06">
        <w:rPr>
          <w:rFonts w:cs="Arial"/>
        </w:rPr>
        <w:t xml:space="preserve">The Surgical NAPS module </w:t>
      </w:r>
      <w:r>
        <w:rPr>
          <w:rFonts w:cs="Arial"/>
        </w:rPr>
        <w:t>was</w:t>
      </w:r>
      <w:r w:rsidRPr="00EC1C06">
        <w:rPr>
          <w:rFonts w:cs="Arial"/>
        </w:rPr>
        <w:t xml:space="preserve"> available to all users registered for the NAPS. All registered users of </w:t>
      </w:r>
      <w:r>
        <w:rPr>
          <w:rFonts w:cs="Arial"/>
        </w:rPr>
        <w:t xml:space="preserve">the </w:t>
      </w:r>
      <w:r w:rsidRPr="00EC1C06">
        <w:rPr>
          <w:rFonts w:cs="Arial"/>
        </w:rPr>
        <w:t xml:space="preserve">NAPS program were notified, and it </w:t>
      </w:r>
      <w:r>
        <w:rPr>
          <w:rFonts w:cs="Arial"/>
        </w:rPr>
        <w:t>was</w:t>
      </w:r>
      <w:r w:rsidRPr="00EC1C06">
        <w:rPr>
          <w:rFonts w:cs="Arial"/>
        </w:rPr>
        <w:t xml:space="preserve"> also marketed on social media via Twitter by </w:t>
      </w:r>
      <w:r>
        <w:rPr>
          <w:rFonts w:cs="Arial"/>
        </w:rPr>
        <w:t xml:space="preserve">the </w:t>
      </w:r>
      <w:r w:rsidRPr="00EC1C06">
        <w:rPr>
          <w:rFonts w:cs="Arial"/>
        </w:rPr>
        <w:t xml:space="preserve">NCAS and </w:t>
      </w:r>
      <w:r w:rsidRPr="00EA6525">
        <w:rPr>
          <w:rFonts w:cs="Arial"/>
        </w:rPr>
        <w:t>ACSQHC</w:t>
      </w:r>
      <w:r w:rsidRPr="00EC1C06">
        <w:rPr>
          <w:rFonts w:cs="Arial"/>
        </w:rPr>
        <w:t xml:space="preserve">. </w:t>
      </w:r>
    </w:p>
    <w:p w14:paraId="4F62447A" w14:textId="77777777" w:rsidR="00572F25" w:rsidRPr="00EC1C06" w:rsidRDefault="00DC6E9C" w:rsidP="00DC6E9C">
      <w:pPr>
        <w:pStyle w:val="Heading3"/>
      </w:pPr>
      <w:bookmarkStart w:id="33" w:name="_Toc45292093"/>
      <w:bookmarkStart w:id="34" w:name="_Toc47422941"/>
      <w:bookmarkStart w:id="35" w:name="_Toc47423754"/>
      <w:bookmarkStart w:id="36" w:name="_Toc106731795"/>
      <w:proofErr w:type="gramStart"/>
      <w:r>
        <w:t xml:space="preserve">2.1.3  </w:t>
      </w:r>
      <w:r w:rsidR="00572F25" w:rsidRPr="00EC1C06">
        <w:t>Inclusion</w:t>
      </w:r>
      <w:proofErr w:type="gramEnd"/>
      <w:r w:rsidR="00572F25" w:rsidRPr="00EC1C06">
        <w:t xml:space="preserve"> criteria</w:t>
      </w:r>
      <w:bookmarkEnd w:id="31"/>
      <w:bookmarkEnd w:id="33"/>
      <w:bookmarkEnd w:id="34"/>
      <w:bookmarkEnd w:id="35"/>
      <w:bookmarkEnd w:id="36"/>
    </w:p>
    <w:p w14:paraId="07E9CFB8" w14:textId="77777777" w:rsidR="00572F25" w:rsidRPr="00EC1C06" w:rsidRDefault="00572F25" w:rsidP="00572F25">
      <w:pPr>
        <w:rPr>
          <w:rFonts w:cs="Arial"/>
        </w:rPr>
      </w:pPr>
      <w:r w:rsidRPr="00EC1C06">
        <w:rPr>
          <w:rFonts w:cs="Arial"/>
        </w:rPr>
        <w:t>Any procedure type c</w:t>
      </w:r>
      <w:r>
        <w:rPr>
          <w:rFonts w:cs="Arial"/>
        </w:rPr>
        <w:t>an</w:t>
      </w:r>
      <w:r w:rsidRPr="00EC1C06">
        <w:rPr>
          <w:rFonts w:cs="Arial"/>
        </w:rPr>
        <w:t xml:space="preserve"> be audited, including </w:t>
      </w:r>
      <w:r>
        <w:rPr>
          <w:rFonts w:cs="Arial"/>
        </w:rPr>
        <w:t xml:space="preserve">both </w:t>
      </w:r>
      <w:r w:rsidRPr="00EC1C06">
        <w:rPr>
          <w:rFonts w:cs="Arial"/>
        </w:rPr>
        <w:t xml:space="preserve">incisional </w:t>
      </w:r>
      <w:r>
        <w:rPr>
          <w:rFonts w:cs="Arial"/>
        </w:rPr>
        <w:t>and</w:t>
      </w:r>
      <w:r w:rsidRPr="00EC1C06">
        <w:rPr>
          <w:rFonts w:cs="Arial"/>
        </w:rPr>
        <w:t xml:space="preserve"> non</w:t>
      </w:r>
      <w:r>
        <w:rPr>
          <w:rFonts w:cs="Arial"/>
        </w:rPr>
        <w:t>-</w:t>
      </w:r>
      <w:r w:rsidRPr="00EC1C06">
        <w:rPr>
          <w:rFonts w:cs="Arial"/>
        </w:rPr>
        <w:t>incisional procedures.</w:t>
      </w:r>
    </w:p>
    <w:p w14:paraId="2FD27FB1" w14:textId="77777777" w:rsidR="00572F25" w:rsidRPr="00EC1C06" w:rsidRDefault="00DC6E9C" w:rsidP="00DC6E9C">
      <w:pPr>
        <w:pStyle w:val="Heading3"/>
      </w:pPr>
      <w:bookmarkStart w:id="37" w:name="_Methodology"/>
      <w:bookmarkStart w:id="38" w:name="_Toc18018569"/>
      <w:bookmarkStart w:id="39" w:name="_Toc45292094"/>
      <w:bookmarkStart w:id="40" w:name="_Toc47422942"/>
      <w:bookmarkStart w:id="41" w:name="_Toc47423755"/>
      <w:bookmarkStart w:id="42" w:name="_Toc106731796"/>
      <w:bookmarkEnd w:id="37"/>
      <w:proofErr w:type="gramStart"/>
      <w:r>
        <w:t xml:space="preserve">2.1.4  </w:t>
      </w:r>
      <w:r w:rsidR="00572F25" w:rsidRPr="00EC1C06">
        <w:t>Audit</w:t>
      </w:r>
      <w:proofErr w:type="gramEnd"/>
      <w:r w:rsidR="00572F25" w:rsidRPr="00EC1C06">
        <w:t xml:space="preserve"> methodology</w:t>
      </w:r>
      <w:bookmarkEnd w:id="38"/>
      <w:bookmarkEnd w:id="39"/>
      <w:bookmarkEnd w:id="40"/>
      <w:bookmarkEnd w:id="41"/>
      <w:bookmarkEnd w:id="42"/>
    </w:p>
    <w:p w14:paraId="39796578" w14:textId="77777777" w:rsidR="00572F25" w:rsidRPr="00EC1C06" w:rsidRDefault="00572F25" w:rsidP="00572F25">
      <w:pPr>
        <w:rPr>
          <w:rFonts w:cs="Arial"/>
        </w:rPr>
      </w:pPr>
      <w:r w:rsidRPr="00EC1C06">
        <w:rPr>
          <w:rFonts w:cs="Arial"/>
        </w:rPr>
        <w:t xml:space="preserve">Auditors </w:t>
      </w:r>
      <w:r>
        <w:rPr>
          <w:rFonts w:cs="Arial"/>
        </w:rPr>
        <w:t>could</w:t>
      </w:r>
      <w:r w:rsidRPr="00EC1C06">
        <w:rPr>
          <w:rFonts w:cs="Arial"/>
        </w:rPr>
        <w:t xml:space="preserve"> choose a variety of methods to perform the survey, depending on the size of the facility and available </w:t>
      </w:r>
      <w:r w:rsidRPr="00A7368F">
        <w:rPr>
          <w:rFonts w:cs="Arial"/>
        </w:rPr>
        <w:t>resources. Data</w:t>
      </w:r>
      <w:r>
        <w:rPr>
          <w:rFonts w:cs="Arial"/>
        </w:rPr>
        <w:t xml:space="preserve"> could</w:t>
      </w:r>
      <w:r w:rsidRPr="00A7368F">
        <w:rPr>
          <w:rFonts w:cs="Arial"/>
        </w:rPr>
        <w:t xml:space="preserve"> be collected on paper data collection forms</w:t>
      </w:r>
      <w:r>
        <w:rPr>
          <w:rFonts w:cs="Arial"/>
        </w:rPr>
        <w:t>,</w:t>
      </w:r>
      <w:r w:rsidRPr="00A7368F">
        <w:rPr>
          <w:rFonts w:cs="Arial"/>
        </w:rPr>
        <w:t xml:space="preserve"> then </w:t>
      </w:r>
      <w:proofErr w:type="gramStart"/>
      <w:r w:rsidRPr="00A7368F">
        <w:rPr>
          <w:rFonts w:cs="Arial"/>
        </w:rPr>
        <w:t>entered into</w:t>
      </w:r>
      <w:proofErr w:type="gramEnd"/>
      <w:r w:rsidRPr="00A7368F">
        <w:rPr>
          <w:rFonts w:cs="Arial"/>
        </w:rPr>
        <w:t xml:space="preserve"> the online portal (</w:t>
      </w:r>
      <w:r w:rsidRPr="00A7368F">
        <w:rPr>
          <w:rFonts w:cs="Arial"/>
          <w:iCs/>
        </w:rPr>
        <w:t xml:space="preserve">see </w:t>
      </w:r>
      <w:hyperlink w:anchor="_Appendix_6_" w:history="1">
        <w:r w:rsidRPr="00221365">
          <w:rPr>
            <w:rStyle w:val="Hyperlink"/>
            <w:rFonts w:cs="Arial"/>
            <w:iCs/>
          </w:rPr>
          <w:t>Appendix 6</w:t>
        </w:r>
      </w:hyperlink>
      <w:r w:rsidRPr="00A7368F">
        <w:rPr>
          <w:rFonts w:cs="Arial"/>
          <w:iCs/>
        </w:rPr>
        <w:t xml:space="preserve"> for data fields</w:t>
      </w:r>
      <w:r w:rsidRPr="00A7368F">
        <w:rPr>
          <w:rFonts w:cs="Arial"/>
        </w:rPr>
        <w:t xml:space="preserve">) or </w:t>
      </w:r>
      <w:r>
        <w:rPr>
          <w:rFonts w:cs="Arial"/>
        </w:rPr>
        <w:t>could</w:t>
      </w:r>
      <w:r w:rsidRPr="00A7368F">
        <w:rPr>
          <w:rFonts w:cs="Arial"/>
        </w:rPr>
        <w:t xml:space="preserve"> be entered directly into the online portal. The data collection form </w:t>
      </w:r>
      <w:r>
        <w:rPr>
          <w:rFonts w:cs="Arial"/>
        </w:rPr>
        <w:t>was</w:t>
      </w:r>
      <w:r w:rsidRPr="00A7368F">
        <w:rPr>
          <w:rFonts w:cs="Arial"/>
        </w:rPr>
        <w:t xml:space="preserve"> standardised acros</w:t>
      </w:r>
      <w:r>
        <w:rPr>
          <w:rFonts w:cs="Arial"/>
        </w:rPr>
        <w:t>s both paper and online platforms.</w:t>
      </w:r>
    </w:p>
    <w:p w14:paraId="013680F8" w14:textId="77777777" w:rsidR="00572F25" w:rsidRPr="00EC1C06" w:rsidRDefault="00572F25" w:rsidP="00572F25">
      <w:pPr>
        <w:rPr>
          <w:rFonts w:cs="Arial"/>
        </w:rPr>
      </w:pPr>
      <w:r w:rsidRPr="00EC1C06">
        <w:rPr>
          <w:rStyle w:val="Heading4Char"/>
        </w:rPr>
        <w:t>Retrospective audit</w:t>
      </w:r>
      <w:r w:rsidRPr="00EC1C06">
        <w:rPr>
          <w:rFonts w:cs="Arial"/>
          <w:b/>
        </w:rPr>
        <w:t xml:space="preserve"> </w:t>
      </w:r>
    </w:p>
    <w:p w14:paraId="22FE4B70" w14:textId="77777777" w:rsidR="00572F25" w:rsidRPr="00EC1C06" w:rsidRDefault="00572F25" w:rsidP="00572F25">
      <w:pPr>
        <w:rPr>
          <w:rFonts w:cs="Arial"/>
        </w:rPr>
      </w:pPr>
      <w:r w:rsidRPr="00EC1C06">
        <w:rPr>
          <w:rFonts w:cs="Arial"/>
        </w:rPr>
        <w:t xml:space="preserve">Retrospective audit </w:t>
      </w:r>
      <w:r>
        <w:rPr>
          <w:rFonts w:cs="Arial"/>
        </w:rPr>
        <w:t>was</w:t>
      </w:r>
      <w:r w:rsidRPr="00EC1C06">
        <w:rPr>
          <w:rFonts w:cs="Arial"/>
        </w:rPr>
        <w:t xml:space="preserve"> the recommended methodology, where possible. This survey </w:t>
      </w:r>
      <w:r>
        <w:rPr>
          <w:rFonts w:cs="Arial"/>
        </w:rPr>
        <w:t>could</w:t>
      </w:r>
      <w:r w:rsidRPr="00EC1C06">
        <w:rPr>
          <w:rFonts w:cs="Arial"/>
        </w:rPr>
        <w:t xml:space="preserve"> be performed over any chosen time</w:t>
      </w:r>
      <w:r>
        <w:rPr>
          <w:rFonts w:cs="Arial"/>
        </w:rPr>
        <w:t xml:space="preserve"> </w:t>
      </w:r>
      <w:r w:rsidRPr="00EC1C06">
        <w:rPr>
          <w:rFonts w:cs="Arial"/>
        </w:rPr>
        <w:t>frame</w:t>
      </w:r>
      <w:r>
        <w:rPr>
          <w:rFonts w:cs="Arial"/>
        </w:rPr>
        <w:t>;</w:t>
      </w:r>
      <w:r w:rsidRPr="00EC1C06">
        <w:rPr>
          <w:rFonts w:cs="Arial"/>
        </w:rPr>
        <w:t xml:space="preserve"> however</w:t>
      </w:r>
      <w:r>
        <w:rPr>
          <w:rFonts w:cs="Arial"/>
        </w:rPr>
        <w:t>,</w:t>
      </w:r>
      <w:r w:rsidRPr="00EC1C06">
        <w:rPr>
          <w:rFonts w:cs="Arial"/>
        </w:rPr>
        <w:t xml:space="preserve"> a minimum of one week or 30 consecutive procedures or surgical episodes </w:t>
      </w:r>
      <w:r>
        <w:rPr>
          <w:rFonts w:cs="Arial"/>
        </w:rPr>
        <w:t>was</w:t>
      </w:r>
      <w:r w:rsidRPr="00EC1C06">
        <w:rPr>
          <w:rFonts w:cs="Arial"/>
        </w:rPr>
        <w:t xml:space="preserve"> recommended. Ideally, theatre lists </w:t>
      </w:r>
      <w:r>
        <w:rPr>
          <w:rFonts w:cs="Arial"/>
        </w:rPr>
        <w:t>were</w:t>
      </w:r>
      <w:r w:rsidRPr="00EC1C06">
        <w:rPr>
          <w:rFonts w:cs="Arial"/>
        </w:rPr>
        <w:t xml:space="preserve"> obtained for each day to capture all procedures during this time</w:t>
      </w:r>
      <w:r>
        <w:rPr>
          <w:rFonts w:cs="Arial"/>
        </w:rPr>
        <w:t xml:space="preserve"> </w:t>
      </w:r>
      <w:r w:rsidRPr="00EC1C06">
        <w:rPr>
          <w:rFonts w:cs="Arial"/>
        </w:rPr>
        <w:t>frame. For those wanting to collect 30</w:t>
      </w:r>
      <w:r>
        <w:rPr>
          <w:rFonts w:cs="Arial"/>
        </w:rPr>
        <w:t>-</w:t>
      </w:r>
      <w:r w:rsidRPr="00EC1C06">
        <w:rPr>
          <w:rFonts w:cs="Arial"/>
        </w:rPr>
        <w:t>day outcome follow</w:t>
      </w:r>
      <w:r>
        <w:rPr>
          <w:rFonts w:cs="Arial"/>
        </w:rPr>
        <w:t>-</w:t>
      </w:r>
      <w:r w:rsidRPr="00EC1C06">
        <w:rPr>
          <w:rFonts w:cs="Arial"/>
        </w:rPr>
        <w:t>up data, it was recommended to perform retrospective chart and record review at least 30 days after the theatre list date.</w:t>
      </w:r>
    </w:p>
    <w:p w14:paraId="10A0DB03" w14:textId="77777777" w:rsidR="00572F25" w:rsidRPr="00EC1C06" w:rsidRDefault="00572F25" w:rsidP="00572F25">
      <w:pPr>
        <w:pStyle w:val="Heading4"/>
        <w:ind w:left="864" w:hanging="864"/>
      </w:pPr>
      <w:r w:rsidRPr="00EC1C06">
        <w:t>Prospective audit</w:t>
      </w:r>
    </w:p>
    <w:p w14:paraId="05FEC079" w14:textId="77777777" w:rsidR="00572F25" w:rsidRPr="00EC1C06" w:rsidRDefault="00572F25" w:rsidP="00572F25">
      <w:pPr>
        <w:rPr>
          <w:rFonts w:cs="Arial"/>
        </w:rPr>
      </w:pPr>
      <w:r w:rsidRPr="00EC1C06">
        <w:rPr>
          <w:rFonts w:cs="Arial"/>
        </w:rPr>
        <w:t xml:space="preserve">This survey </w:t>
      </w:r>
      <w:r>
        <w:rPr>
          <w:rFonts w:cs="Arial"/>
        </w:rPr>
        <w:t>could</w:t>
      </w:r>
      <w:r w:rsidRPr="00EC1C06">
        <w:rPr>
          <w:rFonts w:cs="Arial"/>
        </w:rPr>
        <w:t xml:space="preserve"> be performed over any chosen time</w:t>
      </w:r>
      <w:r>
        <w:rPr>
          <w:rFonts w:cs="Arial"/>
        </w:rPr>
        <w:t xml:space="preserve"> </w:t>
      </w:r>
      <w:r w:rsidRPr="00EC1C06">
        <w:rPr>
          <w:rFonts w:cs="Arial"/>
        </w:rPr>
        <w:t>frame</w:t>
      </w:r>
      <w:r>
        <w:rPr>
          <w:rFonts w:cs="Arial"/>
        </w:rPr>
        <w:t>;</w:t>
      </w:r>
      <w:r w:rsidRPr="00EC1C06">
        <w:rPr>
          <w:rFonts w:cs="Arial"/>
        </w:rPr>
        <w:t xml:space="preserve"> however</w:t>
      </w:r>
      <w:r>
        <w:rPr>
          <w:rFonts w:cs="Arial"/>
        </w:rPr>
        <w:t>,</w:t>
      </w:r>
      <w:r w:rsidRPr="00EC1C06">
        <w:rPr>
          <w:rFonts w:cs="Arial"/>
        </w:rPr>
        <w:t xml:space="preserve"> a minimum of one week or 30 consecutive procedures or surgical episodes was recommended. To capture all procedures during this time</w:t>
      </w:r>
      <w:r>
        <w:rPr>
          <w:rFonts w:cs="Arial"/>
        </w:rPr>
        <w:t xml:space="preserve"> </w:t>
      </w:r>
      <w:r w:rsidRPr="00EC1C06">
        <w:rPr>
          <w:rFonts w:cs="Arial"/>
        </w:rPr>
        <w:t>frame, a theatre list was obtained for each day during the selected audit time</w:t>
      </w:r>
      <w:r>
        <w:rPr>
          <w:rFonts w:cs="Arial"/>
        </w:rPr>
        <w:t xml:space="preserve"> </w:t>
      </w:r>
      <w:r w:rsidRPr="00EC1C06">
        <w:rPr>
          <w:rFonts w:cs="Arial"/>
        </w:rPr>
        <w:t>frame. Patients who underwent a procedure or surgical episode were followed prospectively for data collection purposes</w:t>
      </w:r>
      <w:r>
        <w:rPr>
          <w:rFonts w:cs="Arial"/>
        </w:rPr>
        <w:t xml:space="preserve"> (refer to </w:t>
      </w:r>
      <w:hyperlink w:anchor="_Appendix_8:_Glossary" w:history="1">
        <w:r w:rsidRPr="001B7B53">
          <w:rPr>
            <w:rStyle w:val="Hyperlink"/>
            <w:rFonts w:cs="Arial"/>
          </w:rPr>
          <w:t>Appendix 8</w:t>
        </w:r>
      </w:hyperlink>
      <w:r>
        <w:rPr>
          <w:rFonts w:cs="Arial"/>
        </w:rPr>
        <w:t xml:space="preserve"> for definitions)</w:t>
      </w:r>
      <w:r w:rsidRPr="00EC1C06">
        <w:rPr>
          <w:rFonts w:cs="Arial"/>
        </w:rPr>
        <w:t>. This process began once the patient left the operation suite/theatre and continued until post</w:t>
      </w:r>
      <w:r>
        <w:rPr>
          <w:rFonts w:cs="Arial"/>
        </w:rPr>
        <w:t>-</w:t>
      </w:r>
      <w:r w:rsidRPr="00EC1C06">
        <w:rPr>
          <w:rFonts w:cs="Arial"/>
        </w:rPr>
        <w:t>operative antimicrobials had been ceased, or at 30</w:t>
      </w:r>
      <w:r>
        <w:rPr>
          <w:rFonts w:cs="Arial"/>
        </w:rPr>
        <w:t>-</w:t>
      </w:r>
      <w:r w:rsidRPr="00EC1C06">
        <w:rPr>
          <w:rFonts w:cs="Arial"/>
        </w:rPr>
        <w:t>day follow</w:t>
      </w:r>
      <w:r>
        <w:rPr>
          <w:rFonts w:cs="Arial"/>
        </w:rPr>
        <w:t>-</w:t>
      </w:r>
      <w:r w:rsidRPr="00EC1C06">
        <w:rPr>
          <w:rFonts w:cs="Arial"/>
        </w:rPr>
        <w:t>up (if collecting 30</w:t>
      </w:r>
      <w:r>
        <w:rPr>
          <w:rFonts w:cs="Arial"/>
        </w:rPr>
        <w:t>-</w:t>
      </w:r>
      <w:r w:rsidRPr="00EC1C06">
        <w:rPr>
          <w:rFonts w:cs="Arial"/>
        </w:rPr>
        <w:t>day outcome follow</w:t>
      </w:r>
      <w:r>
        <w:rPr>
          <w:rFonts w:cs="Arial"/>
        </w:rPr>
        <w:t>-</w:t>
      </w:r>
      <w:r w:rsidRPr="00EC1C06">
        <w:rPr>
          <w:rFonts w:cs="Arial"/>
        </w:rPr>
        <w:t>up data).</w:t>
      </w:r>
    </w:p>
    <w:p w14:paraId="192A8A89" w14:textId="77777777" w:rsidR="00572F25" w:rsidRPr="00EC1C06" w:rsidRDefault="00572F25" w:rsidP="00572F25">
      <w:pPr>
        <w:pStyle w:val="Heading4"/>
        <w:ind w:left="864" w:hanging="864"/>
      </w:pPr>
      <w:r w:rsidRPr="00EC1C06">
        <w:lastRenderedPageBreak/>
        <w:t>Other audit types</w:t>
      </w:r>
    </w:p>
    <w:p w14:paraId="101157D1" w14:textId="77777777" w:rsidR="00572F25" w:rsidRPr="00AB56D7" w:rsidRDefault="00572F25" w:rsidP="00572F25">
      <w:r w:rsidRPr="00EC1C06">
        <w:rPr>
          <w:rFonts w:cs="Arial"/>
        </w:rPr>
        <w:t>Smaller, directed surveys are useful to examine the routine practice of a surgical specialty or a particular procedure. This may be particularly relevant following a survey where an issue has been identified, such as over</w:t>
      </w:r>
      <w:r>
        <w:rPr>
          <w:rFonts w:cs="Arial"/>
        </w:rPr>
        <w:t>-</w:t>
      </w:r>
      <w:r w:rsidRPr="00EC1C06">
        <w:rPr>
          <w:rFonts w:cs="Arial"/>
        </w:rPr>
        <w:t>prescription of an antimicrobial agent compared to the national average, or when a specialty is not prescribing in accordance with guidelines.</w:t>
      </w:r>
      <w:bookmarkStart w:id="43" w:name="_Toc45292095"/>
      <w:bookmarkStart w:id="44" w:name="_Toc47422943"/>
      <w:bookmarkStart w:id="45" w:name="_Toc47423756"/>
      <w:bookmarkStart w:id="46" w:name="_Toc106731797"/>
      <w:bookmarkEnd w:id="32"/>
    </w:p>
    <w:p w14:paraId="0462A4F0" w14:textId="77777777" w:rsidR="00572F25" w:rsidRPr="00AB56D7" w:rsidRDefault="00DC6E9C" w:rsidP="00DC6E9C">
      <w:pPr>
        <w:pStyle w:val="Heading2"/>
      </w:pPr>
      <w:r>
        <w:t>2.2</w:t>
      </w:r>
      <w:r>
        <w:tab/>
      </w:r>
      <w:bookmarkStart w:id="47" w:name="_Toc126664198"/>
      <w:r w:rsidR="00572F25">
        <w:t xml:space="preserve">Auditor </w:t>
      </w:r>
      <w:r w:rsidR="00572F25" w:rsidRPr="00AB56D7">
        <w:t>education and support</w:t>
      </w:r>
      <w:bookmarkEnd w:id="43"/>
      <w:bookmarkEnd w:id="44"/>
      <w:bookmarkEnd w:id="45"/>
      <w:bookmarkEnd w:id="46"/>
      <w:bookmarkEnd w:id="47"/>
    </w:p>
    <w:p w14:paraId="575E4944" w14:textId="77777777" w:rsidR="00572F25" w:rsidRPr="00AB56D7" w:rsidRDefault="00572F25" w:rsidP="00572F25">
      <w:pPr>
        <w:rPr>
          <w:rFonts w:cs="Arial"/>
        </w:rPr>
      </w:pPr>
      <w:r w:rsidRPr="00AB56D7">
        <w:rPr>
          <w:rFonts w:cs="Arial"/>
        </w:rPr>
        <w:t xml:space="preserve">A data </w:t>
      </w:r>
      <w:r w:rsidRPr="00A7368F">
        <w:rPr>
          <w:rFonts w:cs="Arial"/>
        </w:rPr>
        <w:t>collection form (</w:t>
      </w:r>
      <w:r w:rsidRPr="00A7368F">
        <w:rPr>
          <w:rFonts w:cs="Arial"/>
          <w:iCs/>
        </w:rPr>
        <w:t xml:space="preserve">see </w:t>
      </w:r>
      <w:hyperlink w:anchor="_Appendix_6_:" w:history="1">
        <w:r w:rsidRPr="001B7B53">
          <w:rPr>
            <w:rStyle w:val="Hyperlink"/>
            <w:rFonts w:cs="Arial"/>
            <w:iCs/>
          </w:rPr>
          <w:t>Appendix</w:t>
        </w:r>
        <w:r>
          <w:rPr>
            <w:rStyle w:val="Hyperlink"/>
            <w:rFonts w:cs="Arial"/>
            <w:iCs/>
          </w:rPr>
          <w:t xml:space="preserve"> </w:t>
        </w:r>
        <w:r w:rsidRPr="001B7B53">
          <w:rPr>
            <w:rStyle w:val="Hyperlink"/>
            <w:rFonts w:cs="Arial"/>
            <w:iCs/>
          </w:rPr>
          <w:t>6</w:t>
        </w:r>
      </w:hyperlink>
      <w:r w:rsidRPr="00A7368F">
        <w:rPr>
          <w:rFonts w:cs="Arial"/>
        </w:rPr>
        <w:t xml:space="preserve">), </w:t>
      </w:r>
      <w:r>
        <w:rPr>
          <w:rFonts w:cs="Arial"/>
        </w:rPr>
        <w:t xml:space="preserve">a </w:t>
      </w:r>
      <w:r w:rsidRPr="00A7368F">
        <w:rPr>
          <w:rFonts w:cs="Arial"/>
        </w:rPr>
        <w:t>user guide, Surgical NAPS appropriateness definitions (</w:t>
      </w:r>
      <w:r w:rsidRPr="00A7368F">
        <w:rPr>
          <w:rFonts w:cs="Arial"/>
          <w:iCs/>
        </w:rPr>
        <w:t>see</w:t>
      </w:r>
      <w:r>
        <w:rPr>
          <w:rFonts w:cs="Arial"/>
          <w:iCs/>
        </w:rPr>
        <w:t xml:space="preserve"> </w:t>
      </w:r>
      <w:hyperlink w:anchor="_Appendix_7:_Surgical" w:history="1">
        <w:r w:rsidRPr="0098481E">
          <w:rPr>
            <w:rStyle w:val="Hyperlink"/>
            <w:rFonts w:cs="Arial"/>
            <w:iCs/>
          </w:rPr>
          <w:t>Appendix 7</w:t>
        </w:r>
      </w:hyperlink>
      <w:r w:rsidRPr="00A7368F">
        <w:rPr>
          <w:rFonts w:cs="Arial"/>
        </w:rPr>
        <w:t xml:space="preserve">) and worked case examples </w:t>
      </w:r>
      <w:r>
        <w:rPr>
          <w:rFonts w:cs="Arial"/>
        </w:rPr>
        <w:t>were made</w:t>
      </w:r>
      <w:r w:rsidRPr="00A7368F">
        <w:rPr>
          <w:rFonts w:cs="Arial"/>
        </w:rPr>
        <w:t xml:space="preserve"> available to users through the resources page of the Surgical NAPS online portal</w:t>
      </w:r>
      <w:r w:rsidRPr="00AB56D7">
        <w:rPr>
          <w:rFonts w:cs="Arial"/>
        </w:rPr>
        <w:t xml:space="preserve">. The NAPS support team provided telephone and email support during the survey period, as it does for all NAPS programs. A guide to the timing and duration of surgical prophylaxis was created to help with the assessment of appropriateness regarding these </w:t>
      </w:r>
      <w:r>
        <w:rPr>
          <w:rFonts w:cs="Arial"/>
        </w:rPr>
        <w:t>issues</w:t>
      </w:r>
      <w:r w:rsidRPr="00AB56D7">
        <w:rPr>
          <w:rFonts w:cs="Arial"/>
        </w:rPr>
        <w:t xml:space="preserve">. </w:t>
      </w:r>
      <w:r>
        <w:rPr>
          <w:rFonts w:cs="Arial"/>
        </w:rPr>
        <w:t>Following</w:t>
      </w:r>
      <w:r w:rsidRPr="00AD60E1">
        <w:rPr>
          <w:rFonts w:cs="Arial"/>
        </w:rPr>
        <w:t xml:space="preserve"> the release of the newly designed Surgical NAPS reports for participating facilities on the online NAPS platform and the provision of early feedback regarding the complex nature of the reports, a written guide to interpreting these reports was also developed to assist users to understand their results.</w:t>
      </w:r>
    </w:p>
    <w:p w14:paraId="572D8F21" w14:textId="77777777" w:rsidR="00572F25" w:rsidRPr="00AB56D7" w:rsidRDefault="00DC6E9C" w:rsidP="00DC6E9C">
      <w:pPr>
        <w:pStyle w:val="Heading3"/>
      </w:pPr>
      <w:bookmarkStart w:id="48" w:name="_Toc18018573"/>
      <w:bookmarkStart w:id="49" w:name="_Toc45292096"/>
      <w:bookmarkStart w:id="50" w:name="_Toc47422944"/>
      <w:bookmarkStart w:id="51" w:name="_Toc47423757"/>
      <w:bookmarkStart w:id="52" w:name="_Toc106731798"/>
      <w:bookmarkStart w:id="53" w:name="_Toc462924817"/>
      <w:bookmarkStart w:id="54" w:name="_Toc462924816"/>
      <w:bookmarkStart w:id="55" w:name="_Toc18018572"/>
      <w:proofErr w:type="gramStart"/>
      <w:r>
        <w:t xml:space="preserve">2.2.1  </w:t>
      </w:r>
      <w:r w:rsidR="00572F25" w:rsidRPr="00AB56D7">
        <w:t>Development</w:t>
      </w:r>
      <w:proofErr w:type="gramEnd"/>
      <w:r w:rsidR="00572F25" w:rsidRPr="00AB56D7">
        <w:t xml:space="preserve"> of templates</w:t>
      </w:r>
      <w:bookmarkEnd w:id="48"/>
      <w:bookmarkEnd w:id="49"/>
      <w:bookmarkEnd w:id="50"/>
      <w:bookmarkEnd w:id="51"/>
      <w:bookmarkEnd w:id="52"/>
      <w:r w:rsidR="00572F25" w:rsidRPr="00AB56D7">
        <w:t xml:space="preserve"> </w:t>
      </w:r>
      <w:bookmarkEnd w:id="53"/>
    </w:p>
    <w:p w14:paraId="09D8C9D8" w14:textId="77777777" w:rsidR="00572F25" w:rsidRPr="00AB56D7" w:rsidRDefault="00572F25" w:rsidP="00572F25">
      <w:pPr>
        <w:rPr>
          <w:rFonts w:cs="Arial"/>
        </w:rPr>
      </w:pPr>
      <w:r w:rsidRPr="00AB56D7">
        <w:rPr>
          <w:rFonts w:cs="Arial"/>
        </w:rPr>
        <w:t>A standardised reporting template and an example report were developed as a guide to help facilities communicate local survey results. Links to useful presentations and posters were also provided.</w:t>
      </w:r>
    </w:p>
    <w:p w14:paraId="5CC429AD" w14:textId="77777777" w:rsidR="00572F25" w:rsidRPr="00AB56D7" w:rsidRDefault="00DC6E9C" w:rsidP="00DC6E9C">
      <w:pPr>
        <w:pStyle w:val="Heading3"/>
      </w:pPr>
      <w:bookmarkStart w:id="56" w:name="_Toc45292097"/>
      <w:bookmarkStart w:id="57" w:name="_Toc47422945"/>
      <w:bookmarkStart w:id="58" w:name="_Toc47423758"/>
      <w:bookmarkStart w:id="59" w:name="_Toc106731799"/>
      <w:proofErr w:type="gramStart"/>
      <w:r>
        <w:t xml:space="preserve">2.2.2  </w:t>
      </w:r>
      <w:r w:rsidR="00572F25" w:rsidRPr="00AB56D7">
        <w:t>Expert</w:t>
      </w:r>
      <w:proofErr w:type="gramEnd"/>
      <w:r w:rsidR="00572F25" w:rsidRPr="00AB56D7">
        <w:t xml:space="preserve"> assessments</w:t>
      </w:r>
      <w:bookmarkEnd w:id="54"/>
      <w:bookmarkEnd w:id="55"/>
      <w:bookmarkEnd w:id="56"/>
      <w:bookmarkEnd w:id="57"/>
      <w:bookmarkEnd w:id="58"/>
      <w:bookmarkEnd w:id="59"/>
    </w:p>
    <w:p w14:paraId="6C7FB341" w14:textId="77777777" w:rsidR="00572F25" w:rsidRPr="00AB56D7" w:rsidRDefault="00572F25" w:rsidP="00572F25">
      <w:pPr>
        <w:rPr>
          <w:rFonts w:cs="Arial"/>
        </w:rPr>
      </w:pPr>
      <w:r w:rsidRPr="00AB56D7">
        <w:rPr>
          <w:rFonts w:cs="Arial"/>
        </w:rPr>
        <w:t>An expert assessment service</w:t>
      </w:r>
      <w:r>
        <w:rPr>
          <w:rFonts w:cs="Arial"/>
        </w:rPr>
        <w:t xml:space="preserve"> was</w:t>
      </w:r>
      <w:r w:rsidRPr="00AB56D7">
        <w:rPr>
          <w:rFonts w:cs="Arial"/>
        </w:rPr>
        <w:t xml:space="preserve"> provided by the NAPS support team. Facilities without access to infectious diseases specialists </w:t>
      </w:r>
      <w:r>
        <w:rPr>
          <w:rFonts w:cs="Arial"/>
        </w:rPr>
        <w:t>were</w:t>
      </w:r>
      <w:r w:rsidRPr="00AB56D7">
        <w:rPr>
          <w:rFonts w:cs="Arial"/>
        </w:rPr>
        <w:t xml:space="preserve"> </w:t>
      </w:r>
      <w:proofErr w:type="gramStart"/>
      <w:r w:rsidRPr="00AB56D7">
        <w:rPr>
          <w:rFonts w:cs="Arial"/>
        </w:rPr>
        <w:t>offered assistance</w:t>
      </w:r>
      <w:proofErr w:type="gramEnd"/>
      <w:r w:rsidRPr="00AB56D7">
        <w:rPr>
          <w:rFonts w:cs="Arial"/>
        </w:rPr>
        <w:t xml:space="preserve"> with the assessment of guideline compliance and prescription appropriateness. All facilities could request assessment support if they felt it would improve the quality of their audit.</w:t>
      </w:r>
    </w:p>
    <w:p w14:paraId="7A0CA38B" w14:textId="77777777" w:rsidR="00572F25" w:rsidRPr="00A700F6" w:rsidRDefault="00DC6E9C" w:rsidP="00DC6E9C">
      <w:pPr>
        <w:pStyle w:val="Heading2"/>
      </w:pPr>
      <w:bookmarkStart w:id="60" w:name="_Toc45292098"/>
      <w:bookmarkStart w:id="61" w:name="_Toc47422946"/>
      <w:bookmarkStart w:id="62" w:name="_Toc47423759"/>
      <w:bookmarkStart w:id="63" w:name="_Toc106731800"/>
      <w:bookmarkStart w:id="64" w:name="_Toc126664199"/>
      <w:r>
        <w:t>2.3</w:t>
      </w:r>
      <w:r>
        <w:tab/>
      </w:r>
      <w:r w:rsidR="00572F25" w:rsidRPr="00A700F6">
        <w:t>Data cleaning</w:t>
      </w:r>
      <w:bookmarkEnd w:id="60"/>
      <w:bookmarkEnd w:id="61"/>
      <w:bookmarkEnd w:id="62"/>
      <w:bookmarkEnd w:id="63"/>
      <w:bookmarkEnd w:id="64"/>
    </w:p>
    <w:p w14:paraId="51EB1118" w14:textId="77777777" w:rsidR="00572F25" w:rsidRDefault="00572F25" w:rsidP="00572F25">
      <w:pPr>
        <w:rPr>
          <w:rFonts w:cstheme="minorHAnsi"/>
        </w:rPr>
      </w:pPr>
      <w:r w:rsidRPr="00A700F6">
        <w:rPr>
          <w:rFonts w:cstheme="minorHAnsi"/>
        </w:rPr>
        <w:t>Following the 2019 Surgical NAPS, improvement in data validation</w:t>
      </w:r>
      <w:r>
        <w:rPr>
          <w:rFonts w:cstheme="minorHAnsi"/>
        </w:rPr>
        <w:t xml:space="preserve"> was undertaken by the NAPS support team</w:t>
      </w:r>
      <w:r w:rsidRPr="00A700F6">
        <w:rPr>
          <w:rFonts w:cstheme="minorHAnsi"/>
        </w:rPr>
        <w:t xml:space="preserve">, particularly around </w:t>
      </w:r>
      <w:r>
        <w:rPr>
          <w:rFonts w:cstheme="minorHAnsi"/>
        </w:rPr>
        <w:t xml:space="preserve">data </w:t>
      </w:r>
      <w:r w:rsidRPr="00A700F6">
        <w:rPr>
          <w:rFonts w:cstheme="minorHAnsi"/>
        </w:rPr>
        <w:t>entry of dates</w:t>
      </w:r>
      <w:r>
        <w:rPr>
          <w:rFonts w:cstheme="minorHAnsi"/>
        </w:rPr>
        <w:t xml:space="preserve">. This </w:t>
      </w:r>
      <w:r w:rsidRPr="00A700F6">
        <w:rPr>
          <w:rFonts w:cstheme="minorHAnsi"/>
        </w:rPr>
        <w:t>help</w:t>
      </w:r>
      <w:r>
        <w:rPr>
          <w:rFonts w:cstheme="minorHAnsi"/>
        </w:rPr>
        <w:t>ed to</w:t>
      </w:r>
      <w:r w:rsidRPr="00A700F6">
        <w:rPr>
          <w:rFonts w:cstheme="minorHAnsi"/>
        </w:rPr>
        <w:t xml:space="preserve"> ensure data accuracy</w:t>
      </w:r>
      <w:r>
        <w:rPr>
          <w:rFonts w:cstheme="minorHAnsi"/>
        </w:rPr>
        <w:t>,</w:t>
      </w:r>
      <w:r w:rsidRPr="00A700F6">
        <w:rPr>
          <w:rFonts w:cstheme="minorHAnsi"/>
        </w:rPr>
        <w:t xml:space="preserve"> particular</w:t>
      </w:r>
      <w:r>
        <w:rPr>
          <w:rFonts w:cstheme="minorHAnsi"/>
        </w:rPr>
        <w:t>ly</w:t>
      </w:r>
      <w:r w:rsidRPr="00A700F6">
        <w:rPr>
          <w:rFonts w:cstheme="minorHAnsi"/>
        </w:rPr>
        <w:t xml:space="preserve"> with respect to duration of surgical prophylaxis calculation. This </w:t>
      </w:r>
      <w:r>
        <w:rPr>
          <w:rFonts w:cstheme="minorHAnsi"/>
        </w:rPr>
        <w:t xml:space="preserve">improvement has </w:t>
      </w:r>
      <w:r w:rsidRPr="00A700F6">
        <w:rPr>
          <w:rFonts w:cstheme="minorHAnsi"/>
        </w:rPr>
        <w:t xml:space="preserve">reduced the requirement for extensive data cleaning, as was performed prior to the 2019 data analysis. </w:t>
      </w:r>
    </w:p>
    <w:p w14:paraId="41FB9A76" w14:textId="77777777" w:rsidR="00572F25" w:rsidRDefault="00572F25" w:rsidP="00572F25">
      <w:r w:rsidRPr="00260E82">
        <w:t xml:space="preserve">The data </w:t>
      </w:r>
      <w:r>
        <w:t>are</w:t>
      </w:r>
      <w:r w:rsidRPr="00260E82">
        <w:t xml:space="preserve"> cleaned and reviewed annually prior to analysis. For the 2021 dataset, antimicrobials prescribed with a duration of 31 days or greater </w:t>
      </w:r>
      <w:r>
        <w:t>were</w:t>
      </w:r>
      <w:r w:rsidRPr="00260E82">
        <w:t xml:space="preserve"> reviewed to confirm correct data entry of dates. Only </w:t>
      </w:r>
      <w:r>
        <w:t>11</w:t>
      </w:r>
      <w:r w:rsidRPr="00260E82">
        <w:t xml:space="preserve"> antimicrobial prescriptions required review, of which </w:t>
      </w:r>
      <w:r>
        <w:t xml:space="preserve">4 </w:t>
      </w:r>
      <w:r w:rsidRPr="00260E82">
        <w:t xml:space="preserve">(36%) required amendment by the NAPS support team following internal review and discussion. No facilities </w:t>
      </w:r>
      <w:r>
        <w:t>had</w:t>
      </w:r>
      <w:r w:rsidRPr="00260E82">
        <w:t xml:space="preserve"> to be contacted directly to review and amend their records.</w:t>
      </w:r>
      <w:bookmarkStart w:id="65" w:name="_Toc45292099"/>
      <w:bookmarkStart w:id="66" w:name="_Toc47422947"/>
      <w:bookmarkStart w:id="67" w:name="_Toc47423760"/>
      <w:bookmarkStart w:id="68" w:name="_Toc106731801"/>
    </w:p>
    <w:p w14:paraId="6C618B6A" w14:textId="77777777" w:rsidR="00572F25" w:rsidRDefault="00DC6E9C" w:rsidP="00DC6E9C">
      <w:pPr>
        <w:pStyle w:val="Heading2"/>
      </w:pPr>
      <w:bookmarkStart w:id="69" w:name="_Toc126664200"/>
      <w:r>
        <w:t xml:space="preserve">2.4 </w:t>
      </w:r>
      <w:r>
        <w:tab/>
      </w:r>
      <w:r w:rsidR="00572F25" w:rsidRPr="001D54FD">
        <w:t>Data analysis</w:t>
      </w:r>
      <w:bookmarkEnd w:id="65"/>
      <w:bookmarkEnd w:id="66"/>
      <w:bookmarkEnd w:id="67"/>
      <w:bookmarkEnd w:id="68"/>
      <w:bookmarkEnd w:id="69"/>
      <w:r w:rsidR="00572F25" w:rsidRPr="001D54FD">
        <w:t xml:space="preserve"> </w:t>
      </w:r>
    </w:p>
    <w:p w14:paraId="752E4695" w14:textId="77777777" w:rsidR="00572F25" w:rsidRPr="0064490E" w:rsidRDefault="00572F25" w:rsidP="00572F25">
      <w:r>
        <w:t xml:space="preserve">The Surgical </w:t>
      </w:r>
      <w:r w:rsidRPr="00E2307B">
        <w:t xml:space="preserve">NAPS database is live and participating hospitals are free to amend, add or remove their data at any time. For the delivery of the annual national reports, the database is </w:t>
      </w:r>
      <w:r w:rsidRPr="00E2307B">
        <w:lastRenderedPageBreak/>
        <w:t>accessed and analysed each year</w:t>
      </w:r>
      <w:r>
        <w:t>;</w:t>
      </w:r>
      <w:r w:rsidRPr="00E2307B">
        <w:t xml:space="preserve"> therefore</w:t>
      </w:r>
      <w:r>
        <w:t>,</w:t>
      </w:r>
      <w:r w:rsidRPr="00E2307B">
        <w:t xml:space="preserve"> previous years’ data may have some small discrepancies in results compared with the previously published NAPS reports</w:t>
      </w:r>
      <w:r>
        <w:t xml:space="preserve">. </w:t>
      </w:r>
    </w:p>
    <w:p w14:paraId="0B56C3AF" w14:textId="77777777" w:rsidR="00572F25" w:rsidRPr="001D54FD" w:rsidRDefault="000C01C1" w:rsidP="000C01C1">
      <w:pPr>
        <w:pStyle w:val="Heading3"/>
      </w:pPr>
      <w:bookmarkStart w:id="70" w:name="_Toc45292100"/>
      <w:bookmarkStart w:id="71" w:name="_Toc47422948"/>
      <w:bookmarkStart w:id="72" w:name="_Toc47423761"/>
      <w:bookmarkStart w:id="73" w:name="_Toc106731802"/>
      <w:proofErr w:type="gramStart"/>
      <w:r>
        <w:t xml:space="preserve">2.4.1  </w:t>
      </w:r>
      <w:r w:rsidR="00572F25" w:rsidRPr="001D54FD">
        <w:t>Procedural</w:t>
      </w:r>
      <w:proofErr w:type="gramEnd"/>
      <w:r w:rsidR="00572F25" w:rsidRPr="001D54FD">
        <w:t xml:space="preserve"> antimicrobial prophylaxis</w:t>
      </w:r>
      <w:bookmarkEnd w:id="70"/>
      <w:bookmarkEnd w:id="71"/>
      <w:bookmarkEnd w:id="72"/>
      <w:bookmarkEnd w:id="73"/>
    </w:p>
    <w:p w14:paraId="1A9DC64D" w14:textId="77777777" w:rsidR="00572F25" w:rsidRPr="001D54FD" w:rsidRDefault="00572F25" w:rsidP="00572F25">
      <w:pPr>
        <w:rPr>
          <w:rFonts w:cs="Arial"/>
        </w:rPr>
      </w:pPr>
      <w:r w:rsidRPr="001D54FD">
        <w:rPr>
          <w:rFonts w:cs="Arial"/>
        </w:rPr>
        <w:t xml:space="preserve">Procedural antimicrobial prophylaxis </w:t>
      </w:r>
      <w:r>
        <w:rPr>
          <w:rFonts w:cs="Arial"/>
        </w:rPr>
        <w:t>is</w:t>
      </w:r>
      <w:r w:rsidRPr="001D54FD">
        <w:rPr>
          <w:rFonts w:cs="Arial"/>
        </w:rPr>
        <w:t xml:space="preserve"> defined as any antimicrobial administered either immediately prior to or during the procedure for purposes of prophylaxis. Throughout this report, for procedural antimicrobials, each dose of the antimicrobial administered is recorded and reported individually.</w:t>
      </w:r>
    </w:p>
    <w:p w14:paraId="31CD3484" w14:textId="77777777" w:rsidR="00572F25" w:rsidRPr="001D54FD" w:rsidRDefault="000C01C1" w:rsidP="000C01C1">
      <w:pPr>
        <w:pStyle w:val="Heading3"/>
      </w:pPr>
      <w:bookmarkStart w:id="74" w:name="_Toc45292101"/>
      <w:bookmarkStart w:id="75" w:name="_Toc47422949"/>
      <w:bookmarkStart w:id="76" w:name="_Toc47423762"/>
      <w:bookmarkStart w:id="77" w:name="_Toc106731803"/>
      <w:proofErr w:type="gramStart"/>
      <w:r>
        <w:t xml:space="preserve">2.4.2  </w:t>
      </w:r>
      <w:r w:rsidR="00572F25" w:rsidRPr="001D54FD">
        <w:t>Post</w:t>
      </w:r>
      <w:proofErr w:type="gramEnd"/>
      <w:r w:rsidR="00572F25">
        <w:t>-</w:t>
      </w:r>
      <w:r w:rsidR="00572F25" w:rsidRPr="001D54FD">
        <w:t>procedural antimicrobial prophylaxis</w:t>
      </w:r>
      <w:bookmarkEnd w:id="74"/>
      <w:bookmarkEnd w:id="75"/>
      <w:bookmarkEnd w:id="76"/>
      <w:bookmarkEnd w:id="77"/>
      <w:r w:rsidR="00572F25" w:rsidRPr="001D54FD">
        <w:t xml:space="preserve">  </w:t>
      </w:r>
    </w:p>
    <w:p w14:paraId="28647CCD" w14:textId="77777777" w:rsidR="00572F25" w:rsidRPr="005659A1" w:rsidRDefault="00572F25" w:rsidP="00572F25">
      <w:pPr>
        <w:rPr>
          <w:rFonts w:cs="Arial"/>
        </w:rPr>
      </w:pPr>
      <w:r w:rsidRPr="001D54FD">
        <w:rPr>
          <w:rFonts w:cs="Arial"/>
        </w:rPr>
        <w:t>Post</w:t>
      </w:r>
      <w:r>
        <w:rPr>
          <w:rFonts w:cs="Arial"/>
        </w:rPr>
        <w:t>-</w:t>
      </w:r>
      <w:r w:rsidRPr="001D54FD">
        <w:rPr>
          <w:rFonts w:cs="Arial"/>
        </w:rPr>
        <w:t xml:space="preserve">procedural antimicrobial prophylaxis </w:t>
      </w:r>
      <w:r>
        <w:rPr>
          <w:rFonts w:cs="Arial"/>
        </w:rPr>
        <w:t>is</w:t>
      </w:r>
      <w:r w:rsidRPr="001D54FD">
        <w:rPr>
          <w:rFonts w:cs="Arial"/>
        </w:rPr>
        <w:t xml:space="preserve"> defined as any antimicrobial given immediately following the surgical procedure for the purpose of surgical prophylaxis. Throughout this report, for post</w:t>
      </w:r>
      <w:r>
        <w:rPr>
          <w:rFonts w:cs="Arial"/>
        </w:rPr>
        <w:t>-</w:t>
      </w:r>
      <w:r w:rsidRPr="001D54FD">
        <w:rPr>
          <w:rFonts w:cs="Arial"/>
        </w:rPr>
        <w:t>procedural antimicrobials, each prescription course of the antimicrobial is recorded and reported, including any inpatient or discharge scripts</w:t>
      </w:r>
      <w:r w:rsidRPr="005659A1">
        <w:rPr>
          <w:rFonts w:cs="Arial"/>
        </w:rPr>
        <w:t>.</w:t>
      </w:r>
    </w:p>
    <w:p w14:paraId="32149DF0" w14:textId="77777777" w:rsidR="00572F25" w:rsidRPr="00395160" w:rsidRDefault="00572F25" w:rsidP="00572F25">
      <w:r>
        <w:t>Of</w:t>
      </w:r>
      <w:r w:rsidRPr="005659A1">
        <w:t xml:space="preserve"> the 10,927 surgical episodes audited, 609 had post</w:t>
      </w:r>
      <w:r>
        <w:t>-</w:t>
      </w:r>
      <w:r w:rsidRPr="005659A1">
        <w:t>procedural antimicrobials prescribed only for treatment of infection or were not assessable. These were excluded from the post</w:t>
      </w:r>
      <w:r>
        <w:t>-</w:t>
      </w:r>
      <w:r w:rsidRPr="005659A1">
        <w:t>procedural prophylaxis analysis, leaving 10,318 surgical episodes.</w:t>
      </w:r>
      <w:r w:rsidRPr="00395160">
        <w:t xml:space="preserve"> </w:t>
      </w:r>
    </w:p>
    <w:p w14:paraId="5BFBD561" w14:textId="77777777" w:rsidR="00572F25" w:rsidRPr="00395160" w:rsidRDefault="000C01C1" w:rsidP="000C01C1">
      <w:pPr>
        <w:pStyle w:val="Heading3"/>
      </w:pPr>
      <w:bookmarkStart w:id="78" w:name="_Toc45292102"/>
      <w:bookmarkStart w:id="79" w:name="_Toc47422950"/>
      <w:bookmarkStart w:id="80" w:name="_Toc47423763"/>
      <w:bookmarkStart w:id="81" w:name="_Toc106731804"/>
      <w:proofErr w:type="gramStart"/>
      <w:r>
        <w:t xml:space="preserve">2.4.3  </w:t>
      </w:r>
      <w:r w:rsidR="00572F25" w:rsidRPr="00395160">
        <w:t>Appropriateness</w:t>
      </w:r>
      <w:proofErr w:type="gramEnd"/>
      <w:r w:rsidR="00572F25" w:rsidRPr="00395160">
        <w:t xml:space="preserve"> assessments</w:t>
      </w:r>
      <w:bookmarkEnd w:id="78"/>
      <w:bookmarkEnd w:id="79"/>
      <w:bookmarkEnd w:id="80"/>
      <w:bookmarkEnd w:id="81"/>
    </w:p>
    <w:p w14:paraId="6735D83B" w14:textId="77777777" w:rsidR="00572F25" w:rsidRPr="00395160" w:rsidRDefault="00572F25" w:rsidP="00572F25">
      <w:pPr>
        <w:rPr>
          <w:rFonts w:cs="Arial"/>
        </w:rPr>
      </w:pPr>
      <w:r w:rsidRPr="00395160">
        <w:rPr>
          <w:rFonts w:cs="Arial"/>
        </w:rPr>
        <w:t>For reporting purposes, ‘optimal’ and ‘adequate’ are deemed to be appropriate, while ‘suboptimal’ and ‘inadequate’ are deemed to be inappropriate (</w:t>
      </w:r>
      <w:r w:rsidRPr="00395160">
        <w:rPr>
          <w:rFonts w:cs="Arial"/>
          <w:iCs/>
        </w:rPr>
        <w:t>see</w:t>
      </w:r>
      <w:r w:rsidRPr="00395160">
        <w:rPr>
          <w:rFonts w:cs="Arial"/>
        </w:rPr>
        <w:t xml:space="preserve"> </w:t>
      </w:r>
      <w:hyperlink w:anchor="_Appendix_7_" w:history="1">
        <w:r w:rsidRPr="00BB25BB">
          <w:rPr>
            <w:rStyle w:val="Hyperlink"/>
            <w:rFonts w:cs="Arial"/>
            <w:iCs/>
          </w:rPr>
          <w:t xml:space="preserve">Appendix </w:t>
        </w:r>
        <w:r>
          <w:rPr>
            <w:rStyle w:val="Hyperlink"/>
            <w:rFonts w:cs="Arial"/>
            <w:iCs/>
          </w:rPr>
          <w:t>7</w:t>
        </w:r>
      </w:hyperlink>
      <w:r>
        <w:rPr>
          <w:rFonts w:cs="Arial"/>
          <w:iCs/>
        </w:rPr>
        <w:t xml:space="preserve"> </w:t>
      </w:r>
      <w:r w:rsidRPr="00721F00">
        <w:rPr>
          <w:rStyle w:val="Hyperlink"/>
          <w:rFonts w:cs="Arial"/>
          <w:color w:val="auto"/>
          <w:u w:val="none"/>
        </w:rPr>
        <w:t>for definitions of appropriateness</w:t>
      </w:r>
      <w:r w:rsidRPr="00395160">
        <w:rPr>
          <w:rFonts w:cs="Arial"/>
        </w:rPr>
        <w:t>). Each surgical episode was given an overall assessment of inappropriate if any single aspect of the procedural or post</w:t>
      </w:r>
      <w:r>
        <w:rPr>
          <w:rFonts w:cs="Arial"/>
        </w:rPr>
        <w:t>-</w:t>
      </w:r>
      <w:r w:rsidRPr="00395160">
        <w:rPr>
          <w:rFonts w:cs="Arial"/>
        </w:rPr>
        <w:t xml:space="preserve">procedural prescribing was deemed inappropriate by the </w:t>
      </w:r>
      <w:r>
        <w:rPr>
          <w:rFonts w:cs="Arial"/>
        </w:rPr>
        <w:t>auditor</w:t>
      </w:r>
      <w:r w:rsidRPr="00395160">
        <w:rPr>
          <w:rFonts w:cs="Arial"/>
        </w:rPr>
        <w:t>. This included allergy or microbiology mismatch; incorrect antimicrobial timing, dose, route, frequency or duration; if the antimicrobial spectrum was too broad or too narrow; or if the procedure did not require any antimicrobials</w:t>
      </w:r>
      <w:r>
        <w:rPr>
          <w:rFonts w:cs="Arial"/>
        </w:rPr>
        <w:t xml:space="preserve"> (see </w:t>
      </w:r>
      <w:hyperlink w:anchor="_Appendix_7:_Surgical" w:history="1">
        <w:r w:rsidRPr="00E16AC7">
          <w:rPr>
            <w:rStyle w:val="Hyperlink"/>
            <w:rFonts w:cs="Arial"/>
          </w:rPr>
          <w:t>Appendix 7</w:t>
        </w:r>
      </w:hyperlink>
      <w:r>
        <w:rPr>
          <w:rFonts w:cs="Arial"/>
        </w:rPr>
        <w:t xml:space="preserve"> for detailed definitions)</w:t>
      </w:r>
      <w:r w:rsidRPr="00395160">
        <w:rPr>
          <w:rFonts w:cs="Arial"/>
        </w:rPr>
        <w:t xml:space="preserve">. </w:t>
      </w:r>
    </w:p>
    <w:p w14:paraId="17B54227" w14:textId="77777777" w:rsidR="00572F25" w:rsidRPr="005C5063" w:rsidRDefault="000C01C1" w:rsidP="000C01C1">
      <w:pPr>
        <w:pStyle w:val="Heading3"/>
      </w:pPr>
      <w:bookmarkStart w:id="82" w:name="_Toc45292103"/>
      <w:bookmarkStart w:id="83" w:name="_Toc47422951"/>
      <w:bookmarkStart w:id="84" w:name="_Toc47423764"/>
      <w:bookmarkStart w:id="85" w:name="_Toc106731805"/>
      <w:bookmarkStart w:id="86" w:name="_Toc42174282"/>
      <w:proofErr w:type="gramStart"/>
      <w:r>
        <w:t xml:space="preserve">2.4.4  </w:t>
      </w:r>
      <w:r w:rsidR="00572F25" w:rsidRPr="005C5063">
        <w:t>Calculation</w:t>
      </w:r>
      <w:proofErr w:type="gramEnd"/>
      <w:r w:rsidR="00572F25" w:rsidRPr="005C5063">
        <w:t xml:space="preserve"> of duration of surgical prophylaxis</w:t>
      </w:r>
      <w:bookmarkEnd w:id="82"/>
      <w:bookmarkEnd w:id="83"/>
      <w:bookmarkEnd w:id="84"/>
      <w:bookmarkEnd w:id="85"/>
    </w:p>
    <w:p w14:paraId="1FB7892B" w14:textId="77777777" w:rsidR="00572F25" w:rsidRPr="005C5063" w:rsidRDefault="00572F25" w:rsidP="00572F25">
      <w:pPr>
        <w:rPr>
          <w:rFonts w:cs="Arial"/>
        </w:rPr>
      </w:pPr>
      <w:r w:rsidRPr="005C5063">
        <w:rPr>
          <w:rFonts w:cs="Arial"/>
        </w:rPr>
        <w:t xml:space="preserve">Duration of surgical prophylaxis </w:t>
      </w:r>
      <w:r w:rsidRPr="005C5063">
        <w:rPr>
          <w:rFonts w:cstheme="minorHAnsi"/>
        </w:rPr>
        <w:t>was calculated from the surgical incision date and time, if recorded</w:t>
      </w:r>
      <w:r>
        <w:rPr>
          <w:rFonts w:cstheme="minorHAnsi"/>
        </w:rPr>
        <w:t>;</w:t>
      </w:r>
      <w:r w:rsidRPr="005C5063">
        <w:rPr>
          <w:rFonts w:cstheme="minorHAnsi"/>
        </w:rPr>
        <w:t xml:space="preserve"> </w:t>
      </w:r>
      <w:proofErr w:type="gramStart"/>
      <w:r w:rsidRPr="005C5063">
        <w:rPr>
          <w:rFonts w:cstheme="minorHAnsi"/>
        </w:rPr>
        <w:t>otherwise</w:t>
      </w:r>
      <w:proofErr w:type="gramEnd"/>
      <w:r w:rsidRPr="005C5063">
        <w:rPr>
          <w:rFonts w:cstheme="minorHAnsi"/>
        </w:rPr>
        <w:t xml:space="preserve"> the surgery start date and time was used. These dates and times were used as a surrogate measure </w:t>
      </w:r>
      <w:r>
        <w:rPr>
          <w:rFonts w:cstheme="minorHAnsi"/>
        </w:rPr>
        <w:t>for</w:t>
      </w:r>
      <w:r w:rsidRPr="005C5063">
        <w:rPr>
          <w:rFonts w:cstheme="minorHAnsi"/>
        </w:rPr>
        <w:t xml:space="preserve"> the more ac</w:t>
      </w:r>
      <w:r>
        <w:rPr>
          <w:rFonts w:cstheme="minorHAnsi"/>
        </w:rPr>
        <w:t>cura</w:t>
      </w:r>
      <w:r w:rsidRPr="005C5063">
        <w:rPr>
          <w:rFonts w:cstheme="minorHAnsi"/>
        </w:rPr>
        <w:t xml:space="preserve">te measure of administration date and time of the first procedural antimicrobial prescribed, </w:t>
      </w:r>
      <w:r w:rsidRPr="00153D3F">
        <w:rPr>
          <w:rFonts w:cstheme="minorHAnsi"/>
        </w:rPr>
        <w:t xml:space="preserve">which </w:t>
      </w:r>
      <w:r>
        <w:rPr>
          <w:rFonts w:cstheme="minorHAnsi"/>
        </w:rPr>
        <w:t>could</w:t>
      </w:r>
      <w:r w:rsidRPr="00153D3F">
        <w:rPr>
          <w:rFonts w:cstheme="minorHAnsi"/>
        </w:rPr>
        <w:t xml:space="preserve"> not be determined for </w:t>
      </w:r>
      <w:r w:rsidRPr="00153D3F">
        <w:rPr>
          <w:rFonts w:cs="Arial"/>
        </w:rPr>
        <w:t>852 (9.2%) of the prescribed initial procedural doses (n=9,262)</w:t>
      </w:r>
      <w:r w:rsidRPr="00153D3F">
        <w:rPr>
          <w:rFonts w:cstheme="minorHAnsi"/>
        </w:rPr>
        <w:t>. T</w:t>
      </w:r>
      <w:r w:rsidRPr="00153D3F">
        <w:rPr>
          <w:rFonts w:cs="Arial"/>
        </w:rPr>
        <w:t>he end date and time for the last prophylactic antimicrobial prescribed was then used to determine</w:t>
      </w:r>
      <w:r w:rsidRPr="005C5063">
        <w:rPr>
          <w:rFonts w:cs="Arial"/>
        </w:rPr>
        <w:t xml:space="preserve"> the end date and time of surgical prophylaxis. For calculation of duration of surgical prophylaxis greater than 24 and 48</w:t>
      </w:r>
      <w:r>
        <w:rPr>
          <w:rFonts w:cs="Arial"/>
        </w:rPr>
        <w:t> </w:t>
      </w:r>
      <w:r w:rsidRPr="005C5063">
        <w:rPr>
          <w:rFonts w:cs="Arial"/>
        </w:rPr>
        <w:t xml:space="preserve">hours, the required dates and times were consistently completed, and these </w:t>
      </w:r>
      <w:r>
        <w:rPr>
          <w:rFonts w:cs="Arial"/>
        </w:rPr>
        <w:t>could</w:t>
      </w:r>
      <w:r w:rsidRPr="005C5063">
        <w:rPr>
          <w:rFonts w:cs="Arial"/>
        </w:rPr>
        <w:t xml:space="preserve"> be calculated accurately. For days of therapy calculations, any incomplete administration time for the last dose of therapy did not affect these overall calculations.</w:t>
      </w:r>
    </w:p>
    <w:p w14:paraId="5F15F689" w14:textId="77777777" w:rsidR="00572F25" w:rsidRPr="00793BED" w:rsidRDefault="000C01C1" w:rsidP="000C01C1">
      <w:pPr>
        <w:pStyle w:val="Heading3"/>
      </w:pPr>
      <w:bookmarkStart w:id="87" w:name="_Toc45292104"/>
      <w:bookmarkStart w:id="88" w:name="_Toc47422952"/>
      <w:bookmarkStart w:id="89" w:name="_Toc47423765"/>
      <w:bookmarkStart w:id="90" w:name="_Toc106731806"/>
      <w:proofErr w:type="gramStart"/>
      <w:r>
        <w:t xml:space="preserve">2.4.5  </w:t>
      </w:r>
      <w:r w:rsidR="00572F25" w:rsidRPr="00793BED">
        <w:t>Calculation</w:t>
      </w:r>
      <w:proofErr w:type="gramEnd"/>
      <w:r w:rsidR="00572F25" w:rsidRPr="00793BED">
        <w:t xml:space="preserve"> of participation rates</w:t>
      </w:r>
      <w:bookmarkEnd w:id="86"/>
      <w:bookmarkEnd w:id="87"/>
      <w:bookmarkEnd w:id="88"/>
      <w:bookmarkEnd w:id="89"/>
      <w:bookmarkEnd w:id="90"/>
    </w:p>
    <w:p w14:paraId="689FBD49" w14:textId="77777777" w:rsidR="00572F25" w:rsidRDefault="00572F25" w:rsidP="00572F25">
      <w:pPr>
        <w:rPr>
          <w:rFonts w:cs="Arial"/>
        </w:rPr>
      </w:pPr>
      <w:proofErr w:type="gramStart"/>
      <w:r w:rsidRPr="00C23DFC">
        <w:rPr>
          <w:rFonts w:cs="Arial"/>
        </w:rPr>
        <w:t>In order to</w:t>
      </w:r>
      <w:proofErr w:type="gramEnd"/>
      <w:r w:rsidRPr="00C23DFC">
        <w:rPr>
          <w:rFonts w:cs="Arial"/>
        </w:rPr>
        <w:t xml:space="preserve"> define the denominator for participation rates by different reporting groups (states and territories, peer groups and remoteness classifications), the Australian Institute of Health and Welfare</w:t>
      </w:r>
      <w:r>
        <w:rPr>
          <w:rFonts w:cs="Arial"/>
        </w:rPr>
        <w:t xml:space="preserve"> (AIHW)</w:t>
      </w:r>
      <w:r w:rsidRPr="00C23DFC">
        <w:rPr>
          <w:rFonts w:cs="Arial"/>
        </w:rPr>
        <w:t xml:space="preserve"> peer group classification system was used.</w:t>
      </w:r>
      <w:r>
        <w:rPr>
          <w:rFonts w:cs="Arial"/>
          <w:vertAlign w:val="superscript"/>
        </w:rPr>
        <w:t>8</w:t>
      </w:r>
      <w:r w:rsidRPr="00C23DFC">
        <w:rPr>
          <w:rFonts w:cs="Arial"/>
        </w:rPr>
        <w:t xml:space="preserve"> Hospital peer groups that would not be expected to perform surgical procedures were excluded from the denominator calculation. </w:t>
      </w:r>
    </w:p>
    <w:p w14:paraId="532D795A" w14:textId="77777777" w:rsidR="00572F25" w:rsidRPr="00C33CAB" w:rsidRDefault="000C01C1" w:rsidP="000C01C1">
      <w:pPr>
        <w:pStyle w:val="Heading3"/>
      </w:pPr>
      <w:proofErr w:type="gramStart"/>
      <w:r>
        <w:lastRenderedPageBreak/>
        <w:t xml:space="preserve">2.4.6  </w:t>
      </w:r>
      <w:r w:rsidR="00572F25">
        <w:t>Peer</w:t>
      </w:r>
      <w:proofErr w:type="gramEnd"/>
      <w:r w:rsidR="00572F25">
        <w:t xml:space="preserve"> group inclusions and exclusions</w:t>
      </w:r>
    </w:p>
    <w:p w14:paraId="129557C0" w14:textId="77777777" w:rsidR="00572F25" w:rsidRPr="00C23DFC" w:rsidRDefault="00572F25" w:rsidP="00572F25">
      <w:r w:rsidRPr="00C23DFC">
        <w:t xml:space="preserve">The peer groups </w:t>
      </w:r>
      <w:r w:rsidRPr="00C23DFC">
        <w:rPr>
          <w:b/>
          <w:bCs/>
        </w:rPr>
        <w:t>included</w:t>
      </w:r>
      <w:r w:rsidRPr="00C23DFC">
        <w:t xml:space="preserve"> for determination of denominator numbers for rates of participation were: </w:t>
      </w:r>
    </w:p>
    <w:tbl>
      <w:tblPr>
        <w:tblStyle w:val="TableGridLight1"/>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1"/>
      </w:tblGrid>
      <w:tr w:rsidR="00572F25" w:rsidRPr="00C23DFC" w14:paraId="1D9CCE54" w14:textId="77777777" w:rsidTr="00140544">
        <w:trPr>
          <w:trHeight w:val="322"/>
          <w:tblHeader/>
        </w:trPr>
        <w:tc>
          <w:tcPr>
            <w:tcW w:w="4536" w:type="dxa"/>
          </w:tcPr>
          <w:p w14:paraId="0654235D" w14:textId="77777777" w:rsidR="00572F25" w:rsidRPr="00C23DFC" w:rsidRDefault="00572F25" w:rsidP="00140544">
            <w:pPr>
              <w:spacing w:after="0"/>
              <w:rPr>
                <w:rFonts w:cs="Arial"/>
                <w:b/>
                <w:bCs/>
              </w:rPr>
            </w:pPr>
            <w:r w:rsidRPr="00C23DFC">
              <w:rPr>
                <w:rFonts w:cs="Arial"/>
                <w:b/>
                <w:bCs/>
              </w:rPr>
              <w:t>Public facilities</w:t>
            </w:r>
          </w:p>
        </w:tc>
        <w:tc>
          <w:tcPr>
            <w:tcW w:w="4531" w:type="dxa"/>
          </w:tcPr>
          <w:p w14:paraId="64DD6C9E" w14:textId="77777777" w:rsidR="00572F25" w:rsidRPr="00C23DFC" w:rsidRDefault="00572F25" w:rsidP="00140544">
            <w:pPr>
              <w:spacing w:after="0"/>
              <w:rPr>
                <w:rFonts w:cs="Arial"/>
                <w:b/>
                <w:bCs/>
              </w:rPr>
            </w:pPr>
            <w:r w:rsidRPr="00C23DFC">
              <w:rPr>
                <w:rFonts w:cs="Arial"/>
                <w:b/>
                <w:bCs/>
              </w:rPr>
              <w:t>Private facilities</w:t>
            </w:r>
          </w:p>
        </w:tc>
      </w:tr>
      <w:tr w:rsidR="00572F25" w:rsidRPr="00C23DFC" w14:paraId="0E82B79F" w14:textId="77777777" w:rsidTr="00140544">
        <w:trPr>
          <w:trHeight w:val="21"/>
        </w:trPr>
        <w:tc>
          <w:tcPr>
            <w:tcW w:w="4536" w:type="dxa"/>
          </w:tcPr>
          <w:p w14:paraId="23A439B2" w14:textId="77777777" w:rsidR="00572F25" w:rsidRPr="00C23DFC" w:rsidRDefault="00572F25" w:rsidP="00140544">
            <w:pPr>
              <w:spacing w:after="0"/>
              <w:rPr>
                <w:rFonts w:cs="Arial"/>
              </w:rPr>
            </w:pPr>
            <w:r w:rsidRPr="00C23DFC">
              <w:rPr>
                <w:rFonts w:cs="Arial"/>
              </w:rPr>
              <w:t>Children’s hospitals</w:t>
            </w:r>
          </w:p>
          <w:p w14:paraId="6E461896" w14:textId="77777777" w:rsidR="00572F25" w:rsidRPr="00C23DFC" w:rsidRDefault="00572F25" w:rsidP="00140544">
            <w:pPr>
              <w:spacing w:after="0"/>
              <w:rPr>
                <w:rFonts w:cs="Arial"/>
              </w:rPr>
            </w:pPr>
            <w:r w:rsidRPr="00C23DFC">
              <w:rPr>
                <w:rFonts w:cs="Arial"/>
              </w:rPr>
              <w:t xml:space="preserve">Combined women’s </w:t>
            </w:r>
            <w:r>
              <w:rPr>
                <w:rFonts w:cs="Arial"/>
              </w:rPr>
              <w:t>and</w:t>
            </w:r>
            <w:r w:rsidRPr="00C23DFC">
              <w:rPr>
                <w:rFonts w:cs="Arial"/>
              </w:rPr>
              <w:t xml:space="preserve"> children’s hospitals</w:t>
            </w:r>
          </w:p>
          <w:p w14:paraId="122A11CE" w14:textId="77777777" w:rsidR="00572F25" w:rsidRPr="00C23DFC" w:rsidRDefault="00572F25" w:rsidP="00140544">
            <w:pPr>
              <w:spacing w:after="0"/>
              <w:rPr>
                <w:rFonts w:cs="Arial"/>
              </w:rPr>
            </w:pPr>
            <w:r w:rsidRPr="00C23DFC">
              <w:rPr>
                <w:rFonts w:cs="Arial"/>
              </w:rPr>
              <w:t>Mixed day procedure hospitals</w:t>
            </w:r>
          </w:p>
          <w:p w14:paraId="72F9C11B" w14:textId="77777777" w:rsidR="00572F25" w:rsidRPr="00C23DFC" w:rsidRDefault="00572F25" w:rsidP="00140544">
            <w:pPr>
              <w:spacing w:after="0"/>
              <w:rPr>
                <w:rFonts w:cs="Arial"/>
              </w:rPr>
            </w:pPr>
            <w:r w:rsidRPr="00C23DFC">
              <w:rPr>
                <w:rFonts w:cs="Arial"/>
              </w:rPr>
              <w:t>Other day procedure hospitals</w:t>
            </w:r>
          </w:p>
          <w:p w14:paraId="72722EA1" w14:textId="77777777" w:rsidR="00572F25" w:rsidRPr="00C23DFC" w:rsidRDefault="00572F25" w:rsidP="00140544">
            <w:pPr>
              <w:spacing w:after="0"/>
              <w:rPr>
                <w:rFonts w:cs="Arial"/>
              </w:rPr>
            </w:pPr>
            <w:r w:rsidRPr="00C23DFC">
              <w:rPr>
                <w:rFonts w:cs="Arial"/>
              </w:rPr>
              <w:t>Principal referral hospitals</w:t>
            </w:r>
          </w:p>
          <w:p w14:paraId="2173C037" w14:textId="77777777" w:rsidR="00572F25" w:rsidRPr="00C23DFC" w:rsidRDefault="00572F25" w:rsidP="00140544">
            <w:pPr>
              <w:spacing w:after="0"/>
              <w:rPr>
                <w:rFonts w:cs="Arial"/>
              </w:rPr>
            </w:pPr>
            <w:r w:rsidRPr="00C23DFC">
              <w:rPr>
                <w:rFonts w:cs="Arial"/>
              </w:rPr>
              <w:t>Public acute group A hospitals</w:t>
            </w:r>
          </w:p>
          <w:p w14:paraId="70A1BCD8" w14:textId="77777777" w:rsidR="00572F25" w:rsidRPr="00C23DFC" w:rsidRDefault="00572F25" w:rsidP="00140544">
            <w:pPr>
              <w:spacing w:after="0"/>
              <w:rPr>
                <w:rFonts w:cs="Arial"/>
              </w:rPr>
            </w:pPr>
            <w:r w:rsidRPr="00C23DFC">
              <w:rPr>
                <w:rFonts w:cs="Arial"/>
              </w:rPr>
              <w:t>Public acute group B hospitals</w:t>
            </w:r>
          </w:p>
          <w:p w14:paraId="07D69386" w14:textId="77777777" w:rsidR="00572F25" w:rsidRPr="00C23DFC" w:rsidRDefault="00572F25" w:rsidP="00140544">
            <w:pPr>
              <w:spacing w:after="0"/>
              <w:rPr>
                <w:rFonts w:cs="Arial"/>
              </w:rPr>
            </w:pPr>
            <w:r w:rsidRPr="00C23DFC">
              <w:rPr>
                <w:rFonts w:cs="Arial"/>
              </w:rPr>
              <w:t>Public acute group C hospitals</w:t>
            </w:r>
          </w:p>
          <w:p w14:paraId="4DE62244" w14:textId="77777777" w:rsidR="00572F25" w:rsidRPr="00C23DFC" w:rsidRDefault="00572F25" w:rsidP="00140544">
            <w:pPr>
              <w:spacing w:after="0"/>
              <w:rPr>
                <w:rFonts w:cs="Arial"/>
              </w:rPr>
            </w:pPr>
            <w:r w:rsidRPr="00C23DFC">
              <w:rPr>
                <w:rFonts w:cs="Arial"/>
              </w:rPr>
              <w:t>Public acute group D hospitals</w:t>
            </w:r>
          </w:p>
          <w:p w14:paraId="10BD7973" w14:textId="77777777" w:rsidR="00572F25" w:rsidRPr="00C23DFC" w:rsidRDefault="00572F25" w:rsidP="00140544">
            <w:pPr>
              <w:spacing w:after="0"/>
              <w:rPr>
                <w:rFonts w:cs="Arial"/>
              </w:rPr>
            </w:pPr>
            <w:r w:rsidRPr="00C23DFC">
              <w:rPr>
                <w:rFonts w:cs="Arial"/>
              </w:rPr>
              <w:t>Women’s hospitals</w:t>
            </w:r>
          </w:p>
          <w:p w14:paraId="4FE8F616" w14:textId="77777777" w:rsidR="00572F25" w:rsidRPr="00C23DFC" w:rsidRDefault="00572F25" w:rsidP="00140544">
            <w:pPr>
              <w:spacing w:after="0"/>
              <w:rPr>
                <w:rFonts w:cs="Arial"/>
              </w:rPr>
            </w:pPr>
            <w:r w:rsidRPr="00C23DFC">
              <w:rPr>
                <w:rFonts w:cs="Arial"/>
              </w:rPr>
              <w:t>Women’s and children’s hospitals</w:t>
            </w:r>
          </w:p>
        </w:tc>
        <w:tc>
          <w:tcPr>
            <w:tcW w:w="4531" w:type="dxa"/>
          </w:tcPr>
          <w:p w14:paraId="37358482" w14:textId="77777777" w:rsidR="00572F25" w:rsidRPr="00C23DFC" w:rsidRDefault="00572F25" w:rsidP="00140544">
            <w:pPr>
              <w:spacing w:after="0"/>
              <w:rPr>
                <w:rFonts w:cs="Arial"/>
              </w:rPr>
            </w:pPr>
            <w:r w:rsidRPr="00C23DFC">
              <w:rPr>
                <w:rFonts w:cs="Arial"/>
              </w:rPr>
              <w:t xml:space="preserve">Combined women’s </w:t>
            </w:r>
            <w:r>
              <w:rPr>
                <w:rFonts w:cs="Arial"/>
              </w:rPr>
              <w:t>and</w:t>
            </w:r>
            <w:r w:rsidRPr="00C23DFC">
              <w:rPr>
                <w:rFonts w:cs="Arial"/>
              </w:rPr>
              <w:t xml:space="preserve"> children’s hospitals</w:t>
            </w:r>
          </w:p>
          <w:p w14:paraId="1B2932E4" w14:textId="77777777" w:rsidR="00572F25" w:rsidRPr="00C23DFC" w:rsidRDefault="00572F25" w:rsidP="00140544">
            <w:pPr>
              <w:spacing w:after="0"/>
              <w:rPr>
                <w:rFonts w:cs="Arial"/>
              </w:rPr>
            </w:pPr>
            <w:r w:rsidRPr="00C23DFC">
              <w:rPr>
                <w:rFonts w:cs="Arial"/>
              </w:rPr>
              <w:t>Endoscopy centres</w:t>
            </w:r>
          </w:p>
          <w:p w14:paraId="16920922" w14:textId="77777777" w:rsidR="00572F25" w:rsidRPr="00C23DFC" w:rsidRDefault="00572F25" w:rsidP="00140544">
            <w:pPr>
              <w:spacing w:after="0"/>
              <w:rPr>
                <w:rFonts w:cs="Arial"/>
              </w:rPr>
            </w:pPr>
            <w:r w:rsidRPr="00C23DFC">
              <w:rPr>
                <w:rFonts w:cs="Arial"/>
              </w:rPr>
              <w:t>Eye surgery centres</w:t>
            </w:r>
          </w:p>
          <w:p w14:paraId="7B750895" w14:textId="77777777" w:rsidR="00572F25" w:rsidRPr="00C23DFC" w:rsidRDefault="00572F25" w:rsidP="00140544">
            <w:pPr>
              <w:spacing w:after="0"/>
              <w:rPr>
                <w:rFonts w:cs="Arial"/>
              </w:rPr>
            </w:pPr>
            <w:r w:rsidRPr="00C23DFC">
              <w:rPr>
                <w:rFonts w:cs="Arial"/>
              </w:rPr>
              <w:t>Gynaecology day hospitals</w:t>
            </w:r>
          </w:p>
          <w:p w14:paraId="53D734EA" w14:textId="77777777" w:rsidR="00572F25" w:rsidRPr="00C23DFC" w:rsidRDefault="00572F25" w:rsidP="00140544">
            <w:pPr>
              <w:spacing w:after="0"/>
              <w:rPr>
                <w:rFonts w:cs="Arial"/>
              </w:rPr>
            </w:pPr>
            <w:r w:rsidRPr="00C23DFC">
              <w:rPr>
                <w:rFonts w:cs="Arial"/>
              </w:rPr>
              <w:t>Mixed day procedure hospitals</w:t>
            </w:r>
          </w:p>
          <w:p w14:paraId="0215C75C" w14:textId="77777777" w:rsidR="00572F25" w:rsidRPr="00C23DFC" w:rsidRDefault="00572F25" w:rsidP="00140544">
            <w:pPr>
              <w:spacing w:after="0"/>
              <w:rPr>
                <w:rFonts w:cs="Arial"/>
              </w:rPr>
            </w:pPr>
            <w:r w:rsidRPr="00C23DFC">
              <w:rPr>
                <w:rFonts w:cs="Arial"/>
              </w:rPr>
              <w:t xml:space="preserve">Oral </w:t>
            </w:r>
            <w:r>
              <w:rPr>
                <w:rFonts w:cs="Arial"/>
              </w:rPr>
              <w:t>and</w:t>
            </w:r>
            <w:r w:rsidRPr="00C23DFC">
              <w:rPr>
                <w:rFonts w:cs="Arial"/>
              </w:rPr>
              <w:t xml:space="preserve"> maxillofacial surgery centres</w:t>
            </w:r>
          </w:p>
          <w:p w14:paraId="188DB970" w14:textId="77777777" w:rsidR="00572F25" w:rsidRPr="00C23DFC" w:rsidRDefault="00572F25" w:rsidP="00140544">
            <w:pPr>
              <w:spacing w:after="0"/>
              <w:rPr>
                <w:rFonts w:cs="Arial"/>
              </w:rPr>
            </w:pPr>
            <w:r w:rsidRPr="00C23DFC">
              <w:rPr>
                <w:rFonts w:cs="Arial"/>
              </w:rPr>
              <w:t>Other acute specialised hospitals</w:t>
            </w:r>
          </w:p>
          <w:p w14:paraId="100FCD31" w14:textId="77777777" w:rsidR="00572F25" w:rsidRPr="00C23DFC" w:rsidRDefault="00572F25" w:rsidP="00140544">
            <w:pPr>
              <w:spacing w:after="0"/>
              <w:rPr>
                <w:rFonts w:cs="Arial"/>
              </w:rPr>
            </w:pPr>
            <w:r w:rsidRPr="00C23DFC">
              <w:rPr>
                <w:rFonts w:cs="Arial"/>
              </w:rPr>
              <w:t>Other specialist day hospitals</w:t>
            </w:r>
          </w:p>
          <w:p w14:paraId="493F9091" w14:textId="77777777" w:rsidR="00572F25" w:rsidRPr="00C23DFC" w:rsidRDefault="00572F25" w:rsidP="00140544">
            <w:pPr>
              <w:spacing w:after="0"/>
              <w:rPr>
                <w:rFonts w:cs="Arial"/>
              </w:rPr>
            </w:pPr>
            <w:r w:rsidRPr="00C23DFC">
              <w:rPr>
                <w:rFonts w:cs="Arial"/>
              </w:rPr>
              <w:t xml:space="preserve">Other women’s </w:t>
            </w:r>
            <w:r>
              <w:rPr>
                <w:rFonts w:cs="Arial"/>
              </w:rPr>
              <w:t>and</w:t>
            </w:r>
            <w:r w:rsidRPr="00C23DFC">
              <w:rPr>
                <w:rFonts w:cs="Arial"/>
              </w:rPr>
              <w:t xml:space="preserve"> children’s hospitals</w:t>
            </w:r>
          </w:p>
          <w:p w14:paraId="2699D442" w14:textId="77777777" w:rsidR="00572F25" w:rsidRPr="00C23DFC" w:rsidRDefault="00572F25" w:rsidP="00140544">
            <w:pPr>
              <w:spacing w:after="0"/>
              <w:rPr>
                <w:rFonts w:cs="Arial"/>
              </w:rPr>
            </w:pPr>
            <w:r w:rsidRPr="00C23DFC">
              <w:rPr>
                <w:rFonts w:cs="Arial"/>
              </w:rPr>
              <w:t xml:space="preserve">Plastic </w:t>
            </w:r>
            <w:r>
              <w:rPr>
                <w:rFonts w:cs="Arial"/>
              </w:rPr>
              <w:t>and</w:t>
            </w:r>
            <w:r w:rsidRPr="00C23DFC">
              <w:rPr>
                <w:rFonts w:cs="Arial"/>
              </w:rPr>
              <w:t xml:space="preserve"> reconstructive surgery centres</w:t>
            </w:r>
          </w:p>
          <w:p w14:paraId="7670A9B0" w14:textId="77777777" w:rsidR="00572F25" w:rsidRPr="00C23DFC" w:rsidRDefault="00572F25" w:rsidP="00140544">
            <w:pPr>
              <w:spacing w:after="0"/>
              <w:rPr>
                <w:rFonts w:cs="Arial"/>
              </w:rPr>
            </w:pPr>
            <w:r w:rsidRPr="00C23DFC">
              <w:rPr>
                <w:rFonts w:cs="Arial"/>
              </w:rPr>
              <w:t>Private acute group A hospitals</w:t>
            </w:r>
          </w:p>
          <w:p w14:paraId="5B2AAA3D" w14:textId="77777777" w:rsidR="00572F25" w:rsidRPr="00C23DFC" w:rsidRDefault="00572F25" w:rsidP="00140544">
            <w:pPr>
              <w:spacing w:after="0"/>
              <w:rPr>
                <w:rFonts w:cs="Arial"/>
              </w:rPr>
            </w:pPr>
            <w:r w:rsidRPr="00C23DFC">
              <w:rPr>
                <w:rFonts w:cs="Arial"/>
              </w:rPr>
              <w:t>Private acute group B hospitals</w:t>
            </w:r>
          </w:p>
          <w:p w14:paraId="0ED1D62E" w14:textId="77777777" w:rsidR="00572F25" w:rsidRPr="00C23DFC" w:rsidRDefault="00572F25" w:rsidP="00140544">
            <w:pPr>
              <w:spacing w:after="0"/>
              <w:rPr>
                <w:rFonts w:cs="Arial"/>
              </w:rPr>
            </w:pPr>
            <w:r w:rsidRPr="00C23DFC">
              <w:rPr>
                <w:rFonts w:cs="Arial"/>
              </w:rPr>
              <w:t>Private acute group C hospitals</w:t>
            </w:r>
          </w:p>
          <w:p w14:paraId="23126B65" w14:textId="77777777" w:rsidR="00572F25" w:rsidRPr="00C23DFC" w:rsidRDefault="00572F25" w:rsidP="00140544">
            <w:pPr>
              <w:spacing w:after="0"/>
              <w:rPr>
                <w:rFonts w:cs="Arial"/>
              </w:rPr>
            </w:pPr>
            <w:r w:rsidRPr="00C23DFC">
              <w:rPr>
                <w:rFonts w:cs="Arial"/>
              </w:rPr>
              <w:t>Private acute group D hospitals</w:t>
            </w:r>
          </w:p>
          <w:p w14:paraId="14AEBC83" w14:textId="77777777" w:rsidR="00572F25" w:rsidRPr="00C23DFC" w:rsidRDefault="00572F25" w:rsidP="00140544">
            <w:pPr>
              <w:spacing w:after="0"/>
            </w:pPr>
            <w:r w:rsidRPr="00767D72">
              <w:rPr>
                <w:rFonts w:cs="Arial"/>
              </w:rPr>
              <w:t>Women’s hospitals</w:t>
            </w:r>
          </w:p>
        </w:tc>
      </w:tr>
    </w:tbl>
    <w:p w14:paraId="47CB13EC" w14:textId="77777777" w:rsidR="00572F25" w:rsidRDefault="00572F25" w:rsidP="00572F25">
      <w:pPr>
        <w:spacing w:after="80"/>
        <w:rPr>
          <w:rFonts w:cs="Arial"/>
          <w:highlight w:val="cyan"/>
        </w:rPr>
      </w:pPr>
    </w:p>
    <w:p w14:paraId="54C8114F" w14:textId="77777777" w:rsidR="00F555C8" w:rsidRDefault="00F555C8" w:rsidP="00572F25">
      <w:pPr>
        <w:spacing w:after="80"/>
        <w:rPr>
          <w:rFonts w:cs="Arial"/>
          <w:highlight w:val="cyan"/>
        </w:rPr>
      </w:pPr>
    </w:p>
    <w:p w14:paraId="1A4CF5F8" w14:textId="77777777" w:rsidR="00F555C8" w:rsidRDefault="00F555C8" w:rsidP="00572F25">
      <w:pPr>
        <w:spacing w:after="80"/>
        <w:rPr>
          <w:rFonts w:cs="Arial"/>
          <w:highlight w:val="cyan"/>
        </w:rPr>
      </w:pPr>
    </w:p>
    <w:p w14:paraId="1584DEA6" w14:textId="77777777" w:rsidR="00F555C8" w:rsidRDefault="00F555C8" w:rsidP="00572F25">
      <w:pPr>
        <w:spacing w:after="80"/>
        <w:rPr>
          <w:rFonts w:cs="Arial"/>
          <w:highlight w:val="cyan"/>
        </w:rPr>
      </w:pPr>
    </w:p>
    <w:p w14:paraId="255E3895" w14:textId="77777777" w:rsidR="00F555C8" w:rsidRDefault="00F555C8" w:rsidP="00572F25">
      <w:pPr>
        <w:spacing w:after="80"/>
        <w:rPr>
          <w:rFonts w:cs="Arial"/>
          <w:highlight w:val="cyan"/>
        </w:rPr>
      </w:pPr>
    </w:p>
    <w:p w14:paraId="2AAD8166" w14:textId="77777777" w:rsidR="00F555C8" w:rsidRDefault="00F555C8" w:rsidP="00572F25">
      <w:pPr>
        <w:spacing w:after="80"/>
        <w:rPr>
          <w:rFonts w:cs="Arial"/>
          <w:highlight w:val="cyan"/>
        </w:rPr>
      </w:pPr>
    </w:p>
    <w:p w14:paraId="5D49F4A7" w14:textId="77777777" w:rsidR="00F555C8" w:rsidRDefault="00F555C8" w:rsidP="00572F25">
      <w:pPr>
        <w:spacing w:after="80"/>
        <w:rPr>
          <w:rFonts w:cs="Arial"/>
          <w:highlight w:val="cyan"/>
        </w:rPr>
      </w:pPr>
    </w:p>
    <w:p w14:paraId="793B9942" w14:textId="77777777" w:rsidR="00F555C8" w:rsidRDefault="00F555C8" w:rsidP="00572F25">
      <w:pPr>
        <w:spacing w:after="80"/>
        <w:rPr>
          <w:rFonts w:cs="Arial"/>
          <w:highlight w:val="cyan"/>
        </w:rPr>
      </w:pPr>
    </w:p>
    <w:p w14:paraId="7E737D12" w14:textId="77777777" w:rsidR="00F555C8" w:rsidRDefault="00F555C8" w:rsidP="00572F25">
      <w:pPr>
        <w:spacing w:after="80"/>
        <w:rPr>
          <w:rFonts w:cs="Arial"/>
          <w:highlight w:val="cyan"/>
        </w:rPr>
      </w:pPr>
    </w:p>
    <w:p w14:paraId="2F9224BC" w14:textId="77777777" w:rsidR="00F555C8" w:rsidRDefault="00F555C8" w:rsidP="00572F25">
      <w:pPr>
        <w:spacing w:after="80"/>
        <w:rPr>
          <w:rFonts w:cs="Arial"/>
          <w:highlight w:val="cyan"/>
        </w:rPr>
      </w:pPr>
    </w:p>
    <w:p w14:paraId="14980A41" w14:textId="77777777" w:rsidR="00F555C8" w:rsidRDefault="00F555C8" w:rsidP="00572F25">
      <w:pPr>
        <w:spacing w:after="80"/>
        <w:rPr>
          <w:rFonts w:cs="Arial"/>
          <w:highlight w:val="cyan"/>
        </w:rPr>
      </w:pPr>
    </w:p>
    <w:p w14:paraId="27CE1DCE" w14:textId="77777777" w:rsidR="00F555C8" w:rsidRDefault="00F555C8" w:rsidP="00572F25">
      <w:pPr>
        <w:spacing w:after="80"/>
        <w:rPr>
          <w:rFonts w:cs="Arial"/>
          <w:highlight w:val="cyan"/>
        </w:rPr>
      </w:pPr>
    </w:p>
    <w:p w14:paraId="295A3889" w14:textId="77777777" w:rsidR="00F555C8" w:rsidRDefault="00F555C8" w:rsidP="00572F25">
      <w:pPr>
        <w:spacing w:after="80"/>
        <w:rPr>
          <w:rFonts w:cs="Arial"/>
          <w:highlight w:val="cyan"/>
        </w:rPr>
      </w:pPr>
    </w:p>
    <w:p w14:paraId="0537AB4D" w14:textId="77777777" w:rsidR="00F555C8" w:rsidRPr="002A3F2F" w:rsidRDefault="00F555C8" w:rsidP="00572F25">
      <w:pPr>
        <w:spacing w:after="80"/>
        <w:rPr>
          <w:rFonts w:cs="Arial"/>
          <w:highlight w:val="cyan"/>
        </w:rPr>
      </w:pPr>
    </w:p>
    <w:p w14:paraId="43B3600C" w14:textId="77777777" w:rsidR="00572F25" w:rsidRPr="00C23DFC" w:rsidRDefault="00572F25" w:rsidP="00572F25">
      <w:r w:rsidRPr="00C23DFC">
        <w:lastRenderedPageBreak/>
        <w:t xml:space="preserve">The peer groups </w:t>
      </w:r>
      <w:r w:rsidRPr="00C23DFC">
        <w:rPr>
          <w:b/>
          <w:bCs/>
        </w:rPr>
        <w:t>excluded</w:t>
      </w:r>
      <w:r w:rsidRPr="00C23DFC">
        <w:t xml:space="preserve"> for determination of denominator numbers for rates of participation were: </w:t>
      </w:r>
    </w:p>
    <w:tbl>
      <w:tblPr>
        <w:tblStyle w:val="TableGridLight1"/>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89"/>
      </w:tblGrid>
      <w:tr w:rsidR="00572F25" w:rsidRPr="00C23DFC" w14:paraId="7DFFEB93" w14:textId="77777777" w:rsidTr="00140544">
        <w:trPr>
          <w:trHeight w:val="302"/>
          <w:tblHeader/>
        </w:trPr>
        <w:tc>
          <w:tcPr>
            <w:tcW w:w="4678" w:type="dxa"/>
          </w:tcPr>
          <w:p w14:paraId="5378733E" w14:textId="77777777" w:rsidR="00572F25" w:rsidRPr="00C23DFC" w:rsidRDefault="00572F25" w:rsidP="00140544">
            <w:pPr>
              <w:spacing w:after="0"/>
              <w:rPr>
                <w:rFonts w:cs="Arial"/>
              </w:rPr>
            </w:pPr>
            <w:r w:rsidRPr="00C23DFC">
              <w:rPr>
                <w:rFonts w:cs="Arial"/>
                <w:b/>
                <w:bCs/>
              </w:rPr>
              <w:t>Public facilities</w:t>
            </w:r>
          </w:p>
        </w:tc>
        <w:tc>
          <w:tcPr>
            <w:tcW w:w="4389" w:type="dxa"/>
          </w:tcPr>
          <w:p w14:paraId="4EE9E4EB" w14:textId="77777777" w:rsidR="00572F25" w:rsidRPr="00C23DFC" w:rsidRDefault="00572F25" w:rsidP="00140544">
            <w:pPr>
              <w:spacing w:after="0"/>
              <w:rPr>
                <w:rFonts w:cs="Arial"/>
              </w:rPr>
            </w:pPr>
            <w:r w:rsidRPr="00C23DFC">
              <w:rPr>
                <w:rFonts w:cs="Arial"/>
                <w:b/>
                <w:bCs/>
              </w:rPr>
              <w:t>Private facilities</w:t>
            </w:r>
          </w:p>
        </w:tc>
      </w:tr>
      <w:tr w:rsidR="00572F25" w:rsidRPr="00C23DFC" w14:paraId="6FF8A092" w14:textId="77777777" w:rsidTr="00140544">
        <w:trPr>
          <w:trHeight w:val="21"/>
        </w:trPr>
        <w:tc>
          <w:tcPr>
            <w:tcW w:w="4678" w:type="dxa"/>
          </w:tcPr>
          <w:p w14:paraId="5DFD6F4B" w14:textId="77777777" w:rsidR="00572F25" w:rsidRPr="00C23DFC" w:rsidRDefault="00572F25" w:rsidP="00140544">
            <w:pPr>
              <w:spacing w:after="0"/>
              <w:rPr>
                <w:rFonts w:cs="Arial"/>
              </w:rPr>
            </w:pPr>
            <w:r w:rsidRPr="00C23DFC">
              <w:rPr>
                <w:rFonts w:cs="Arial"/>
              </w:rPr>
              <w:t>Drug and alcohol hospitals</w:t>
            </w:r>
          </w:p>
          <w:p w14:paraId="5EA38B0D" w14:textId="77777777" w:rsidR="00572F25" w:rsidRPr="00C23DFC" w:rsidRDefault="00572F25" w:rsidP="00140544">
            <w:pPr>
              <w:spacing w:after="0"/>
              <w:rPr>
                <w:rFonts w:cs="Arial"/>
              </w:rPr>
            </w:pPr>
            <w:r w:rsidRPr="00C23DFC">
              <w:rPr>
                <w:rFonts w:cs="Arial"/>
              </w:rPr>
              <w:t>Early parenting centres</w:t>
            </w:r>
          </w:p>
          <w:p w14:paraId="431A66C3" w14:textId="77777777" w:rsidR="00572F25" w:rsidRPr="00C23DFC" w:rsidRDefault="00572F25" w:rsidP="00140544">
            <w:pPr>
              <w:spacing w:after="0"/>
              <w:rPr>
                <w:rFonts w:cs="Arial"/>
              </w:rPr>
            </w:pPr>
            <w:r w:rsidRPr="00C23DFC">
              <w:rPr>
                <w:rFonts w:cs="Arial"/>
              </w:rPr>
              <w:t xml:space="preserve">Mixed </w:t>
            </w:r>
            <w:r w:rsidRPr="00767D72">
              <w:rPr>
                <w:rFonts w:cs="Arial"/>
              </w:rPr>
              <w:t>subacute</w:t>
            </w:r>
            <w:r w:rsidRPr="00C23DFC">
              <w:rPr>
                <w:rFonts w:cs="Arial"/>
              </w:rPr>
              <w:t xml:space="preserve"> and non</w:t>
            </w:r>
            <w:r>
              <w:rPr>
                <w:rFonts w:cs="Arial"/>
              </w:rPr>
              <w:t>-</w:t>
            </w:r>
            <w:r w:rsidRPr="00C23DFC">
              <w:rPr>
                <w:rFonts w:cs="Arial"/>
              </w:rPr>
              <w:t>acute hospitals</w:t>
            </w:r>
          </w:p>
          <w:p w14:paraId="66E51609" w14:textId="77777777" w:rsidR="00572F25" w:rsidRPr="00C23DFC" w:rsidRDefault="00572F25" w:rsidP="00140544">
            <w:pPr>
              <w:spacing w:after="0"/>
              <w:rPr>
                <w:rFonts w:cs="Arial"/>
              </w:rPr>
            </w:pPr>
            <w:r w:rsidRPr="00C23DFC">
              <w:rPr>
                <w:rFonts w:cs="Arial"/>
              </w:rPr>
              <w:t>Other acute specialised hospitals</w:t>
            </w:r>
          </w:p>
          <w:p w14:paraId="7D8B573E" w14:textId="77777777" w:rsidR="00572F25" w:rsidRPr="00C23DFC" w:rsidRDefault="00572F25" w:rsidP="00140544">
            <w:pPr>
              <w:spacing w:after="0"/>
              <w:rPr>
                <w:rFonts w:cs="Arial"/>
              </w:rPr>
            </w:pPr>
            <w:r w:rsidRPr="00C23DFC">
              <w:rPr>
                <w:rFonts w:cs="Arial"/>
              </w:rPr>
              <w:t>Other public acute specialised hospitals</w:t>
            </w:r>
          </w:p>
          <w:p w14:paraId="659EEF04" w14:textId="77777777" w:rsidR="00572F25" w:rsidRPr="00C23DFC" w:rsidRDefault="00572F25" w:rsidP="00140544">
            <w:pPr>
              <w:spacing w:after="0"/>
              <w:rPr>
                <w:rFonts w:cs="Arial"/>
              </w:rPr>
            </w:pPr>
            <w:r w:rsidRPr="00C23DFC">
              <w:rPr>
                <w:rFonts w:cs="Arial"/>
              </w:rPr>
              <w:t>Outpatient hospitals</w:t>
            </w:r>
          </w:p>
          <w:p w14:paraId="1D445248" w14:textId="77777777" w:rsidR="00572F25" w:rsidRPr="00C23DFC" w:rsidRDefault="00572F25" w:rsidP="00140544">
            <w:pPr>
              <w:spacing w:after="0"/>
              <w:rPr>
                <w:rFonts w:cs="Arial"/>
              </w:rPr>
            </w:pPr>
            <w:r w:rsidRPr="00C23DFC">
              <w:rPr>
                <w:rFonts w:cs="Arial"/>
              </w:rPr>
              <w:t>Public acute psychiatric hospitals</w:t>
            </w:r>
          </w:p>
          <w:p w14:paraId="61156839" w14:textId="77777777" w:rsidR="00572F25" w:rsidRPr="00C23DFC" w:rsidRDefault="00572F25" w:rsidP="00140544">
            <w:pPr>
              <w:spacing w:after="0"/>
              <w:rPr>
                <w:rFonts w:cs="Arial"/>
              </w:rPr>
            </w:pPr>
            <w:r w:rsidRPr="00C23DFC">
              <w:rPr>
                <w:rFonts w:cs="Arial"/>
              </w:rPr>
              <w:t xml:space="preserve">Public child, </w:t>
            </w:r>
            <w:proofErr w:type="gramStart"/>
            <w:r w:rsidRPr="00C23DFC">
              <w:rPr>
                <w:rFonts w:cs="Arial"/>
              </w:rPr>
              <w:t>adolescent</w:t>
            </w:r>
            <w:proofErr w:type="gramEnd"/>
            <w:r w:rsidRPr="00C23DFC">
              <w:rPr>
                <w:rFonts w:cs="Arial"/>
              </w:rPr>
              <w:t xml:space="preserve"> </w:t>
            </w:r>
            <w:r>
              <w:rPr>
                <w:rFonts w:cs="Arial"/>
              </w:rPr>
              <w:t>and</w:t>
            </w:r>
            <w:r w:rsidRPr="00C23DFC">
              <w:rPr>
                <w:rFonts w:cs="Arial"/>
              </w:rPr>
              <w:t xml:space="preserve"> young adult psychiatric hospitals</w:t>
            </w:r>
          </w:p>
          <w:p w14:paraId="0D4C4B45" w14:textId="77777777" w:rsidR="00572F25" w:rsidRPr="00C23DFC" w:rsidRDefault="00572F25" w:rsidP="00140544">
            <w:pPr>
              <w:spacing w:after="0"/>
              <w:rPr>
                <w:rFonts w:cs="Arial"/>
              </w:rPr>
            </w:pPr>
            <w:r w:rsidRPr="00C23DFC">
              <w:rPr>
                <w:rFonts w:cs="Arial"/>
              </w:rPr>
              <w:t>Public forensic psychiatric hospitals</w:t>
            </w:r>
          </w:p>
          <w:p w14:paraId="42F05382" w14:textId="77777777" w:rsidR="00572F25" w:rsidRPr="00C23DFC" w:rsidRDefault="00572F25" w:rsidP="00140544">
            <w:pPr>
              <w:spacing w:after="0"/>
              <w:rPr>
                <w:rFonts w:cs="Arial"/>
              </w:rPr>
            </w:pPr>
            <w:r w:rsidRPr="00C23DFC">
              <w:rPr>
                <w:rFonts w:cs="Arial"/>
              </w:rPr>
              <w:t>Public rehabilitation hospitals</w:t>
            </w:r>
          </w:p>
          <w:p w14:paraId="18C079F8" w14:textId="77777777" w:rsidR="00572F25" w:rsidRPr="00C23DFC" w:rsidRDefault="00572F25" w:rsidP="00140544">
            <w:pPr>
              <w:spacing w:after="0"/>
              <w:rPr>
                <w:rFonts w:cs="Arial"/>
              </w:rPr>
            </w:pPr>
            <w:r w:rsidRPr="00C23DFC">
              <w:rPr>
                <w:rFonts w:cs="Arial"/>
              </w:rPr>
              <w:t>Public sub</w:t>
            </w:r>
            <w:r>
              <w:rPr>
                <w:rFonts w:cs="Arial"/>
              </w:rPr>
              <w:t>acute</w:t>
            </w:r>
            <w:r w:rsidRPr="00C23DFC">
              <w:rPr>
                <w:rFonts w:cs="Arial"/>
              </w:rPr>
              <w:t xml:space="preserve"> </w:t>
            </w:r>
            <w:r>
              <w:rPr>
                <w:rFonts w:cs="Arial"/>
              </w:rPr>
              <w:t>and</w:t>
            </w:r>
            <w:r w:rsidRPr="00C23DFC">
              <w:rPr>
                <w:rFonts w:cs="Arial"/>
              </w:rPr>
              <w:t xml:space="preserve"> non</w:t>
            </w:r>
            <w:r>
              <w:rPr>
                <w:rFonts w:cs="Arial"/>
              </w:rPr>
              <w:t>-</w:t>
            </w:r>
            <w:r w:rsidRPr="00C23DFC">
              <w:rPr>
                <w:rFonts w:cs="Arial"/>
              </w:rPr>
              <w:t>acute psychiatric hospitals</w:t>
            </w:r>
          </w:p>
          <w:p w14:paraId="2B13ED78" w14:textId="77777777" w:rsidR="00572F25" w:rsidRPr="00C23DFC" w:rsidRDefault="00572F25" w:rsidP="00140544">
            <w:pPr>
              <w:spacing w:after="0"/>
              <w:rPr>
                <w:rFonts w:cs="Arial"/>
              </w:rPr>
            </w:pPr>
            <w:proofErr w:type="spellStart"/>
            <w:r w:rsidRPr="00C23DFC">
              <w:rPr>
                <w:rFonts w:cs="Arial"/>
              </w:rPr>
              <w:t>Unpeered</w:t>
            </w:r>
            <w:proofErr w:type="spellEnd"/>
            <w:r w:rsidRPr="00C23DFC">
              <w:rPr>
                <w:rFonts w:cs="Arial"/>
              </w:rPr>
              <w:t xml:space="preserve"> hospitals</w:t>
            </w:r>
          </w:p>
          <w:p w14:paraId="3689EE49" w14:textId="77777777" w:rsidR="00572F25" w:rsidRPr="00C23DFC" w:rsidRDefault="00572F25" w:rsidP="00140544">
            <w:pPr>
              <w:spacing w:after="0"/>
              <w:rPr>
                <w:rFonts w:cs="Arial"/>
              </w:rPr>
            </w:pPr>
            <w:r w:rsidRPr="00C23DFC">
              <w:rPr>
                <w:rFonts w:cs="Arial"/>
              </w:rPr>
              <w:t>Very small hospitals</w:t>
            </w:r>
          </w:p>
        </w:tc>
        <w:tc>
          <w:tcPr>
            <w:tcW w:w="4389" w:type="dxa"/>
          </w:tcPr>
          <w:p w14:paraId="64872A41" w14:textId="77777777" w:rsidR="00572F25" w:rsidRPr="00C23DFC" w:rsidRDefault="00572F25" w:rsidP="00140544">
            <w:pPr>
              <w:spacing w:after="0"/>
              <w:rPr>
                <w:rFonts w:cs="Arial"/>
              </w:rPr>
            </w:pPr>
            <w:r w:rsidRPr="00C23DFC">
              <w:rPr>
                <w:rFonts w:cs="Arial"/>
              </w:rPr>
              <w:t>Cardiovascular health centres</w:t>
            </w:r>
          </w:p>
          <w:p w14:paraId="306CE13F" w14:textId="77777777" w:rsidR="00572F25" w:rsidRPr="00C23DFC" w:rsidRDefault="00572F25" w:rsidP="00140544">
            <w:pPr>
              <w:spacing w:after="0"/>
              <w:rPr>
                <w:rFonts w:cs="Arial"/>
              </w:rPr>
            </w:pPr>
            <w:r w:rsidRPr="00C23DFC">
              <w:rPr>
                <w:rFonts w:cs="Arial"/>
              </w:rPr>
              <w:t>Dialysis clinics</w:t>
            </w:r>
          </w:p>
          <w:p w14:paraId="5C09FB5C" w14:textId="77777777" w:rsidR="00572F25" w:rsidRPr="00C23DFC" w:rsidRDefault="00572F25" w:rsidP="00140544">
            <w:pPr>
              <w:spacing w:after="0"/>
              <w:rPr>
                <w:rFonts w:cs="Arial"/>
              </w:rPr>
            </w:pPr>
            <w:r w:rsidRPr="00C23DFC">
              <w:rPr>
                <w:rFonts w:cs="Arial"/>
              </w:rPr>
              <w:t xml:space="preserve">Drug </w:t>
            </w:r>
            <w:r>
              <w:rPr>
                <w:rFonts w:cs="Arial"/>
              </w:rPr>
              <w:t>and</w:t>
            </w:r>
            <w:r w:rsidRPr="00C23DFC">
              <w:rPr>
                <w:rFonts w:cs="Arial"/>
              </w:rPr>
              <w:t xml:space="preserve"> alcohol hospitals</w:t>
            </w:r>
          </w:p>
          <w:p w14:paraId="05FCF196" w14:textId="77777777" w:rsidR="00572F25" w:rsidRPr="00C23DFC" w:rsidRDefault="00572F25" w:rsidP="00140544">
            <w:pPr>
              <w:spacing w:after="0"/>
              <w:rPr>
                <w:rFonts w:cs="Arial"/>
              </w:rPr>
            </w:pPr>
            <w:r w:rsidRPr="00C23DFC">
              <w:rPr>
                <w:rFonts w:cs="Arial"/>
              </w:rPr>
              <w:t>Fertility clinics</w:t>
            </w:r>
          </w:p>
          <w:p w14:paraId="53CCAFF4" w14:textId="77777777" w:rsidR="00572F25" w:rsidRPr="00C23DFC" w:rsidRDefault="00572F25" w:rsidP="00140544">
            <w:pPr>
              <w:spacing w:after="0"/>
              <w:rPr>
                <w:rFonts w:cs="Arial"/>
              </w:rPr>
            </w:pPr>
            <w:r w:rsidRPr="00C23DFC">
              <w:rPr>
                <w:rFonts w:cs="Arial"/>
              </w:rPr>
              <w:t xml:space="preserve">Haematology </w:t>
            </w:r>
            <w:r>
              <w:rPr>
                <w:rFonts w:cs="Arial"/>
              </w:rPr>
              <w:t>and</w:t>
            </w:r>
            <w:r w:rsidRPr="00C23DFC">
              <w:rPr>
                <w:rFonts w:cs="Arial"/>
              </w:rPr>
              <w:t xml:space="preserve"> oncology clinics</w:t>
            </w:r>
          </w:p>
          <w:p w14:paraId="6E8700C6" w14:textId="77777777" w:rsidR="00572F25" w:rsidRPr="00C23DFC" w:rsidRDefault="00572F25" w:rsidP="00140544">
            <w:pPr>
              <w:spacing w:after="0"/>
              <w:rPr>
                <w:rFonts w:cs="Arial"/>
              </w:rPr>
            </w:pPr>
            <w:r w:rsidRPr="00C23DFC">
              <w:rPr>
                <w:rFonts w:cs="Arial"/>
              </w:rPr>
              <w:t>Hyperbaric health centres</w:t>
            </w:r>
          </w:p>
          <w:p w14:paraId="4C35A3AA" w14:textId="77777777" w:rsidR="00572F25" w:rsidRPr="00C23DFC" w:rsidRDefault="00572F25" w:rsidP="00140544">
            <w:pPr>
              <w:spacing w:after="0"/>
              <w:rPr>
                <w:rFonts w:cs="Arial"/>
              </w:rPr>
            </w:pPr>
            <w:r w:rsidRPr="00C23DFC">
              <w:rPr>
                <w:rFonts w:cs="Arial"/>
              </w:rPr>
              <w:t>Mixed sub</w:t>
            </w:r>
            <w:r>
              <w:rPr>
                <w:rFonts w:cs="Arial"/>
              </w:rPr>
              <w:t>acute</w:t>
            </w:r>
            <w:r w:rsidRPr="00C23DFC">
              <w:rPr>
                <w:rFonts w:cs="Arial"/>
              </w:rPr>
              <w:t xml:space="preserve"> </w:t>
            </w:r>
            <w:r>
              <w:rPr>
                <w:rFonts w:cs="Arial"/>
              </w:rPr>
              <w:t>and</w:t>
            </w:r>
            <w:r w:rsidRPr="00C23DFC">
              <w:rPr>
                <w:rFonts w:cs="Arial"/>
              </w:rPr>
              <w:t xml:space="preserve"> non</w:t>
            </w:r>
            <w:r>
              <w:rPr>
                <w:rFonts w:cs="Arial"/>
              </w:rPr>
              <w:t>-</w:t>
            </w:r>
            <w:r w:rsidRPr="00C23DFC">
              <w:rPr>
                <w:rFonts w:cs="Arial"/>
              </w:rPr>
              <w:t>acute hospitals</w:t>
            </w:r>
          </w:p>
          <w:p w14:paraId="40D494CA" w14:textId="77777777" w:rsidR="00572F25" w:rsidRPr="00C23DFC" w:rsidRDefault="00572F25" w:rsidP="00140544">
            <w:pPr>
              <w:spacing w:after="0"/>
              <w:rPr>
                <w:rFonts w:cs="Arial"/>
              </w:rPr>
            </w:pPr>
            <w:r w:rsidRPr="00C23DFC">
              <w:rPr>
                <w:rFonts w:cs="Arial"/>
              </w:rPr>
              <w:t>Private acute psychiatric hospitals</w:t>
            </w:r>
          </w:p>
          <w:p w14:paraId="365CCFAB" w14:textId="77777777" w:rsidR="00572F25" w:rsidRPr="00C23DFC" w:rsidRDefault="00572F25" w:rsidP="00140544">
            <w:pPr>
              <w:spacing w:after="0"/>
              <w:rPr>
                <w:rFonts w:cs="Arial"/>
              </w:rPr>
            </w:pPr>
            <w:r w:rsidRPr="00C23DFC">
              <w:rPr>
                <w:rFonts w:cs="Arial"/>
              </w:rPr>
              <w:t>Private rehabilitation hospitals</w:t>
            </w:r>
          </w:p>
          <w:p w14:paraId="21979523" w14:textId="77777777" w:rsidR="00572F25" w:rsidRPr="00C23DFC" w:rsidRDefault="00572F25" w:rsidP="00140544">
            <w:pPr>
              <w:spacing w:after="0"/>
              <w:rPr>
                <w:rFonts w:cs="Arial"/>
              </w:rPr>
            </w:pPr>
            <w:r w:rsidRPr="00C23DFC">
              <w:rPr>
                <w:rFonts w:cs="Arial"/>
              </w:rPr>
              <w:t>Reproductive health centres</w:t>
            </w:r>
          </w:p>
          <w:p w14:paraId="4F41142A" w14:textId="77777777" w:rsidR="00572F25" w:rsidRPr="00C23DFC" w:rsidRDefault="00572F25" w:rsidP="00140544">
            <w:pPr>
              <w:spacing w:after="0"/>
              <w:rPr>
                <w:rFonts w:cs="Arial"/>
              </w:rPr>
            </w:pPr>
            <w:r w:rsidRPr="00AD60E1">
              <w:rPr>
                <w:rFonts w:cs="Arial"/>
              </w:rPr>
              <w:t>Same-day</w:t>
            </w:r>
            <w:r w:rsidRPr="00C23DFC">
              <w:rPr>
                <w:rFonts w:cs="Arial"/>
              </w:rPr>
              <w:t xml:space="preserve"> hospitals</w:t>
            </w:r>
          </w:p>
          <w:p w14:paraId="0EAF6ECB" w14:textId="77777777" w:rsidR="00572F25" w:rsidRPr="00C23DFC" w:rsidRDefault="00572F25" w:rsidP="00140544">
            <w:pPr>
              <w:spacing w:after="0"/>
              <w:rPr>
                <w:rFonts w:cs="Arial"/>
              </w:rPr>
            </w:pPr>
            <w:r w:rsidRPr="00C23DFC">
              <w:rPr>
                <w:rFonts w:cs="Arial"/>
              </w:rPr>
              <w:t>Sleep centres</w:t>
            </w:r>
          </w:p>
          <w:p w14:paraId="7B3A2BEC" w14:textId="77777777" w:rsidR="00572F25" w:rsidRPr="00C23DFC" w:rsidRDefault="00572F25" w:rsidP="00140544">
            <w:pPr>
              <w:spacing w:after="0"/>
              <w:rPr>
                <w:rFonts w:cs="Arial"/>
              </w:rPr>
            </w:pPr>
            <w:proofErr w:type="spellStart"/>
            <w:r w:rsidRPr="00C23DFC">
              <w:rPr>
                <w:rFonts w:cs="Arial"/>
              </w:rPr>
              <w:t>Unpeered</w:t>
            </w:r>
            <w:proofErr w:type="spellEnd"/>
            <w:r w:rsidRPr="00C23DFC">
              <w:rPr>
                <w:rFonts w:cs="Arial"/>
              </w:rPr>
              <w:t xml:space="preserve"> hospitals</w:t>
            </w:r>
          </w:p>
          <w:p w14:paraId="01B3F633" w14:textId="77777777" w:rsidR="00572F25" w:rsidRPr="00C23DFC" w:rsidRDefault="00572F25" w:rsidP="00140544">
            <w:pPr>
              <w:spacing w:after="0"/>
              <w:rPr>
                <w:rFonts w:cs="Arial"/>
              </w:rPr>
            </w:pPr>
            <w:r w:rsidRPr="00C23DFC">
              <w:rPr>
                <w:rFonts w:cs="Arial"/>
              </w:rPr>
              <w:t>Very small hospitals</w:t>
            </w:r>
          </w:p>
        </w:tc>
      </w:tr>
    </w:tbl>
    <w:p w14:paraId="3034FB07" w14:textId="77777777" w:rsidR="00572F25" w:rsidRDefault="00572F25" w:rsidP="00572F25">
      <w:r>
        <w:br w:type="page"/>
      </w:r>
    </w:p>
    <w:p w14:paraId="7B8EFB01" w14:textId="77777777" w:rsidR="00572F25" w:rsidRDefault="00572F25" w:rsidP="00572F25">
      <w:pPr>
        <w:pStyle w:val="Heading1"/>
        <w:numPr>
          <w:ilvl w:val="0"/>
          <w:numId w:val="27"/>
        </w:numPr>
        <w:ind w:left="0" w:firstLine="0"/>
        <w:jc w:val="both"/>
      </w:pPr>
      <w:bookmarkStart w:id="91" w:name="_Toc126664201"/>
      <w:r>
        <w:lastRenderedPageBreak/>
        <w:t>Key findings</w:t>
      </w:r>
      <w:bookmarkEnd w:id="91"/>
    </w:p>
    <w:p w14:paraId="37404FCC" w14:textId="77777777" w:rsidR="00572F25" w:rsidRPr="005068FD" w:rsidRDefault="00572F25" w:rsidP="00572F25">
      <w:pPr>
        <w:jc w:val="both"/>
        <w:rPr>
          <w:rFonts w:cs="Arial"/>
        </w:rPr>
      </w:pPr>
      <w:r w:rsidRPr="005068FD">
        <w:rPr>
          <w:rFonts w:cs="Arial"/>
        </w:rPr>
        <w:t>Analyses of the 20</w:t>
      </w:r>
      <w:r>
        <w:rPr>
          <w:rFonts w:cs="Arial"/>
        </w:rPr>
        <w:t>21</w:t>
      </w:r>
      <w:r w:rsidRPr="005068FD">
        <w:rPr>
          <w:rFonts w:cs="Arial"/>
        </w:rPr>
        <w:t xml:space="preserve"> Surgical NAPS data are presented below.</w:t>
      </w:r>
    </w:p>
    <w:p w14:paraId="39421775" w14:textId="77777777" w:rsidR="00572F25" w:rsidRDefault="00572F25" w:rsidP="000C01C1">
      <w:pPr>
        <w:pStyle w:val="Heading2"/>
        <w:numPr>
          <w:ilvl w:val="1"/>
          <w:numId w:val="27"/>
        </w:numPr>
        <w:ind w:hanging="718"/>
        <w:jc w:val="both"/>
      </w:pPr>
      <w:bookmarkStart w:id="92" w:name="_Toc126664202"/>
      <w:r>
        <w:t>Overall findings</w:t>
      </w:r>
      <w:bookmarkEnd w:id="92"/>
    </w:p>
    <w:p w14:paraId="378AAEE2" w14:textId="77777777" w:rsidR="00572F25" w:rsidRDefault="000C01C1" w:rsidP="000C01C1">
      <w:pPr>
        <w:pStyle w:val="Heading3"/>
      </w:pPr>
      <w:proofErr w:type="gramStart"/>
      <w:r>
        <w:t xml:space="preserve">3.1.1  </w:t>
      </w:r>
      <w:r w:rsidR="00572F25">
        <w:t>Contributing</w:t>
      </w:r>
      <w:proofErr w:type="gramEnd"/>
      <w:r w:rsidR="00572F25">
        <w:t xml:space="preserve"> </w:t>
      </w:r>
      <w:r w:rsidR="00572F25" w:rsidRPr="00767D72">
        <w:t>facilities</w:t>
      </w:r>
    </w:p>
    <w:p w14:paraId="5E63E399" w14:textId="77777777" w:rsidR="00572F25" w:rsidRPr="00221D67" w:rsidRDefault="00572F25" w:rsidP="00572F25">
      <w:r w:rsidRPr="4BEA40E9">
        <w:t>There were 1</w:t>
      </w:r>
      <w:r>
        <w:t>81</w:t>
      </w:r>
      <w:r w:rsidRPr="4BEA40E9">
        <w:t xml:space="preserve"> facilities that contributed data to the Surgical NAPS</w:t>
      </w:r>
      <w:r>
        <w:t xml:space="preserve"> 2021 report</w:t>
      </w:r>
      <w:r w:rsidRPr="4BEA40E9">
        <w:t xml:space="preserve">, an increase of </w:t>
      </w:r>
      <w:r w:rsidRPr="00CA4024">
        <w:t>24 facilities</w:t>
      </w:r>
      <w:r w:rsidRPr="4BEA40E9">
        <w:t xml:space="preserve"> compared to </w:t>
      </w:r>
      <w:r>
        <w:t>2020</w:t>
      </w:r>
      <w:r w:rsidRPr="4BEA40E9">
        <w:t xml:space="preserve"> </w:t>
      </w:r>
      <w:r>
        <w:t>(Figure 1).</w:t>
      </w:r>
      <w:r w:rsidRPr="00A67589">
        <w:t xml:space="preserve"> </w:t>
      </w:r>
      <w:r>
        <w:t>The 2021</w:t>
      </w:r>
      <w:r w:rsidRPr="00A67589">
        <w:t xml:space="preserve"> cohort</w:t>
      </w:r>
      <w:r>
        <w:t xml:space="preserve"> included</w:t>
      </w:r>
      <w:r w:rsidRPr="00A67589">
        <w:t xml:space="preserve"> public and private facilities from all states and territories (Table 1),</w:t>
      </w:r>
      <w:r>
        <w:t xml:space="preserve"> covering</w:t>
      </w:r>
      <w:r w:rsidRPr="00A67589">
        <w:t xml:space="preserve"> a range of hospital peer groups</w:t>
      </w:r>
      <w:r>
        <w:rPr>
          <w:vertAlign w:val="superscript"/>
        </w:rPr>
        <w:t>8</w:t>
      </w:r>
      <w:r w:rsidRPr="00901566">
        <w:t xml:space="preserve"> </w:t>
      </w:r>
      <w:r w:rsidRPr="00A67589">
        <w:t xml:space="preserve">and remoteness </w:t>
      </w:r>
      <w:r w:rsidRPr="00B062C7">
        <w:t>classifications</w:t>
      </w:r>
      <w:r>
        <w:rPr>
          <w:vertAlign w:val="superscript"/>
        </w:rPr>
        <w:t>9</w:t>
      </w:r>
      <w:r w:rsidRPr="00B062C7">
        <w:t xml:space="preserve"> (Tables A2.1, A2.2 and A2.3).</w:t>
      </w:r>
      <w:r w:rsidRPr="00A67589">
        <w:t xml:space="preserve"> </w:t>
      </w:r>
    </w:p>
    <w:p w14:paraId="391F5A12" w14:textId="77777777" w:rsidR="00572F25" w:rsidRPr="00A65FA7" w:rsidRDefault="00572F25" w:rsidP="00572F25">
      <w:pPr>
        <w:ind w:left="1440" w:hanging="1440"/>
        <w:rPr>
          <w:bCs/>
        </w:rPr>
      </w:pPr>
      <w:r w:rsidRPr="00A65FA7">
        <w:rPr>
          <w:b/>
          <w:bCs/>
        </w:rPr>
        <w:t>Figure 1:</w:t>
      </w:r>
      <w:r>
        <w:rPr>
          <w:b/>
          <w:bCs/>
        </w:rPr>
        <w:tab/>
      </w:r>
      <w:r w:rsidRPr="00A65FA7">
        <w:rPr>
          <w:rStyle w:val="CaptionsChar"/>
        </w:rPr>
        <w:t xml:space="preserve">Surgical </w:t>
      </w:r>
      <w:r>
        <w:rPr>
          <w:rStyle w:val="CaptionsChar"/>
        </w:rPr>
        <w:t>NAPS</w:t>
      </w:r>
      <w:r w:rsidRPr="00A65FA7">
        <w:rPr>
          <w:rStyle w:val="CaptionsChar"/>
        </w:rPr>
        <w:t xml:space="preserve"> participation by public and private facilities, 2016–2021</w:t>
      </w:r>
    </w:p>
    <w:p w14:paraId="02CF3730" w14:textId="77777777" w:rsidR="00572F25" w:rsidRPr="00221D67" w:rsidRDefault="00572F25" w:rsidP="00572F25">
      <w:r w:rsidRPr="00A65FA7">
        <w:rPr>
          <w:b/>
          <w:bCs/>
          <w:noProof/>
        </w:rPr>
        <w:drawing>
          <wp:inline distT="0" distB="0" distL="0" distR="0" wp14:anchorId="320C63DC" wp14:editId="44B7A83F">
            <wp:extent cx="5772150" cy="2952750"/>
            <wp:effectExtent l="0" t="0" r="6350" b="6350"/>
            <wp:docPr id="49" name="Chart 49" descr="This is a bar graph showing the number of public and private hospitals that contributed to the Surgical NAPS between 2015 and 2021.&#10;&#10;">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284ED53" w14:textId="77777777" w:rsidR="00572F25" w:rsidRDefault="00572F25" w:rsidP="00572F25">
      <w:r w:rsidRPr="00C1705A">
        <w:t>Over time, participation in the Surgical NAPS has increased for all states and territories</w:t>
      </w:r>
      <w:r>
        <w:t>; however,</w:t>
      </w:r>
      <w:r w:rsidRPr="00C1705A">
        <w:t xml:space="preserve"> </w:t>
      </w:r>
      <w:r>
        <w:t>participation</w:t>
      </w:r>
      <w:r w:rsidRPr="00C1705A">
        <w:t xml:space="preserve"> notabl</w:t>
      </w:r>
      <w:r>
        <w:t>y</w:t>
      </w:r>
      <w:r w:rsidRPr="00C1705A">
        <w:t xml:space="preserve"> decrease</w:t>
      </w:r>
      <w:r>
        <w:t>d</w:t>
      </w:r>
      <w:r w:rsidRPr="00C1705A">
        <w:t xml:space="preserve"> in </w:t>
      </w:r>
      <w:r>
        <w:t>2021</w:t>
      </w:r>
      <w:r w:rsidRPr="00C1705A">
        <w:t xml:space="preserve"> for the Northern Territory and Tasmania (Figure A2.1) The greatest increase in participation from 2016 to 2021 </w:t>
      </w:r>
      <w:r>
        <w:t>was</w:t>
      </w:r>
      <w:r w:rsidRPr="00C1705A">
        <w:t xml:space="preserve"> by facilities </w:t>
      </w:r>
      <w:r>
        <w:t>in</w:t>
      </w:r>
      <w:r w:rsidRPr="00C1705A">
        <w:t xml:space="preserve"> Victoria (15.7%)</w:t>
      </w:r>
      <w:r>
        <w:t xml:space="preserve"> (Figure A2.1) </w:t>
      </w:r>
      <w:r w:rsidRPr="00C1705A">
        <w:t xml:space="preserve">and </w:t>
      </w:r>
      <w:r>
        <w:t>by p</w:t>
      </w:r>
      <w:r w:rsidRPr="00C1705A">
        <w:t xml:space="preserve">ublic acute </w:t>
      </w:r>
      <w:r>
        <w:t>g</w:t>
      </w:r>
      <w:r w:rsidRPr="00C1705A">
        <w:t>roup B hospital</w:t>
      </w:r>
      <w:r>
        <w:t>s</w:t>
      </w:r>
      <w:r w:rsidRPr="00C1705A">
        <w:t xml:space="preserve">, </w:t>
      </w:r>
      <w:r>
        <w:t>e</w:t>
      </w:r>
      <w:r w:rsidRPr="00C1705A">
        <w:t xml:space="preserve">ye </w:t>
      </w:r>
      <w:r>
        <w:t>s</w:t>
      </w:r>
      <w:r w:rsidRPr="00C1705A">
        <w:t xml:space="preserve">urgery </w:t>
      </w:r>
      <w:r>
        <w:t>c</w:t>
      </w:r>
      <w:r w:rsidRPr="00C1705A">
        <w:t xml:space="preserve">entres and </w:t>
      </w:r>
      <w:r>
        <w:t>p</w:t>
      </w:r>
      <w:r w:rsidRPr="00C1705A">
        <w:t xml:space="preserve">rivate </w:t>
      </w:r>
      <w:r>
        <w:t>a</w:t>
      </w:r>
      <w:r w:rsidRPr="00C1705A">
        <w:t>c</w:t>
      </w:r>
      <w:r>
        <w:t>ute group B hospitals (Figure A2</w:t>
      </w:r>
      <w:r w:rsidRPr="00C1705A">
        <w:t xml:space="preserve">.2). </w:t>
      </w:r>
    </w:p>
    <w:p w14:paraId="20916E89" w14:textId="77777777" w:rsidR="00572F25" w:rsidRDefault="00572F25" w:rsidP="00572F25">
      <w:r w:rsidRPr="00C1705A">
        <w:t xml:space="preserve">We postulate that the noted decline in participation </w:t>
      </w:r>
      <w:r>
        <w:t>of</w:t>
      </w:r>
      <w:r w:rsidRPr="00C1705A">
        <w:t xml:space="preserve"> </w:t>
      </w:r>
      <w:r>
        <w:t>p</w:t>
      </w:r>
      <w:r w:rsidRPr="00C1705A">
        <w:t xml:space="preserve">rincipal </w:t>
      </w:r>
      <w:r>
        <w:t>r</w:t>
      </w:r>
      <w:r w:rsidRPr="00C1705A">
        <w:t xml:space="preserve">eferral </w:t>
      </w:r>
      <w:r>
        <w:t>h</w:t>
      </w:r>
      <w:r w:rsidRPr="00C1705A">
        <w:t xml:space="preserve">ospitals may have been associated with the </w:t>
      </w:r>
      <w:r w:rsidRPr="00C1705A">
        <w:rPr>
          <w:rFonts w:cstheme="minorBidi"/>
        </w:rPr>
        <w:t>concurrent workload of Surgical NAPS auditors</w:t>
      </w:r>
      <w:r w:rsidRPr="00C1705A">
        <w:t xml:space="preserve"> at these facilities due to the COVID-19 pandemic (Figure A2.2). Overwhelmingly, participants are from </w:t>
      </w:r>
      <w:r>
        <w:t>m</w:t>
      </w:r>
      <w:r w:rsidRPr="00C1705A">
        <w:t xml:space="preserve">ajor </w:t>
      </w:r>
      <w:r>
        <w:t>c</w:t>
      </w:r>
      <w:r w:rsidRPr="00C1705A">
        <w:t xml:space="preserve">ity and </w:t>
      </w:r>
      <w:r>
        <w:t>i</w:t>
      </w:r>
      <w:r w:rsidRPr="00C1705A">
        <w:t xml:space="preserve">nner </w:t>
      </w:r>
      <w:r>
        <w:t>r</w:t>
      </w:r>
      <w:r w:rsidRPr="00C1705A">
        <w:t>egional areas (Figure A2.3), which is expected because this is where facilities that offer surgical procedures are most likely to be located.</w:t>
      </w:r>
      <w:r>
        <w:t xml:space="preserve"> </w:t>
      </w:r>
    </w:p>
    <w:p w14:paraId="064A3F09" w14:textId="77777777" w:rsidR="00572F25" w:rsidRDefault="00572F25" w:rsidP="00572F25">
      <w:pPr>
        <w:spacing w:after="0"/>
      </w:pPr>
      <w:r>
        <w:br w:type="page"/>
      </w:r>
    </w:p>
    <w:p w14:paraId="6960F7C3" w14:textId="77777777" w:rsidR="00572F25" w:rsidRDefault="00572F25" w:rsidP="00572F25">
      <w:pPr>
        <w:pStyle w:val="Captions"/>
      </w:pPr>
      <w:r>
        <w:lastRenderedPageBreak/>
        <w:t>Table 1:</w:t>
      </w:r>
      <w:r>
        <w:tab/>
        <w:t>Number and percentage of contributing public and private facilities, by state and territory, Surgical NAPS 2021</w:t>
      </w:r>
    </w:p>
    <w:tbl>
      <w:tblPr>
        <w:tblStyle w:val="GridTable4-Accent21"/>
        <w:tblW w:w="5114"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E0" w:firstRow="1" w:lastRow="1" w:firstColumn="1" w:lastColumn="0" w:noHBand="0" w:noVBand="1"/>
      </w:tblPr>
      <w:tblGrid>
        <w:gridCol w:w="1102"/>
        <w:gridCol w:w="1514"/>
        <w:gridCol w:w="1514"/>
        <w:gridCol w:w="688"/>
        <w:gridCol w:w="1514"/>
        <w:gridCol w:w="1795"/>
        <w:gridCol w:w="1430"/>
      </w:tblGrid>
      <w:tr w:rsidR="00AD34AB" w:rsidRPr="00384007" w14:paraId="512323AD" w14:textId="77777777" w:rsidTr="00AD34AB">
        <w:trPr>
          <w:cnfStyle w:val="100000000000" w:firstRow="1" w:lastRow="0" w:firstColumn="0" w:lastColumn="0" w:oddVBand="0" w:evenVBand="0" w:oddHBand="0" w:evenHBand="0" w:firstRowFirstColumn="0" w:firstRowLastColumn="0" w:lastRowFirstColumn="0" w:lastRowLastColumn="0"/>
          <w:trHeight w:val="608"/>
          <w:tblHeader/>
          <w:jc w:val="center"/>
        </w:trPr>
        <w:tc>
          <w:tcPr>
            <w:cnfStyle w:val="001000000000" w:firstRow="0" w:lastRow="0" w:firstColumn="1" w:lastColumn="0" w:oddVBand="0" w:evenVBand="0" w:oddHBand="0" w:evenHBand="0" w:firstRowFirstColumn="0" w:firstRowLastColumn="0" w:lastRowFirstColumn="0" w:lastRowLastColumn="0"/>
            <w:tcW w:w="576" w:type="pct"/>
            <w:shd w:val="clear" w:color="auto" w:fill="3F4A75" w:themeFill="text2"/>
            <w:noWrap/>
            <w:vAlign w:val="center"/>
            <w:hideMark/>
          </w:tcPr>
          <w:p w14:paraId="480DD638" w14:textId="77777777" w:rsidR="00AD34AB" w:rsidRPr="003F7B79" w:rsidRDefault="00AD34AB" w:rsidP="00140544">
            <w:pPr>
              <w:keepLines/>
              <w:spacing w:after="0"/>
              <w:jc w:val="left"/>
              <w:rPr>
                <w:rFonts w:cs="Arial"/>
                <w:b w:val="0"/>
                <w:bCs w:val="0"/>
                <w:color w:val="FFFFFF" w:themeColor="background1"/>
                <w:sz w:val="18"/>
                <w:szCs w:val="18"/>
              </w:rPr>
            </w:pPr>
            <w:r>
              <w:rPr>
                <w:rFonts w:cs="Arial"/>
                <w:b w:val="0"/>
                <w:bCs w:val="0"/>
                <w:color w:val="FFFFFF" w:themeColor="background1"/>
                <w:sz w:val="18"/>
                <w:szCs w:val="18"/>
              </w:rPr>
              <w:t>State/ territory</w:t>
            </w:r>
          </w:p>
        </w:tc>
        <w:tc>
          <w:tcPr>
            <w:tcW w:w="792" w:type="pct"/>
            <w:shd w:val="clear" w:color="auto" w:fill="3F4A75" w:themeFill="text2"/>
            <w:vAlign w:val="center"/>
            <w:hideMark/>
          </w:tcPr>
          <w:p w14:paraId="55E00F23" w14:textId="77777777" w:rsidR="00AD34AB" w:rsidRPr="003F7B79" w:rsidRDefault="00AD34AB" w:rsidP="003F7B79">
            <w:pPr>
              <w:keepLines/>
              <w:spacing w:after="0"/>
              <w:cnfStyle w:val="100000000000" w:firstRow="1" w:lastRow="0" w:firstColumn="0" w:lastColumn="0" w:oddVBand="0" w:evenVBand="0" w:oddHBand="0" w:evenHBand="0" w:firstRowFirstColumn="0" w:firstRowLastColumn="0" w:lastRowFirstColumn="0" w:lastRowLastColumn="0"/>
              <w:rPr>
                <w:rFonts w:cs="Arial"/>
                <w:b w:val="0"/>
                <w:bCs w:val="0"/>
                <w:color w:val="FFFFFF" w:themeColor="background1"/>
                <w:sz w:val="18"/>
                <w:szCs w:val="18"/>
              </w:rPr>
            </w:pPr>
            <w:r w:rsidRPr="003F7B79">
              <w:rPr>
                <w:rFonts w:cs="Arial"/>
                <w:b w:val="0"/>
                <w:bCs w:val="0"/>
                <w:color w:val="FFFFFF" w:themeColor="background1"/>
                <w:sz w:val="18"/>
                <w:szCs w:val="18"/>
              </w:rPr>
              <w:t xml:space="preserve"> Contributing public</w:t>
            </w:r>
            <w:r>
              <w:rPr>
                <w:rFonts w:cs="Arial"/>
                <w:b w:val="0"/>
                <w:bCs w:val="0"/>
                <w:color w:val="FFFFFF" w:themeColor="background1"/>
                <w:sz w:val="18"/>
                <w:szCs w:val="18"/>
              </w:rPr>
              <w:t xml:space="preserve"> </w:t>
            </w:r>
            <w:r w:rsidRPr="003F7B79">
              <w:rPr>
                <w:rFonts w:cs="Arial"/>
                <w:b w:val="0"/>
                <w:bCs w:val="0"/>
                <w:color w:val="FFFFFF" w:themeColor="background1"/>
                <w:sz w:val="18"/>
                <w:szCs w:val="18"/>
              </w:rPr>
              <w:t>facilities</w:t>
            </w:r>
          </w:p>
        </w:tc>
        <w:tc>
          <w:tcPr>
            <w:tcW w:w="792" w:type="pct"/>
            <w:shd w:val="clear" w:color="auto" w:fill="3F4A75" w:themeFill="text2"/>
            <w:vAlign w:val="center"/>
            <w:hideMark/>
          </w:tcPr>
          <w:p w14:paraId="0FB1A808" w14:textId="77777777" w:rsidR="00AD34AB" w:rsidRPr="003F7B79" w:rsidRDefault="00AD34AB" w:rsidP="00140544">
            <w:pPr>
              <w:keepLines/>
              <w:spacing w:after="0"/>
              <w:cnfStyle w:val="100000000000" w:firstRow="1" w:lastRow="0" w:firstColumn="0" w:lastColumn="0" w:oddVBand="0" w:evenVBand="0" w:oddHBand="0" w:evenHBand="0" w:firstRowFirstColumn="0" w:firstRowLastColumn="0" w:lastRowFirstColumn="0" w:lastRowLastColumn="0"/>
              <w:rPr>
                <w:rFonts w:cs="Arial"/>
                <w:b w:val="0"/>
                <w:bCs w:val="0"/>
                <w:color w:val="FFFFFF" w:themeColor="background1"/>
                <w:sz w:val="18"/>
                <w:szCs w:val="18"/>
              </w:rPr>
            </w:pPr>
            <w:r w:rsidRPr="003F7B79">
              <w:rPr>
                <w:rFonts w:cs="Arial"/>
                <w:b w:val="0"/>
                <w:bCs w:val="0"/>
                <w:color w:val="FFFFFF" w:themeColor="background1"/>
                <w:sz w:val="18"/>
                <w:szCs w:val="18"/>
              </w:rPr>
              <w:t>Contributing private facilities</w:t>
            </w:r>
          </w:p>
        </w:tc>
        <w:tc>
          <w:tcPr>
            <w:tcW w:w="360" w:type="pct"/>
            <w:shd w:val="clear" w:color="auto" w:fill="3F4A75" w:themeFill="text2"/>
            <w:vAlign w:val="center"/>
            <w:hideMark/>
          </w:tcPr>
          <w:p w14:paraId="2D87E71E" w14:textId="77777777" w:rsidR="00AD34AB" w:rsidRPr="003F7B79" w:rsidRDefault="00AD34AB" w:rsidP="00140544">
            <w:pPr>
              <w:keepLines/>
              <w:spacing w:after="0"/>
              <w:cnfStyle w:val="100000000000" w:firstRow="1" w:lastRow="0" w:firstColumn="0" w:lastColumn="0" w:oddVBand="0" w:evenVBand="0" w:oddHBand="0" w:evenHBand="0" w:firstRowFirstColumn="0" w:firstRowLastColumn="0" w:lastRowFirstColumn="0" w:lastRowLastColumn="0"/>
              <w:rPr>
                <w:rFonts w:cs="Arial"/>
                <w:b w:val="0"/>
                <w:bCs w:val="0"/>
                <w:color w:val="FFFFFF" w:themeColor="background1"/>
                <w:sz w:val="18"/>
                <w:szCs w:val="18"/>
              </w:rPr>
            </w:pPr>
            <w:r w:rsidRPr="003F7B79">
              <w:rPr>
                <w:rFonts w:cs="Arial"/>
                <w:b w:val="0"/>
                <w:bCs w:val="0"/>
                <w:color w:val="FFFFFF" w:themeColor="background1"/>
                <w:sz w:val="18"/>
                <w:szCs w:val="18"/>
              </w:rPr>
              <w:t>Total</w:t>
            </w:r>
          </w:p>
          <w:p w14:paraId="51BA23D1" w14:textId="77777777" w:rsidR="00AD34AB" w:rsidRPr="003F7B79" w:rsidRDefault="00AD34AB" w:rsidP="00140544">
            <w:pPr>
              <w:keepLines/>
              <w:spacing w:after="0"/>
              <w:cnfStyle w:val="100000000000" w:firstRow="1" w:lastRow="0" w:firstColumn="0" w:lastColumn="0" w:oddVBand="0" w:evenVBand="0" w:oddHBand="0" w:evenHBand="0" w:firstRowFirstColumn="0" w:firstRowLastColumn="0" w:lastRowFirstColumn="0" w:lastRowLastColumn="0"/>
              <w:rPr>
                <w:rFonts w:cs="Arial"/>
                <w:b w:val="0"/>
                <w:bCs w:val="0"/>
                <w:color w:val="FFFFFF" w:themeColor="background1"/>
                <w:sz w:val="18"/>
                <w:szCs w:val="18"/>
              </w:rPr>
            </w:pPr>
          </w:p>
        </w:tc>
        <w:tc>
          <w:tcPr>
            <w:tcW w:w="792" w:type="pct"/>
            <w:shd w:val="clear" w:color="auto" w:fill="3F4A75" w:themeFill="text2"/>
            <w:vAlign w:val="center"/>
            <w:hideMark/>
          </w:tcPr>
          <w:p w14:paraId="6CFCF26C" w14:textId="77777777" w:rsidR="00AD34AB" w:rsidRPr="003F7B79" w:rsidRDefault="00AD34AB" w:rsidP="00140544">
            <w:pPr>
              <w:keepLines/>
              <w:spacing w:after="0"/>
              <w:cnfStyle w:val="100000000000" w:firstRow="1" w:lastRow="0" w:firstColumn="0" w:lastColumn="0" w:oddVBand="0" w:evenVBand="0" w:oddHBand="0" w:evenHBand="0" w:firstRowFirstColumn="0" w:firstRowLastColumn="0" w:lastRowFirstColumn="0" w:lastRowLastColumn="0"/>
              <w:rPr>
                <w:rFonts w:cs="Arial"/>
                <w:b w:val="0"/>
                <w:bCs w:val="0"/>
                <w:color w:val="FFFFFF" w:themeColor="background1"/>
                <w:sz w:val="18"/>
                <w:szCs w:val="18"/>
              </w:rPr>
            </w:pPr>
            <w:r w:rsidRPr="003F7B79">
              <w:rPr>
                <w:rFonts w:cs="Arial"/>
                <w:b w:val="0"/>
                <w:bCs w:val="0"/>
                <w:color w:val="FFFFFF" w:themeColor="background1"/>
                <w:sz w:val="18"/>
                <w:szCs w:val="18"/>
              </w:rPr>
              <w:t>Percentage of contributing facilities</w:t>
            </w:r>
          </w:p>
        </w:tc>
        <w:tc>
          <w:tcPr>
            <w:tcW w:w="939" w:type="pct"/>
            <w:shd w:val="clear" w:color="auto" w:fill="3F4A75" w:themeFill="text2"/>
            <w:vAlign w:val="center"/>
          </w:tcPr>
          <w:p w14:paraId="3EED0FD9" w14:textId="77777777" w:rsidR="00AD34AB" w:rsidRPr="003F7B79" w:rsidRDefault="00AD34AB" w:rsidP="00140544">
            <w:pPr>
              <w:keepLines/>
              <w:spacing w:after="0"/>
              <w:cnfStyle w:val="100000000000" w:firstRow="1" w:lastRow="0" w:firstColumn="0" w:lastColumn="0" w:oddVBand="0" w:evenVBand="0" w:oddHBand="0" w:evenHBand="0" w:firstRowFirstColumn="0" w:firstRowLastColumn="0" w:lastRowFirstColumn="0" w:lastRowLastColumn="0"/>
              <w:rPr>
                <w:rFonts w:cs="Arial"/>
                <w:b w:val="0"/>
                <w:bCs w:val="0"/>
                <w:color w:val="FFFFFF" w:themeColor="background1"/>
                <w:sz w:val="18"/>
                <w:szCs w:val="18"/>
              </w:rPr>
            </w:pPr>
            <w:r w:rsidRPr="003F7B79">
              <w:rPr>
                <w:rFonts w:cs="Arial"/>
                <w:b w:val="0"/>
                <w:bCs w:val="0"/>
                <w:color w:val="FFFFFF" w:themeColor="background1"/>
                <w:sz w:val="18"/>
                <w:szCs w:val="18"/>
              </w:rPr>
              <w:t>Number of eligible peer group classifications nationally</w:t>
            </w:r>
          </w:p>
        </w:tc>
        <w:tc>
          <w:tcPr>
            <w:tcW w:w="748" w:type="pct"/>
            <w:shd w:val="clear" w:color="auto" w:fill="3F4A75" w:themeFill="text2"/>
            <w:vAlign w:val="center"/>
          </w:tcPr>
          <w:p w14:paraId="2785BFFD" w14:textId="77777777" w:rsidR="00AD34AB" w:rsidRPr="003F7B79" w:rsidRDefault="00AD34AB" w:rsidP="00140544">
            <w:pPr>
              <w:keepLines/>
              <w:spacing w:after="0"/>
              <w:cnfStyle w:val="100000000000" w:firstRow="1" w:lastRow="0" w:firstColumn="0" w:lastColumn="0" w:oddVBand="0" w:evenVBand="0" w:oddHBand="0" w:evenHBand="0" w:firstRowFirstColumn="0" w:firstRowLastColumn="0" w:lastRowFirstColumn="0" w:lastRowLastColumn="0"/>
              <w:rPr>
                <w:rFonts w:cs="Arial"/>
                <w:b w:val="0"/>
                <w:bCs w:val="0"/>
                <w:color w:val="FFFFFF" w:themeColor="background1"/>
                <w:sz w:val="18"/>
                <w:szCs w:val="18"/>
              </w:rPr>
            </w:pPr>
            <w:r w:rsidRPr="003F7B79">
              <w:rPr>
                <w:rFonts w:cs="Arial"/>
                <w:b w:val="0"/>
                <w:bCs w:val="0"/>
                <w:color w:val="FFFFFF" w:themeColor="background1"/>
                <w:sz w:val="18"/>
                <w:szCs w:val="18"/>
              </w:rPr>
              <w:t xml:space="preserve">Percentage of eligible peer group classifications  </w:t>
            </w:r>
          </w:p>
        </w:tc>
      </w:tr>
      <w:tr w:rsidR="00AD34AB" w:rsidRPr="00384007" w14:paraId="76582CD5" w14:textId="77777777" w:rsidTr="00AD34AB">
        <w:trPr>
          <w:cnfStyle w:val="100000000000" w:firstRow="1" w:lastRow="0" w:firstColumn="0" w:lastColumn="0" w:oddVBand="0" w:evenVBand="0" w:oddHBand="0" w:evenHBand="0" w:firstRowFirstColumn="0" w:firstRowLastColumn="0" w:lastRowFirstColumn="0" w:lastRowLastColumn="0"/>
          <w:trHeight w:val="227"/>
          <w:tblHeader/>
          <w:jc w:val="center"/>
        </w:trPr>
        <w:tc>
          <w:tcPr>
            <w:cnfStyle w:val="001000000000" w:firstRow="0" w:lastRow="0" w:firstColumn="1" w:lastColumn="0" w:oddVBand="0" w:evenVBand="0" w:oddHBand="0" w:evenHBand="0" w:firstRowFirstColumn="0" w:firstRowLastColumn="0" w:lastRowFirstColumn="0" w:lastRowLastColumn="0"/>
            <w:tcW w:w="576" w:type="pct"/>
            <w:shd w:val="clear" w:color="auto" w:fill="3F4A75" w:themeFill="text2"/>
            <w:noWrap/>
            <w:vAlign w:val="center"/>
          </w:tcPr>
          <w:p w14:paraId="4C1C8AB9" w14:textId="77777777" w:rsidR="00AD34AB" w:rsidRPr="00221D67" w:rsidRDefault="00AD34AB" w:rsidP="00140544">
            <w:pPr>
              <w:keepLines/>
              <w:spacing w:after="0"/>
              <w:rPr>
                <w:rFonts w:cs="Arial"/>
                <w:b w:val="0"/>
                <w:bCs w:val="0"/>
                <w:sz w:val="18"/>
                <w:szCs w:val="18"/>
              </w:rPr>
            </w:pPr>
          </w:p>
        </w:tc>
        <w:tc>
          <w:tcPr>
            <w:tcW w:w="792" w:type="pct"/>
            <w:shd w:val="clear" w:color="auto" w:fill="3F4A75" w:themeFill="text2"/>
            <w:vAlign w:val="center"/>
          </w:tcPr>
          <w:p w14:paraId="7E02C41A" w14:textId="77777777" w:rsidR="00AD34AB" w:rsidRPr="00221D67" w:rsidRDefault="00AD34AB" w:rsidP="00140544">
            <w:pPr>
              <w:keepLines/>
              <w:spacing w:after="0"/>
              <w:cnfStyle w:val="100000000000" w:firstRow="1" w:lastRow="0" w:firstColumn="0" w:lastColumn="0" w:oddVBand="0" w:evenVBand="0" w:oddHBand="0" w:evenHBand="0" w:firstRowFirstColumn="0" w:firstRowLastColumn="0" w:lastRowFirstColumn="0" w:lastRowLastColumn="0"/>
              <w:rPr>
                <w:rFonts w:cs="Arial"/>
                <w:color w:val="FFFFFF" w:themeColor="background1"/>
                <w:sz w:val="18"/>
                <w:szCs w:val="18"/>
              </w:rPr>
            </w:pPr>
            <w:r w:rsidRPr="00221D67">
              <w:rPr>
                <w:rFonts w:cs="Arial"/>
                <w:color w:val="FFFFFF" w:themeColor="background1"/>
                <w:sz w:val="18"/>
                <w:szCs w:val="18"/>
              </w:rPr>
              <w:t>(n)</w:t>
            </w:r>
          </w:p>
        </w:tc>
        <w:tc>
          <w:tcPr>
            <w:tcW w:w="792" w:type="pct"/>
            <w:shd w:val="clear" w:color="auto" w:fill="3F4A75" w:themeFill="text2"/>
            <w:vAlign w:val="center"/>
          </w:tcPr>
          <w:p w14:paraId="4B2A2509" w14:textId="77777777" w:rsidR="00AD34AB" w:rsidRPr="00221D67" w:rsidRDefault="00AD34AB" w:rsidP="00140544">
            <w:pPr>
              <w:keepLines/>
              <w:spacing w:after="0"/>
              <w:cnfStyle w:val="100000000000" w:firstRow="1" w:lastRow="0" w:firstColumn="0" w:lastColumn="0" w:oddVBand="0" w:evenVBand="0" w:oddHBand="0" w:evenHBand="0" w:firstRowFirstColumn="0" w:firstRowLastColumn="0" w:lastRowFirstColumn="0" w:lastRowLastColumn="0"/>
              <w:rPr>
                <w:rFonts w:cs="Arial"/>
                <w:color w:val="FFFFFF" w:themeColor="background1"/>
                <w:sz w:val="18"/>
                <w:szCs w:val="18"/>
              </w:rPr>
            </w:pPr>
            <w:r w:rsidRPr="00221D67">
              <w:rPr>
                <w:rFonts w:cs="Arial"/>
                <w:color w:val="FFFFFF" w:themeColor="background1"/>
                <w:sz w:val="18"/>
                <w:szCs w:val="18"/>
              </w:rPr>
              <w:t>(n)</w:t>
            </w:r>
          </w:p>
        </w:tc>
        <w:tc>
          <w:tcPr>
            <w:tcW w:w="360" w:type="pct"/>
            <w:shd w:val="clear" w:color="auto" w:fill="3F4A75" w:themeFill="text2"/>
            <w:vAlign w:val="center"/>
          </w:tcPr>
          <w:p w14:paraId="2ADBB365" w14:textId="77777777" w:rsidR="00AD34AB" w:rsidRPr="00221D67" w:rsidRDefault="00AD34AB" w:rsidP="00140544">
            <w:pPr>
              <w:keepLines/>
              <w:spacing w:after="0"/>
              <w:cnfStyle w:val="100000000000" w:firstRow="1" w:lastRow="0" w:firstColumn="0" w:lastColumn="0" w:oddVBand="0" w:evenVBand="0" w:oddHBand="0" w:evenHBand="0" w:firstRowFirstColumn="0" w:firstRowLastColumn="0" w:lastRowFirstColumn="0" w:lastRowLastColumn="0"/>
              <w:rPr>
                <w:rFonts w:cs="Arial"/>
                <w:color w:val="FFFFFF" w:themeColor="background1"/>
                <w:sz w:val="18"/>
                <w:szCs w:val="18"/>
              </w:rPr>
            </w:pPr>
            <w:r w:rsidRPr="00221D67">
              <w:rPr>
                <w:rFonts w:cs="Arial"/>
                <w:color w:val="FFFFFF" w:themeColor="background1"/>
                <w:sz w:val="18"/>
                <w:szCs w:val="18"/>
              </w:rPr>
              <w:t>(n)</w:t>
            </w:r>
          </w:p>
        </w:tc>
        <w:tc>
          <w:tcPr>
            <w:tcW w:w="792" w:type="pct"/>
            <w:shd w:val="clear" w:color="auto" w:fill="3F4A75" w:themeFill="text2"/>
            <w:vAlign w:val="center"/>
          </w:tcPr>
          <w:p w14:paraId="497DFD76" w14:textId="77777777" w:rsidR="00AD34AB" w:rsidRPr="00221D67" w:rsidRDefault="00AD34AB" w:rsidP="00140544">
            <w:pPr>
              <w:keepLines/>
              <w:spacing w:after="0"/>
              <w:cnfStyle w:val="100000000000" w:firstRow="1" w:lastRow="0" w:firstColumn="0" w:lastColumn="0" w:oddVBand="0" w:evenVBand="0" w:oddHBand="0" w:evenHBand="0" w:firstRowFirstColumn="0" w:firstRowLastColumn="0" w:lastRowFirstColumn="0" w:lastRowLastColumn="0"/>
              <w:rPr>
                <w:rFonts w:cs="Arial"/>
                <w:color w:val="FFFFFF" w:themeColor="background1"/>
                <w:sz w:val="18"/>
                <w:szCs w:val="18"/>
              </w:rPr>
            </w:pPr>
            <w:r w:rsidRPr="00221D67">
              <w:rPr>
                <w:rFonts w:cs="Arial"/>
                <w:color w:val="FFFFFF" w:themeColor="background1"/>
                <w:sz w:val="18"/>
                <w:szCs w:val="18"/>
              </w:rPr>
              <w:t>(%)</w:t>
            </w:r>
          </w:p>
        </w:tc>
        <w:tc>
          <w:tcPr>
            <w:tcW w:w="939" w:type="pct"/>
            <w:shd w:val="clear" w:color="auto" w:fill="3F4A75" w:themeFill="text2"/>
            <w:vAlign w:val="center"/>
          </w:tcPr>
          <w:p w14:paraId="0171748F" w14:textId="77777777" w:rsidR="00AD34AB" w:rsidRPr="00221D67" w:rsidRDefault="00AD34AB" w:rsidP="00140544">
            <w:pPr>
              <w:keepLines/>
              <w:spacing w:after="0"/>
              <w:cnfStyle w:val="100000000000" w:firstRow="1" w:lastRow="0" w:firstColumn="0" w:lastColumn="0" w:oddVBand="0" w:evenVBand="0" w:oddHBand="0" w:evenHBand="0" w:firstRowFirstColumn="0" w:firstRowLastColumn="0" w:lastRowFirstColumn="0" w:lastRowLastColumn="0"/>
              <w:rPr>
                <w:rFonts w:cs="Arial"/>
                <w:color w:val="FFFFFF" w:themeColor="background1"/>
                <w:sz w:val="18"/>
                <w:szCs w:val="18"/>
              </w:rPr>
            </w:pPr>
            <w:r w:rsidRPr="00221D67">
              <w:rPr>
                <w:rFonts w:cs="Arial"/>
                <w:color w:val="FFFFFF" w:themeColor="background1"/>
                <w:sz w:val="18"/>
                <w:szCs w:val="18"/>
              </w:rPr>
              <w:t>(n)</w:t>
            </w:r>
          </w:p>
        </w:tc>
        <w:tc>
          <w:tcPr>
            <w:tcW w:w="748" w:type="pct"/>
            <w:shd w:val="clear" w:color="auto" w:fill="3F4A75" w:themeFill="text2"/>
            <w:vAlign w:val="center"/>
          </w:tcPr>
          <w:p w14:paraId="78913982" w14:textId="77777777" w:rsidR="00AD34AB" w:rsidRPr="00221D67" w:rsidRDefault="00AD34AB" w:rsidP="00140544">
            <w:pPr>
              <w:keepLines/>
              <w:spacing w:after="0"/>
              <w:cnfStyle w:val="100000000000" w:firstRow="1" w:lastRow="0" w:firstColumn="0" w:lastColumn="0" w:oddVBand="0" w:evenVBand="0" w:oddHBand="0" w:evenHBand="0" w:firstRowFirstColumn="0" w:firstRowLastColumn="0" w:lastRowFirstColumn="0" w:lastRowLastColumn="0"/>
              <w:rPr>
                <w:rFonts w:cs="Arial"/>
                <w:color w:val="FFFFFF" w:themeColor="background1"/>
                <w:sz w:val="18"/>
                <w:szCs w:val="18"/>
              </w:rPr>
            </w:pPr>
            <w:r w:rsidRPr="00221D67">
              <w:rPr>
                <w:rFonts w:cs="Arial"/>
                <w:color w:val="FFFFFF" w:themeColor="background1"/>
                <w:sz w:val="18"/>
                <w:szCs w:val="18"/>
              </w:rPr>
              <w:t>(%)</w:t>
            </w:r>
          </w:p>
        </w:tc>
      </w:tr>
      <w:tr w:rsidR="00572F25" w:rsidRPr="00384007" w14:paraId="25531A46" w14:textId="77777777" w:rsidTr="00AD34A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76" w:type="pct"/>
            <w:shd w:val="clear" w:color="auto" w:fill="auto"/>
            <w:noWrap/>
            <w:vAlign w:val="center"/>
            <w:hideMark/>
          </w:tcPr>
          <w:p w14:paraId="2FBCCF75" w14:textId="77777777" w:rsidR="00572F25" w:rsidRPr="00221D67" w:rsidRDefault="00572F25" w:rsidP="00140544">
            <w:pPr>
              <w:keepLines/>
              <w:spacing w:after="0"/>
              <w:jc w:val="left"/>
              <w:rPr>
                <w:rFonts w:cs="Arial"/>
                <w:b w:val="0"/>
                <w:bCs w:val="0"/>
                <w:color w:val="000000"/>
                <w:sz w:val="18"/>
                <w:szCs w:val="18"/>
              </w:rPr>
            </w:pPr>
            <w:r w:rsidRPr="00221D67">
              <w:rPr>
                <w:rFonts w:cs="Arial"/>
                <w:b w:val="0"/>
                <w:bCs w:val="0"/>
                <w:sz w:val="18"/>
                <w:szCs w:val="18"/>
              </w:rPr>
              <w:t>ACT</w:t>
            </w:r>
          </w:p>
        </w:tc>
        <w:tc>
          <w:tcPr>
            <w:tcW w:w="792" w:type="pct"/>
            <w:shd w:val="clear" w:color="auto" w:fill="auto"/>
            <w:hideMark/>
          </w:tcPr>
          <w:p w14:paraId="796F7A84" w14:textId="77777777" w:rsidR="00572F25" w:rsidRPr="00221D67" w:rsidRDefault="00572F25" w:rsidP="00140544">
            <w:pPr>
              <w:keepLines/>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w:t>
            </w:r>
          </w:p>
        </w:tc>
        <w:tc>
          <w:tcPr>
            <w:tcW w:w="792" w:type="pct"/>
            <w:shd w:val="clear" w:color="auto" w:fill="auto"/>
            <w:hideMark/>
          </w:tcPr>
          <w:p w14:paraId="44BC10F0" w14:textId="77777777" w:rsidR="00572F25" w:rsidRPr="00221D67" w:rsidRDefault="00572F25" w:rsidP="00140544">
            <w:pPr>
              <w:keepLines/>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221D67">
              <w:rPr>
                <w:rFonts w:cs="Arial"/>
                <w:sz w:val="18"/>
                <w:szCs w:val="18"/>
              </w:rPr>
              <w:t>2</w:t>
            </w:r>
          </w:p>
        </w:tc>
        <w:tc>
          <w:tcPr>
            <w:tcW w:w="360" w:type="pct"/>
            <w:shd w:val="clear" w:color="auto" w:fill="auto"/>
            <w:hideMark/>
          </w:tcPr>
          <w:p w14:paraId="7DE2B21B" w14:textId="77777777" w:rsidR="00572F25" w:rsidRPr="00221D67" w:rsidRDefault="00572F25" w:rsidP="00140544">
            <w:pPr>
              <w:keepLines/>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221D67">
              <w:rPr>
                <w:rFonts w:cs="Arial"/>
                <w:sz w:val="18"/>
                <w:szCs w:val="18"/>
              </w:rPr>
              <w:t>2</w:t>
            </w:r>
          </w:p>
        </w:tc>
        <w:tc>
          <w:tcPr>
            <w:tcW w:w="792" w:type="pct"/>
            <w:shd w:val="clear" w:color="auto" w:fill="auto"/>
            <w:hideMark/>
          </w:tcPr>
          <w:p w14:paraId="7CD7BDBA" w14:textId="77777777" w:rsidR="00572F25" w:rsidRPr="00221D67" w:rsidRDefault="00572F25" w:rsidP="00140544">
            <w:pPr>
              <w:keepLines/>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221D67">
              <w:rPr>
                <w:rFonts w:cs="Arial"/>
                <w:sz w:val="18"/>
                <w:szCs w:val="18"/>
              </w:rPr>
              <w:t>1.1</w:t>
            </w:r>
          </w:p>
        </w:tc>
        <w:tc>
          <w:tcPr>
            <w:tcW w:w="939" w:type="pct"/>
            <w:shd w:val="clear" w:color="auto" w:fill="auto"/>
            <w:vAlign w:val="center"/>
          </w:tcPr>
          <w:p w14:paraId="7B967596" w14:textId="77777777" w:rsidR="00572F25" w:rsidRPr="00221D67" w:rsidRDefault="00572F25" w:rsidP="00140544">
            <w:pPr>
              <w:keepLines/>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221D67">
              <w:rPr>
                <w:rFonts w:cs="Arial"/>
                <w:sz w:val="18"/>
                <w:szCs w:val="18"/>
              </w:rPr>
              <w:t>10</w:t>
            </w:r>
          </w:p>
        </w:tc>
        <w:tc>
          <w:tcPr>
            <w:tcW w:w="748" w:type="pct"/>
            <w:shd w:val="clear" w:color="auto" w:fill="auto"/>
          </w:tcPr>
          <w:p w14:paraId="562A06C8" w14:textId="77777777" w:rsidR="00572F25" w:rsidRPr="00221D67" w:rsidRDefault="00572F25" w:rsidP="00140544">
            <w:pPr>
              <w:keepLines/>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221D67">
              <w:rPr>
                <w:rFonts w:cs="Arial"/>
                <w:sz w:val="18"/>
                <w:szCs w:val="18"/>
              </w:rPr>
              <w:t>20.0</w:t>
            </w:r>
          </w:p>
        </w:tc>
      </w:tr>
      <w:tr w:rsidR="0035770D" w:rsidRPr="00384007" w14:paraId="32468D99" w14:textId="77777777" w:rsidTr="00AD34AB">
        <w:trPr>
          <w:trHeight w:val="284"/>
          <w:jc w:val="center"/>
        </w:trPr>
        <w:tc>
          <w:tcPr>
            <w:cnfStyle w:val="001000000000" w:firstRow="0" w:lastRow="0" w:firstColumn="1" w:lastColumn="0" w:oddVBand="0" w:evenVBand="0" w:oddHBand="0" w:evenHBand="0" w:firstRowFirstColumn="0" w:firstRowLastColumn="0" w:lastRowFirstColumn="0" w:lastRowLastColumn="0"/>
            <w:tcW w:w="576" w:type="pct"/>
            <w:shd w:val="clear" w:color="auto" w:fill="D4D8E8" w:themeFill="accent1" w:themeFillTint="33"/>
            <w:noWrap/>
            <w:vAlign w:val="center"/>
            <w:hideMark/>
          </w:tcPr>
          <w:p w14:paraId="0023AD53" w14:textId="77777777" w:rsidR="00572F25" w:rsidRPr="00221D67" w:rsidRDefault="00572F25" w:rsidP="00140544">
            <w:pPr>
              <w:keepLines/>
              <w:spacing w:after="0"/>
              <w:jc w:val="left"/>
              <w:rPr>
                <w:rFonts w:cs="Arial"/>
                <w:b w:val="0"/>
                <w:bCs w:val="0"/>
                <w:color w:val="000000"/>
                <w:sz w:val="18"/>
                <w:szCs w:val="18"/>
              </w:rPr>
            </w:pPr>
            <w:r w:rsidRPr="00221D67">
              <w:rPr>
                <w:rFonts w:cs="Arial"/>
                <w:b w:val="0"/>
                <w:bCs w:val="0"/>
                <w:color w:val="000000"/>
                <w:sz w:val="18"/>
                <w:szCs w:val="18"/>
              </w:rPr>
              <w:t>NSW</w:t>
            </w:r>
          </w:p>
        </w:tc>
        <w:tc>
          <w:tcPr>
            <w:tcW w:w="792" w:type="pct"/>
            <w:shd w:val="clear" w:color="auto" w:fill="D4D8E8" w:themeFill="accent1" w:themeFillTint="33"/>
            <w:hideMark/>
          </w:tcPr>
          <w:p w14:paraId="73BCFDF9" w14:textId="77777777" w:rsidR="00572F25" w:rsidRPr="00221D67" w:rsidRDefault="00572F25" w:rsidP="00140544">
            <w:pPr>
              <w:keepLines/>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29</w:t>
            </w:r>
          </w:p>
        </w:tc>
        <w:tc>
          <w:tcPr>
            <w:tcW w:w="792" w:type="pct"/>
            <w:shd w:val="clear" w:color="auto" w:fill="D4D8E8" w:themeFill="accent1" w:themeFillTint="33"/>
            <w:hideMark/>
          </w:tcPr>
          <w:p w14:paraId="34683BD6" w14:textId="77777777" w:rsidR="00572F25" w:rsidRPr="00221D67" w:rsidRDefault="00572F25" w:rsidP="00140544">
            <w:pPr>
              <w:keepLines/>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25</w:t>
            </w:r>
          </w:p>
        </w:tc>
        <w:tc>
          <w:tcPr>
            <w:tcW w:w="360" w:type="pct"/>
            <w:shd w:val="clear" w:color="auto" w:fill="D4D8E8" w:themeFill="accent1" w:themeFillTint="33"/>
            <w:hideMark/>
          </w:tcPr>
          <w:p w14:paraId="1DCC44B4" w14:textId="77777777" w:rsidR="00572F25" w:rsidRPr="00221D67" w:rsidRDefault="00572F25" w:rsidP="00140544">
            <w:pPr>
              <w:keepLines/>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221D67">
              <w:rPr>
                <w:rFonts w:cs="Arial"/>
                <w:sz w:val="18"/>
                <w:szCs w:val="18"/>
              </w:rPr>
              <w:t>54</w:t>
            </w:r>
          </w:p>
        </w:tc>
        <w:tc>
          <w:tcPr>
            <w:tcW w:w="792" w:type="pct"/>
            <w:shd w:val="clear" w:color="auto" w:fill="D4D8E8" w:themeFill="accent1" w:themeFillTint="33"/>
            <w:hideMark/>
          </w:tcPr>
          <w:p w14:paraId="40747D90" w14:textId="77777777" w:rsidR="00572F25" w:rsidRPr="00221D67" w:rsidRDefault="00572F25" w:rsidP="00140544">
            <w:pPr>
              <w:keepLines/>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221D67">
              <w:rPr>
                <w:rFonts w:cs="Arial"/>
                <w:sz w:val="18"/>
                <w:szCs w:val="18"/>
              </w:rPr>
              <w:t>29.8</w:t>
            </w:r>
          </w:p>
        </w:tc>
        <w:tc>
          <w:tcPr>
            <w:tcW w:w="939" w:type="pct"/>
            <w:shd w:val="clear" w:color="auto" w:fill="D4D8E8" w:themeFill="accent1" w:themeFillTint="33"/>
            <w:vAlign w:val="center"/>
          </w:tcPr>
          <w:p w14:paraId="5001E4CA" w14:textId="77777777" w:rsidR="00572F25" w:rsidRPr="00221D67" w:rsidRDefault="00572F25" w:rsidP="00140544">
            <w:pPr>
              <w:keepLines/>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221D67">
              <w:rPr>
                <w:rFonts w:cs="Arial"/>
                <w:sz w:val="18"/>
                <w:szCs w:val="18"/>
              </w:rPr>
              <w:t>281</w:t>
            </w:r>
          </w:p>
        </w:tc>
        <w:tc>
          <w:tcPr>
            <w:tcW w:w="748" w:type="pct"/>
            <w:shd w:val="clear" w:color="auto" w:fill="D4D8E8" w:themeFill="accent1" w:themeFillTint="33"/>
          </w:tcPr>
          <w:p w14:paraId="73B2ED4D" w14:textId="77777777" w:rsidR="00572F25" w:rsidRPr="00221D67" w:rsidRDefault="00572F25" w:rsidP="00140544">
            <w:pPr>
              <w:keepLines/>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221D67">
              <w:rPr>
                <w:rFonts w:cs="Arial"/>
                <w:sz w:val="18"/>
                <w:szCs w:val="18"/>
              </w:rPr>
              <w:t>19.2</w:t>
            </w:r>
          </w:p>
        </w:tc>
      </w:tr>
      <w:tr w:rsidR="00572F25" w:rsidRPr="00384007" w14:paraId="365782F3" w14:textId="77777777" w:rsidTr="00AD34A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76" w:type="pct"/>
            <w:shd w:val="clear" w:color="auto" w:fill="auto"/>
            <w:noWrap/>
            <w:vAlign w:val="center"/>
            <w:hideMark/>
          </w:tcPr>
          <w:p w14:paraId="57B2EC57" w14:textId="77777777" w:rsidR="00572F25" w:rsidRPr="00221D67" w:rsidRDefault="00572F25" w:rsidP="00140544">
            <w:pPr>
              <w:keepLines/>
              <w:spacing w:after="0"/>
              <w:jc w:val="left"/>
              <w:rPr>
                <w:rFonts w:cs="Arial"/>
                <w:b w:val="0"/>
                <w:bCs w:val="0"/>
                <w:color w:val="000000"/>
                <w:sz w:val="18"/>
                <w:szCs w:val="18"/>
              </w:rPr>
            </w:pPr>
            <w:r w:rsidRPr="00221D67">
              <w:rPr>
                <w:rFonts w:cs="Arial"/>
                <w:b w:val="0"/>
                <w:bCs w:val="0"/>
                <w:color w:val="000000"/>
                <w:sz w:val="18"/>
                <w:szCs w:val="18"/>
              </w:rPr>
              <w:t>NT</w:t>
            </w:r>
          </w:p>
        </w:tc>
        <w:tc>
          <w:tcPr>
            <w:tcW w:w="792" w:type="pct"/>
            <w:shd w:val="clear" w:color="auto" w:fill="auto"/>
            <w:hideMark/>
          </w:tcPr>
          <w:p w14:paraId="0621A392" w14:textId="77777777" w:rsidR="00572F25" w:rsidRPr="00221D67" w:rsidRDefault="00572F25" w:rsidP="00140544">
            <w:pPr>
              <w:keepLines/>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221D67">
              <w:rPr>
                <w:rFonts w:cs="Arial"/>
                <w:sz w:val="18"/>
                <w:szCs w:val="18"/>
              </w:rPr>
              <w:t>1</w:t>
            </w:r>
          </w:p>
        </w:tc>
        <w:tc>
          <w:tcPr>
            <w:tcW w:w="792" w:type="pct"/>
            <w:shd w:val="clear" w:color="auto" w:fill="auto"/>
            <w:hideMark/>
          </w:tcPr>
          <w:p w14:paraId="538CC2F9" w14:textId="77777777" w:rsidR="00572F25" w:rsidRPr="00221D67" w:rsidRDefault="00572F25" w:rsidP="00140544">
            <w:pPr>
              <w:keepLines/>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w:t>
            </w:r>
          </w:p>
        </w:tc>
        <w:tc>
          <w:tcPr>
            <w:tcW w:w="360" w:type="pct"/>
            <w:shd w:val="clear" w:color="auto" w:fill="auto"/>
            <w:hideMark/>
          </w:tcPr>
          <w:p w14:paraId="5A20A75E" w14:textId="77777777" w:rsidR="00572F25" w:rsidRPr="00221D67" w:rsidRDefault="00572F25" w:rsidP="00140544">
            <w:pPr>
              <w:keepLines/>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221D67">
              <w:rPr>
                <w:rFonts w:cs="Arial"/>
                <w:sz w:val="18"/>
                <w:szCs w:val="18"/>
              </w:rPr>
              <w:t>1</w:t>
            </w:r>
          </w:p>
        </w:tc>
        <w:tc>
          <w:tcPr>
            <w:tcW w:w="792" w:type="pct"/>
            <w:shd w:val="clear" w:color="auto" w:fill="auto"/>
            <w:hideMark/>
          </w:tcPr>
          <w:p w14:paraId="31C1A3FB" w14:textId="77777777" w:rsidR="00572F25" w:rsidRPr="00221D67" w:rsidRDefault="00572F25" w:rsidP="00140544">
            <w:pPr>
              <w:keepLines/>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221D67">
              <w:rPr>
                <w:rFonts w:cs="Arial"/>
                <w:sz w:val="18"/>
                <w:szCs w:val="18"/>
              </w:rPr>
              <w:t>0.6</w:t>
            </w:r>
          </w:p>
        </w:tc>
        <w:tc>
          <w:tcPr>
            <w:tcW w:w="939" w:type="pct"/>
            <w:shd w:val="clear" w:color="auto" w:fill="auto"/>
            <w:vAlign w:val="center"/>
          </w:tcPr>
          <w:p w14:paraId="6CBC9E0F" w14:textId="77777777" w:rsidR="00572F25" w:rsidRPr="00221D67" w:rsidRDefault="00572F25" w:rsidP="00140544">
            <w:pPr>
              <w:keepLines/>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221D67">
              <w:rPr>
                <w:rFonts w:cs="Arial"/>
                <w:sz w:val="18"/>
                <w:szCs w:val="18"/>
              </w:rPr>
              <w:t>7</w:t>
            </w:r>
          </w:p>
        </w:tc>
        <w:tc>
          <w:tcPr>
            <w:tcW w:w="748" w:type="pct"/>
            <w:shd w:val="clear" w:color="auto" w:fill="auto"/>
          </w:tcPr>
          <w:p w14:paraId="1B08A967" w14:textId="77777777" w:rsidR="00572F25" w:rsidRPr="00221D67" w:rsidRDefault="00572F25" w:rsidP="00140544">
            <w:pPr>
              <w:keepLines/>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221D67">
              <w:rPr>
                <w:rFonts w:cs="Arial"/>
                <w:sz w:val="18"/>
                <w:szCs w:val="18"/>
              </w:rPr>
              <w:t>14.3</w:t>
            </w:r>
          </w:p>
        </w:tc>
      </w:tr>
      <w:tr w:rsidR="0035770D" w:rsidRPr="00384007" w14:paraId="276A34F0" w14:textId="77777777" w:rsidTr="00AD34AB">
        <w:trPr>
          <w:trHeight w:val="284"/>
          <w:jc w:val="center"/>
        </w:trPr>
        <w:tc>
          <w:tcPr>
            <w:cnfStyle w:val="001000000000" w:firstRow="0" w:lastRow="0" w:firstColumn="1" w:lastColumn="0" w:oddVBand="0" w:evenVBand="0" w:oddHBand="0" w:evenHBand="0" w:firstRowFirstColumn="0" w:firstRowLastColumn="0" w:lastRowFirstColumn="0" w:lastRowLastColumn="0"/>
            <w:tcW w:w="576" w:type="pct"/>
            <w:shd w:val="clear" w:color="auto" w:fill="D4D8E8" w:themeFill="accent1" w:themeFillTint="33"/>
            <w:noWrap/>
            <w:vAlign w:val="center"/>
            <w:hideMark/>
          </w:tcPr>
          <w:p w14:paraId="56477666" w14:textId="77777777" w:rsidR="00572F25" w:rsidRPr="00221D67" w:rsidRDefault="00572F25" w:rsidP="00140544">
            <w:pPr>
              <w:keepLines/>
              <w:spacing w:after="0"/>
              <w:jc w:val="left"/>
              <w:rPr>
                <w:rFonts w:cs="Arial"/>
                <w:b w:val="0"/>
                <w:bCs w:val="0"/>
                <w:color w:val="000000"/>
                <w:sz w:val="18"/>
                <w:szCs w:val="18"/>
              </w:rPr>
            </w:pPr>
            <w:r w:rsidRPr="00221D67">
              <w:rPr>
                <w:rFonts w:cs="Arial"/>
                <w:b w:val="0"/>
                <w:bCs w:val="0"/>
                <w:color w:val="000000"/>
                <w:sz w:val="18"/>
                <w:szCs w:val="18"/>
              </w:rPr>
              <w:t>Qld</w:t>
            </w:r>
          </w:p>
        </w:tc>
        <w:tc>
          <w:tcPr>
            <w:tcW w:w="792" w:type="pct"/>
            <w:shd w:val="clear" w:color="auto" w:fill="D4D8E8" w:themeFill="accent1" w:themeFillTint="33"/>
            <w:hideMark/>
          </w:tcPr>
          <w:p w14:paraId="0E9603E5" w14:textId="77777777" w:rsidR="00572F25" w:rsidRPr="00221D67" w:rsidRDefault="00572F25" w:rsidP="00140544">
            <w:pPr>
              <w:keepLines/>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221D67">
              <w:rPr>
                <w:rFonts w:cs="Arial"/>
                <w:sz w:val="18"/>
                <w:szCs w:val="18"/>
              </w:rPr>
              <w:t>9</w:t>
            </w:r>
          </w:p>
        </w:tc>
        <w:tc>
          <w:tcPr>
            <w:tcW w:w="792" w:type="pct"/>
            <w:shd w:val="clear" w:color="auto" w:fill="D4D8E8" w:themeFill="accent1" w:themeFillTint="33"/>
            <w:hideMark/>
          </w:tcPr>
          <w:p w14:paraId="2C201DB1" w14:textId="77777777" w:rsidR="00572F25" w:rsidRPr="00221D67" w:rsidRDefault="00572F25" w:rsidP="00140544">
            <w:pPr>
              <w:keepLines/>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221D67">
              <w:rPr>
                <w:rFonts w:cs="Arial"/>
                <w:sz w:val="18"/>
                <w:szCs w:val="18"/>
              </w:rPr>
              <w:t>16</w:t>
            </w:r>
          </w:p>
        </w:tc>
        <w:tc>
          <w:tcPr>
            <w:tcW w:w="360" w:type="pct"/>
            <w:shd w:val="clear" w:color="auto" w:fill="D4D8E8" w:themeFill="accent1" w:themeFillTint="33"/>
            <w:hideMark/>
          </w:tcPr>
          <w:p w14:paraId="671FDD4D" w14:textId="77777777" w:rsidR="00572F25" w:rsidRPr="00221D67" w:rsidRDefault="00572F25" w:rsidP="00140544">
            <w:pPr>
              <w:keepLines/>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221D67">
              <w:rPr>
                <w:rFonts w:cs="Arial"/>
                <w:sz w:val="18"/>
                <w:szCs w:val="18"/>
              </w:rPr>
              <w:t>25</w:t>
            </w:r>
          </w:p>
        </w:tc>
        <w:tc>
          <w:tcPr>
            <w:tcW w:w="792" w:type="pct"/>
            <w:shd w:val="clear" w:color="auto" w:fill="D4D8E8" w:themeFill="accent1" w:themeFillTint="33"/>
            <w:hideMark/>
          </w:tcPr>
          <w:p w14:paraId="4C79B02F" w14:textId="77777777" w:rsidR="00572F25" w:rsidRPr="00221D67" w:rsidRDefault="00572F25" w:rsidP="00140544">
            <w:pPr>
              <w:keepLines/>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221D67">
              <w:rPr>
                <w:rFonts w:cs="Arial"/>
                <w:sz w:val="18"/>
                <w:szCs w:val="18"/>
              </w:rPr>
              <w:t>13.8</w:t>
            </w:r>
          </w:p>
        </w:tc>
        <w:tc>
          <w:tcPr>
            <w:tcW w:w="939" w:type="pct"/>
            <w:shd w:val="clear" w:color="auto" w:fill="D4D8E8" w:themeFill="accent1" w:themeFillTint="33"/>
            <w:vAlign w:val="center"/>
          </w:tcPr>
          <w:p w14:paraId="7368D369" w14:textId="77777777" w:rsidR="00572F25" w:rsidRPr="00221D67" w:rsidRDefault="00572F25" w:rsidP="00140544">
            <w:pPr>
              <w:keepLines/>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221D67">
              <w:rPr>
                <w:rFonts w:cs="Arial"/>
                <w:sz w:val="18"/>
                <w:szCs w:val="18"/>
              </w:rPr>
              <w:t>179</w:t>
            </w:r>
          </w:p>
        </w:tc>
        <w:tc>
          <w:tcPr>
            <w:tcW w:w="748" w:type="pct"/>
            <w:shd w:val="clear" w:color="auto" w:fill="D4D8E8" w:themeFill="accent1" w:themeFillTint="33"/>
          </w:tcPr>
          <w:p w14:paraId="17836945" w14:textId="77777777" w:rsidR="00572F25" w:rsidRPr="00221D67" w:rsidRDefault="00572F25" w:rsidP="00140544">
            <w:pPr>
              <w:keepLines/>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221D67">
              <w:rPr>
                <w:rFonts w:cs="Arial"/>
                <w:sz w:val="18"/>
                <w:szCs w:val="18"/>
              </w:rPr>
              <w:t>14.0</w:t>
            </w:r>
          </w:p>
        </w:tc>
      </w:tr>
      <w:tr w:rsidR="00572F25" w:rsidRPr="00384007" w14:paraId="0663944A" w14:textId="77777777" w:rsidTr="00AD34A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76" w:type="pct"/>
            <w:shd w:val="clear" w:color="auto" w:fill="auto"/>
            <w:noWrap/>
            <w:vAlign w:val="center"/>
            <w:hideMark/>
          </w:tcPr>
          <w:p w14:paraId="307DAFDC" w14:textId="77777777" w:rsidR="00572F25" w:rsidRPr="00221D67" w:rsidRDefault="00572F25" w:rsidP="00140544">
            <w:pPr>
              <w:keepLines/>
              <w:spacing w:after="0"/>
              <w:jc w:val="left"/>
              <w:rPr>
                <w:rFonts w:cs="Arial"/>
                <w:b w:val="0"/>
                <w:bCs w:val="0"/>
                <w:color w:val="000000"/>
                <w:sz w:val="18"/>
                <w:szCs w:val="18"/>
              </w:rPr>
            </w:pPr>
            <w:r w:rsidRPr="00221D67">
              <w:rPr>
                <w:rFonts w:cs="Arial"/>
                <w:b w:val="0"/>
                <w:bCs w:val="0"/>
                <w:color w:val="000000"/>
                <w:sz w:val="18"/>
                <w:szCs w:val="18"/>
              </w:rPr>
              <w:t>SA</w:t>
            </w:r>
          </w:p>
        </w:tc>
        <w:tc>
          <w:tcPr>
            <w:tcW w:w="792" w:type="pct"/>
            <w:shd w:val="clear" w:color="auto" w:fill="auto"/>
          </w:tcPr>
          <w:p w14:paraId="60D04823" w14:textId="77777777" w:rsidR="00572F25" w:rsidRPr="00221D67" w:rsidRDefault="00572F25" w:rsidP="00140544">
            <w:pPr>
              <w:keepLines/>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221D67">
              <w:rPr>
                <w:rFonts w:cs="Arial"/>
                <w:sz w:val="18"/>
                <w:szCs w:val="18"/>
              </w:rPr>
              <w:t>6</w:t>
            </w:r>
          </w:p>
        </w:tc>
        <w:tc>
          <w:tcPr>
            <w:tcW w:w="792" w:type="pct"/>
            <w:shd w:val="clear" w:color="auto" w:fill="auto"/>
          </w:tcPr>
          <w:p w14:paraId="316C4FEA" w14:textId="77777777" w:rsidR="00572F25" w:rsidRPr="00221D67" w:rsidRDefault="00572F25" w:rsidP="00140544">
            <w:pPr>
              <w:keepLines/>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221D67">
              <w:rPr>
                <w:rFonts w:cs="Arial"/>
                <w:sz w:val="18"/>
                <w:szCs w:val="18"/>
              </w:rPr>
              <w:t>9</w:t>
            </w:r>
          </w:p>
        </w:tc>
        <w:tc>
          <w:tcPr>
            <w:tcW w:w="360" w:type="pct"/>
            <w:shd w:val="clear" w:color="auto" w:fill="auto"/>
          </w:tcPr>
          <w:p w14:paraId="23429EC0" w14:textId="77777777" w:rsidR="00572F25" w:rsidRPr="00221D67" w:rsidRDefault="00572F25" w:rsidP="00140544">
            <w:pPr>
              <w:keepLines/>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221D67">
              <w:rPr>
                <w:rFonts w:cs="Arial"/>
                <w:sz w:val="18"/>
                <w:szCs w:val="18"/>
              </w:rPr>
              <w:t>15</w:t>
            </w:r>
          </w:p>
        </w:tc>
        <w:tc>
          <w:tcPr>
            <w:tcW w:w="792" w:type="pct"/>
            <w:shd w:val="clear" w:color="auto" w:fill="auto"/>
          </w:tcPr>
          <w:p w14:paraId="4DD0DDF4" w14:textId="77777777" w:rsidR="00572F25" w:rsidRPr="00221D67" w:rsidRDefault="00572F25" w:rsidP="00140544">
            <w:pPr>
              <w:keepLines/>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221D67">
              <w:rPr>
                <w:rFonts w:cs="Arial"/>
                <w:sz w:val="18"/>
                <w:szCs w:val="18"/>
              </w:rPr>
              <w:t>8.3</w:t>
            </w:r>
          </w:p>
        </w:tc>
        <w:tc>
          <w:tcPr>
            <w:tcW w:w="939" w:type="pct"/>
            <w:shd w:val="clear" w:color="auto" w:fill="auto"/>
            <w:vAlign w:val="center"/>
          </w:tcPr>
          <w:p w14:paraId="60DFA7F0" w14:textId="77777777" w:rsidR="00572F25" w:rsidRPr="00221D67" w:rsidRDefault="00572F25" w:rsidP="00140544">
            <w:pPr>
              <w:keepLines/>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221D67">
              <w:rPr>
                <w:rFonts w:cs="Arial"/>
                <w:sz w:val="18"/>
                <w:szCs w:val="18"/>
              </w:rPr>
              <w:t>95</w:t>
            </w:r>
          </w:p>
        </w:tc>
        <w:tc>
          <w:tcPr>
            <w:tcW w:w="748" w:type="pct"/>
            <w:shd w:val="clear" w:color="auto" w:fill="auto"/>
          </w:tcPr>
          <w:p w14:paraId="7F3A9B45" w14:textId="77777777" w:rsidR="00572F25" w:rsidRPr="00221D67" w:rsidRDefault="00572F25" w:rsidP="00140544">
            <w:pPr>
              <w:keepLines/>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221D67">
              <w:rPr>
                <w:rFonts w:cs="Arial"/>
                <w:sz w:val="18"/>
                <w:szCs w:val="18"/>
              </w:rPr>
              <w:t>15.8</w:t>
            </w:r>
          </w:p>
        </w:tc>
      </w:tr>
      <w:tr w:rsidR="0035770D" w:rsidRPr="00384007" w14:paraId="2DE2F2E9" w14:textId="77777777" w:rsidTr="00AD34AB">
        <w:trPr>
          <w:trHeight w:val="284"/>
          <w:jc w:val="center"/>
        </w:trPr>
        <w:tc>
          <w:tcPr>
            <w:cnfStyle w:val="001000000000" w:firstRow="0" w:lastRow="0" w:firstColumn="1" w:lastColumn="0" w:oddVBand="0" w:evenVBand="0" w:oddHBand="0" w:evenHBand="0" w:firstRowFirstColumn="0" w:firstRowLastColumn="0" w:lastRowFirstColumn="0" w:lastRowLastColumn="0"/>
            <w:tcW w:w="576" w:type="pct"/>
            <w:shd w:val="clear" w:color="auto" w:fill="D4D8E8" w:themeFill="accent1" w:themeFillTint="33"/>
            <w:noWrap/>
            <w:vAlign w:val="center"/>
            <w:hideMark/>
          </w:tcPr>
          <w:p w14:paraId="353C95DA" w14:textId="77777777" w:rsidR="00572F25" w:rsidRPr="00221D67" w:rsidRDefault="00572F25" w:rsidP="00140544">
            <w:pPr>
              <w:keepLines/>
              <w:spacing w:after="0"/>
              <w:jc w:val="left"/>
              <w:rPr>
                <w:rFonts w:cs="Arial"/>
                <w:b w:val="0"/>
                <w:bCs w:val="0"/>
                <w:color w:val="000000"/>
                <w:sz w:val="18"/>
                <w:szCs w:val="18"/>
              </w:rPr>
            </w:pPr>
            <w:r w:rsidRPr="00221D67">
              <w:rPr>
                <w:rFonts w:cs="Arial"/>
                <w:b w:val="0"/>
                <w:bCs w:val="0"/>
                <w:color w:val="000000"/>
                <w:sz w:val="18"/>
                <w:szCs w:val="18"/>
              </w:rPr>
              <w:t>Tas</w:t>
            </w:r>
          </w:p>
        </w:tc>
        <w:tc>
          <w:tcPr>
            <w:tcW w:w="792" w:type="pct"/>
            <w:shd w:val="clear" w:color="auto" w:fill="D4D8E8" w:themeFill="accent1" w:themeFillTint="33"/>
          </w:tcPr>
          <w:p w14:paraId="704DA429" w14:textId="77777777" w:rsidR="00572F25" w:rsidRPr="00221D67" w:rsidRDefault="00572F25" w:rsidP="00140544">
            <w:pPr>
              <w:keepLines/>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221D67">
              <w:rPr>
                <w:rFonts w:cs="Arial"/>
                <w:sz w:val="18"/>
                <w:szCs w:val="18"/>
              </w:rPr>
              <w:t>1</w:t>
            </w:r>
          </w:p>
        </w:tc>
        <w:tc>
          <w:tcPr>
            <w:tcW w:w="792" w:type="pct"/>
            <w:shd w:val="clear" w:color="auto" w:fill="D4D8E8" w:themeFill="accent1" w:themeFillTint="33"/>
          </w:tcPr>
          <w:p w14:paraId="6D9F9C2C" w14:textId="77777777" w:rsidR="00572F25" w:rsidRPr="00221D67" w:rsidRDefault="00572F25" w:rsidP="00140544">
            <w:pPr>
              <w:keepLines/>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221D67">
              <w:rPr>
                <w:rFonts w:cs="Arial"/>
                <w:sz w:val="18"/>
                <w:szCs w:val="18"/>
              </w:rPr>
              <w:t>1</w:t>
            </w:r>
          </w:p>
        </w:tc>
        <w:tc>
          <w:tcPr>
            <w:tcW w:w="360" w:type="pct"/>
            <w:shd w:val="clear" w:color="auto" w:fill="D4D8E8" w:themeFill="accent1" w:themeFillTint="33"/>
          </w:tcPr>
          <w:p w14:paraId="1F3737C0" w14:textId="77777777" w:rsidR="00572F25" w:rsidRPr="00221D67" w:rsidRDefault="00572F25" w:rsidP="00140544">
            <w:pPr>
              <w:keepLines/>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221D67">
              <w:rPr>
                <w:rFonts w:cs="Arial"/>
                <w:sz w:val="18"/>
                <w:szCs w:val="18"/>
              </w:rPr>
              <w:t>2</w:t>
            </w:r>
          </w:p>
        </w:tc>
        <w:tc>
          <w:tcPr>
            <w:tcW w:w="792" w:type="pct"/>
            <w:shd w:val="clear" w:color="auto" w:fill="D4D8E8" w:themeFill="accent1" w:themeFillTint="33"/>
          </w:tcPr>
          <w:p w14:paraId="24628CA8" w14:textId="77777777" w:rsidR="00572F25" w:rsidRPr="00221D67" w:rsidRDefault="00572F25" w:rsidP="00140544">
            <w:pPr>
              <w:keepLines/>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221D67">
              <w:rPr>
                <w:rFonts w:cs="Arial"/>
                <w:sz w:val="18"/>
                <w:szCs w:val="18"/>
              </w:rPr>
              <w:t>1.1</w:t>
            </w:r>
          </w:p>
        </w:tc>
        <w:tc>
          <w:tcPr>
            <w:tcW w:w="939" w:type="pct"/>
            <w:shd w:val="clear" w:color="auto" w:fill="D4D8E8" w:themeFill="accent1" w:themeFillTint="33"/>
            <w:vAlign w:val="center"/>
          </w:tcPr>
          <w:p w14:paraId="73BABC94" w14:textId="77777777" w:rsidR="00572F25" w:rsidRPr="00221D67" w:rsidRDefault="00572F25" w:rsidP="00140544">
            <w:pPr>
              <w:keepLines/>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221D67">
              <w:rPr>
                <w:rFonts w:cs="Arial"/>
                <w:sz w:val="18"/>
                <w:szCs w:val="18"/>
              </w:rPr>
              <w:t>20</w:t>
            </w:r>
          </w:p>
        </w:tc>
        <w:tc>
          <w:tcPr>
            <w:tcW w:w="748" w:type="pct"/>
            <w:shd w:val="clear" w:color="auto" w:fill="D4D8E8" w:themeFill="accent1" w:themeFillTint="33"/>
          </w:tcPr>
          <w:p w14:paraId="5DE178C5" w14:textId="77777777" w:rsidR="00572F25" w:rsidRPr="00221D67" w:rsidRDefault="00572F25" w:rsidP="00140544">
            <w:pPr>
              <w:keepLines/>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221D67">
              <w:rPr>
                <w:rFonts w:cs="Arial"/>
                <w:sz w:val="18"/>
                <w:szCs w:val="18"/>
              </w:rPr>
              <w:t>10.0</w:t>
            </w:r>
          </w:p>
        </w:tc>
      </w:tr>
      <w:tr w:rsidR="00572F25" w:rsidRPr="00384007" w14:paraId="785083DD" w14:textId="77777777" w:rsidTr="00AD34A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76" w:type="pct"/>
            <w:shd w:val="clear" w:color="auto" w:fill="auto"/>
            <w:noWrap/>
            <w:vAlign w:val="center"/>
            <w:hideMark/>
          </w:tcPr>
          <w:p w14:paraId="768DAA36" w14:textId="77777777" w:rsidR="00572F25" w:rsidRPr="00221D67" w:rsidRDefault="00572F25" w:rsidP="00140544">
            <w:pPr>
              <w:keepLines/>
              <w:spacing w:after="0"/>
              <w:jc w:val="left"/>
              <w:rPr>
                <w:rFonts w:cs="Arial"/>
                <w:b w:val="0"/>
                <w:bCs w:val="0"/>
                <w:color w:val="000000"/>
                <w:sz w:val="18"/>
                <w:szCs w:val="18"/>
              </w:rPr>
            </w:pPr>
            <w:r w:rsidRPr="00221D67">
              <w:rPr>
                <w:rFonts w:cs="Arial"/>
                <w:b w:val="0"/>
                <w:bCs w:val="0"/>
                <w:color w:val="000000"/>
                <w:sz w:val="18"/>
                <w:szCs w:val="18"/>
              </w:rPr>
              <w:t>Vic</w:t>
            </w:r>
          </w:p>
        </w:tc>
        <w:tc>
          <w:tcPr>
            <w:tcW w:w="792" w:type="pct"/>
            <w:shd w:val="clear" w:color="auto" w:fill="auto"/>
            <w:hideMark/>
          </w:tcPr>
          <w:p w14:paraId="33C7C417" w14:textId="77777777" w:rsidR="00572F25" w:rsidRPr="00221D67" w:rsidRDefault="00572F25" w:rsidP="00140544">
            <w:pPr>
              <w:keepLines/>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221D67">
              <w:rPr>
                <w:rFonts w:cs="Arial"/>
                <w:sz w:val="18"/>
                <w:szCs w:val="18"/>
              </w:rPr>
              <w:t>29</w:t>
            </w:r>
          </w:p>
        </w:tc>
        <w:tc>
          <w:tcPr>
            <w:tcW w:w="792" w:type="pct"/>
            <w:shd w:val="clear" w:color="auto" w:fill="auto"/>
            <w:hideMark/>
          </w:tcPr>
          <w:p w14:paraId="11BA848B" w14:textId="77777777" w:rsidR="00572F25" w:rsidRPr="00221D67" w:rsidRDefault="00572F25" w:rsidP="00140544">
            <w:pPr>
              <w:keepLines/>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221D67">
              <w:rPr>
                <w:rFonts w:cs="Arial"/>
                <w:sz w:val="18"/>
                <w:szCs w:val="18"/>
              </w:rPr>
              <w:t>30</w:t>
            </w:r>
          </w:p>
        </w:tc>
        <w:tc>
          <w:tcPr>
            <w:tcW w:w="360" w:type="pct"/>
            <w:shd w:val="clear" w:color="auto" w:fill="auto"/>
            <w:hideMark/>
          </w:tcPr>
          <w:p w14:paraId="3B7B8856" w14:textId="77777777" w:rsidR="00572F25" w:rsidRPr="00221D67" w:rsidRDefault="00572F25" w:rsidP="00140544">
            <w:pPr>
              <w:keepLines/>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221D67">
              <w:rPr>
                <w:rFonts w:cs="Arial"/>
                <w:sz w:val="18"/>
                <w:szCs w:val="18"/>
              </w:rPr>
              <w:t>59</w:t>
            </w:r>
          </w:p>
        </w:tc>
        <w:tc>
          <w:tcPr>
            <w:tcW w:w="792" w:type="pct"/>
            <w:shd w:val="clear" w:color="auto" w:fill="auto"/>
            <w:hideMark/>
          </w:tcPr>
          <w:p w14:paraId="0D2A1BCB" w14:textId="77777777" w:rsidR="00572F25" w:rsidRPr="00221D67" w:rsidRDefault="00572F25" w:rsidP="00140544">
            <w:pPr>
              <w:keepLines/>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221D67">
              <w:rPr>
                <w:rFonts w:cs="Arial"/>
                <w:sz w:val="18"/>
                <w:szCs w:val="18"/>
              </w:rPr>
              <w:t>32.6</w:t>
            </w:r>
          </w:p>
        </w:tc>
        <w:tc>
          <w:tcPr>
            <w:tcW w:w="939" w:type="pct"/>
            <w:shd w:val="clear" w:color="auto" w:fill="auto"/>
            <w:vAlign w:val="center"/>
          </w:tcPr>
          <w:p w14:paraId="2378F857" w14:textId="77777777" w:rsidR="00572F25" w:rsidRPr="00221D67" w:rsidRDefault="00572F25" w:rsidP="00140544">
            <w:pPr>
              <w:keepLines/>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221D67">
              <w:rPr>
                <w:rFonts w:cs="Arial"/>
                <w:sz w:val="18"/>
                <w:szCs w:val="18"/>
              </w:rPr>
              <w:t>197</w:t>
            </w:r>
          </w:p>
        </w:tc>
        <w:tc>
          <w:tcPr>
            <w:tcW w:w="748" w:type="pct"/>
            <w:shd w:val="clear" w:color="auto" w:fill="auto"/>
          </w:tcPr>
          <w:p w14:paraId="72DBE0EB" w14:textId="77777777" w:rsidR="00572F25" w:rsidRPr="00221D67" w:rsidRDefault="00572F25" w:rsidP="00140544">
            <w:pPr>
              <w:keepLines/>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221D67">
              <w:rPr>
                <w:rFonts w:cs="Arial"/>
                <w:sz w:val="18"/>
                <w:szCs w:val="18"/>
              </w:rPr>
              <w:t>29.9</w:t>
            </w:r>
          </w:p>
        </w:tc>
      </w:tr>
      <w:tr w:rsidR="0035770D" w:rsidRPr="00384007" w14:paraId="189F79F1" w14:textId="77777777" w:rsidTr="00AD34AB">
        <w:trPr>
          <w:trHeight w:val="284"/>
          <w:jc w:val="center"/>
        </w:trPr>
        <w:tc>
          <w:tcPr>
            <w:cnfStyle w:val="001000000000" w:firstRow="0" w:lastRow="0" w:firstColumn="1" w:lastColumn="0" w:oddVBand="0" w:evenVBand="0" w:oddHBand="0" w:evenHBand="0" w:firstRowFirstColumn="0" w:firstRowLastColumn="0" w:lastRowFirstColumn="0" w:lastRowLastColumn="0"/>
            <w:tcW w:w="576" w:type="pct"/>
            <w:shd w:val="clear" w:color="auto" w:fill="D4D8E8" w:themeFill="accent1" w:themeFillTint="33"/>
            <w:noWrap/>
            <w:vAlign w:val="center"/>
            <w:hideMark/>
          </w:tcPr>
          <w:p w14:paraId="43DFB616" w14:textId="77777777" w:rsidR="00572F25" w:rsidRPr="00221D67" w:rsidRDefault="00572F25" w:rsidP="00140544">
            <w:pPr>
              <w:keepLines/>
              <w:spacing w:after="0"/>
              <w:jc w:val="left"/>
              <w:rPr>
                <w:rFonts w:cs="Arial"/>
                <w:b w:val="0"/>
                <w:bCs w:val="0"/>
                <w:color w:val="000000"/>
                <w:sz w:val="18"/>
                <w:szCs w:val="18"/>
              </w:rPr>
            </w:pPr>
            <w:r w:rsidRPr="00221D67">
              <w:rPr>
                <w:rFonts w:cs="Arial"/>
                <w:b w:val="0"/>
                <w:bCs w:val="0"/>
                <w:color w:val="000000"/>
                <w:sz w:val="18"/>
                <w:szCs w:val="18"/>
              </w:rPr>
              <w:t>WA</w:t>
            </w:r>
          </w:p>
        </w:tc>
        <w:tc>
          <w:tcPr>
            <w:tcW w:w="792" w:type="pct"/>
            <w:shd w:val="clear" w:color="auto" w:fill="D4D8E8" w:themeFill="accent1" w:themeFillTint="33"/>
            <w:hideMark/>
          </w:tcPr>
          <w:p w14:paraId="78594D1F" w14:textId="77777777" w:rsidR="00572F25" w:rsidRPr="00221D67" w:rsidRDefault="00572F25" w:rsidP="00140544">
            <w:pPr>
              <w:keepLines/>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221D67">
              <w:rPr>
                <w:rFonts w:cs="Arial"/>
                <w:sz w:val="18"/>
                <w:szCs w:val="18"/>
              </w:rPr>
              <w:t>15</w:t>
            </w:r>
          </w:p>
        </w:tc>
        <w:tc>
          <w:tcPr>
            <w:tcW w:w="792" w:type="pct"/>
            <w:shd w:val="clear" w:color="auto" w:fill="D4D8E8" w:themeFill="accent1" w:themeFillTint="33"/>
            <w:hideMark/>
          </w:tcPr>
          <w:p w14:paraId="14F08404" w14:textId="77777777" w:rsidR="00572F25" w:rsidRPr="00221D67" w:rsidRDefault="00572F25" w:rsidP="00140544">
            <w:pPr>
              <w:keepLines/>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221D67">
              <w:rPr>
                <w:rFonts w:cs="Arial"/>
                <w:sz w:val="18"/>
                <w:szCs w:val="18"/>
              </w:rPr>
              <w:t>8</w:t>
            </w:r>
          </w:p>
        </w:tc>
        <w:tc>
          <w:tcPr>
            <w:tcW w:w="360" w:type="pct"/>
            <w:shd w:val="clear" w:color="auto" w:fill="D4D8E8" w:themeFill="accent1" w:themeFillTint="33"/>
            <w:hideMark/>
          </w:tcPr>
          <w:p w14:paraId="6A055AB4" w14:textId="77777777" w:rsidR="00572F25" w:rsidRPr="00221D67" w:rsidRDefault="00572F25" w:rsidP="00140544">
            <w:pPr>
              <w:keepLines/>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221D67">
              <w:rPr>
                <w:rFonts w:cs="Arial"/>
                <w:sz w:val="18"/>
                <w:szCs w:val="18"/>
              </w:rPr>
              <w:t>23</w:t>
            </w:r>
          </w:p>
        </w:tc>
        <w:tc>
          <w:tcPr>
            <w:tcW w:w="792" w:type="pct"/>
            <w:shd w:val="clear" w:color="auto" w:fill="D4D8E8" w:themeFill="accent1" w:themeFillTint="33"/>
            <w:hideMark/>
          </w:tcPr>
          <w:p w14:paraId="6A758FA4" w14:textId="77777777" w:rsidR="00572F25" w:rsidRPr="00221D67" w:rsidRDefault="00572F25" w:rsidP="00140544">
            <w:pPr>
              <w:keepLines/>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221D67">
              <w:rPr>
                <w:rFonts w:cs="Arial"/>
                <w:sz w:val="18"/>
                <w:szCs w:val="18"/>
              </w:rPr>
              <w:t>12.7</w:t>
            </w:r>
          </w:p>
        </w:tc>
        <w:tc>
          <w:tcPr>
            <w:tcW w:w="939" w:type="pct"/>
            <w:shd w:val="clear" w:color="auto" w:fill="D4D8E8" w:themeFill="accent1" w:themeFillTint="33"/>
            <w:vAlign w:val="center"/>
          </w:tcPr>
          <w:p w14:paraId="3B148821" w14:textId="77777777" w:rsidR="00572F25" w:rsidRPr="00221D67" w:rsidRDefault="00572F25" w:rsidP="00140544">
            <w:pPr>
              <w:keepLines/>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221D67">
              <w:rPr>
                <w:rFonts w:cs="Arial"/>
                <w:sz w:val="18"/>
                <w:szCs w:val="18"/>
              </w:rPr>
              <w:t>82</w:t>
            </w:r>
          </w:p>
        </w:tc>
        <w:tc>
          <w:tcPr>
            <w:tcW w:w="748" w:type="pct"/>
            <w:shd w:val="clear" w:color="auto" w:fill="D4D8E8" w:themeFill="accent1" w:themeFillTint="33"/>
          </w:tcPr>
          <w:p w14:paraId="1DB73601" w14:textId="77777777" w:rsidR="00572F25" w:rsidRPr="00221D67" w:rsidRDefault="00572F25" w:rsidP="00140544">
            <w:pPr>
              <w:keepLines/>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221D67">
              <w:rPr>
                <w:rFonts w:cs="Arial"/>
                <w:sz w:val="18"/>
                <w:szCs w:val="18"/>
              </w:rPr>
              <w:t>28.0</w:t>
            </w:r>
          </w:p>
        </w:tc>
      </w:tr>
      <w:tr w:rsidR="00AD34AB" w:rsidRPr="00384007" w14:paraId="545AACFA" w14:textId="77777777" w:rsidTr="00AD34AB">
        <w:trPr>
          <w:cnfStyle w:val="010000000000" w:firstRow="0" w:lastRow="1"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76" w:type="pct"/>
            <w:shd w:val="clear" w:color="auto" w:fill="3F4A75" w:themeFill="text2"/>
            <w:noWrap/>
            <w:hideMark/>
          </w:tcPr>
          <w:p w14:paraId="3915C128" w14:textId="77777777" w:rsidR="00572F25" w:rsidRPr="00221D67" w:rsidRDefault="00572F25" w:rsidP="00140544">
            <w:pPr>
              <w:keepLines/>
              <w:spacing w:before="40" w:after="0"/>
              <w:jc w:val="left"/>
              <w:rPr>
                <w:rFonts w:cs="Arial"/>
                <w:b w:val="0"/>
                <w:bCs w:val="0"/>
                <w:color w:val="FFFFFF" w:themeColor="background1"/>
                <w:sz w:val="18"/>
                <w:szCs w:val="18"/>
              </w:rPr>
            </w:pPr>
            <w:r w:rsidRPr="00221D67">
              <w:rPr>
                <w:rFonts w:cs="Arial"/>
                <w:b w:val="0"/>
                <w:bCs w:val="0"/>
                <w:color w:val="FFFFFF" w:themeColor="background1"/>
                <w:sz w:val="18"/>
                <w:szCs w:val="18"/>
              </w:rPr>
              <w:t>Total</w:t>
            </w:r>
          </w:p>
        </w:tc>
        <w:tc>
          <w:tcPr>
            <w:tcW w:w="792" w:type="pct"/>
            <w:shd w:val="clear" w:color="auto" w:fill="3F4A75" w:themeFill="text2"/>
            <w:hideMark/>
          </w:tcPr>
          <w:p w14:paraId="129FF4A0" w14:textId="77777777" w:rsidR="00572F25" w:rsidRPr="009E5C2A" w:rsidRDefault="00572F25" w:rsidP="00140544">
            <w:pPr>
              <w:keepLines/>
              <w:spacing w:after="0"/>
              <w:cnfStyle w:val="010000000000" w:firstRow="0" w:lastRow="1" w:firstColumn="0" w:lastColumn="0" w:oddVBand="0" w:evenVBand="0" w:oddHBand="0" w:evenHBand="0" w:firstRowFirstColumn="0" w:firstRowLastColumn="0" w:lastRowFirstColumn="0" w:lastRowLastColumn="0"/>
              <w:rPr>
                <w:rFonts w:cs="Arial"/>
                <w:color w:val="FFFFFF" w:themeColor="background1"/>
                <w:sz w:val="18"/>
                <w:szCs w:val="18"/>
              </w:rPr>
            </w:pPr>
            <w:r w:rsidRPr="009E5C2A">
              <w:rPr>
                <w:rFonts w:cs="Arial"/>
                <w:color w:val="FFFFFF" w:themeColor="background1"/>
                <w:sz w:val="18"/>
                <w:szCs w:val="18"/>
              </w:rPr>
              <w:t>90</w:t>
            </w:r>
          </w:p>
        </w:tc>
        <w:tc>
          <w:tcPr>
            <w:tcW w:w="792" w:type="pct"/>
            <w:shd w:val="clear" w:color="auto" w:fill="3F4A75" w:themeFill="text2"/>
            <w:hideMark/>
          </w:tcPr>
          <w:p w14:paraId="1D78507B" w14:textId="77777777" w:rsidR="00572F25" w:rsidRPr="009E5C2A" w:rsidRDefault="00572F25" w:rsidP="00140544">
            <w:pPr>
              <w:keepLines/>
              <w:spacing w:after="0"/>
              <w:cnfStyle w:val="010000000000" w:firstRow="0" w:lastRow="1" w:firstColumn="0" w:lastColumn="0" w:oddVBand="0" w:evenVBand="0" w:oddHBand="0" w:evenHBand="0" w:firstRowFirstColumn="0" w:firstRowLastColumn="0" w:lastRowFirstColumn="0" w:lastRowLastColumn="0"/>
              <w:rPr>
                <w:rFonts w:cs="Arial"/>
                <w:color w:val="FFFFFF" w:themeColor="background1"/>
                <w:sz w:val="18"/>
                <w:szCs w:val="18"/>
              </w:rPr>
            </w:pPr>
            <w:r w:rsidRPr="009E5C2A">
              <w:rPr>
                <w:rFonts w:cs="Arial"/>
                <w:color w:val="FFFFFF" w:themeColor="background1"/>
                <w:sz w:val="18"/>
                <w:szCs w:val="18"/>
              </w:rPr>
              <w:t>91</w:t>
            </w:r>
          </w:p>
        </w:tc>
        <w:tc>
          <w:tcPr>
            <w:tcW w:w="360" w:type="pct"/>
            <w:shd w:val="clear" w:color="auto" w:fill="3F4A75" w:themeFill="text2"/>
            <w:hideMark/>
          </w:tcPr>
          <w:p w14:paraId="2BB4348F" w14:textId="77777777" w:rsidR="00572F25" w:rsidRPr="009E5C2A" w:rsidRDefault="00572F25" w:rsidP="00140544">
            <w:pPr>
              <w:keepLines/>
              <w:spacing w:after="0"/>
              <w:cnfStyle w:val="010000000000" w:firstRow="0" w:lastRow="1" w:firstColumn="0" w:lastColumn="0" w:oddVBand="0" w:evenVBand="0" w:oddHBand="0" w:evenHBand="0" w:firstRowFirstColumn="0" w:firstRowLastColumn="0" w:lastRowFirstColumn="0" w:lastRowLastColumn="0"/>
              <w:rPr>
                <w:rFonts w:cs="Arial"/>
                <w:color w:val="FFFFFF" w:themeColor="background1"/>
                <w:sz w:val="18"/>
                <w:szCs w:val="18"/>
              </w:rPr>
            </w:pPr>
            <w:r w:rsidRPr="009E5C2A">
              <w:rPr>
                <w:rFonts w:cs="Arial"/>
                <w:color w:val="FFFFFF" w:themeColor="background1"/>
                <w:sz w:val="18"/>
                <w:szCs w:val="18"/>
              </w:rPr>
              <w:t>181</w:t>
            </w:r>
          </w:p>
        </w:tc>
        <w:tc>
          <w:tcPr>
            <w:tcW w:w="792" w:type="pct"/>
            <w:shd w:val="clear" w:color="auto" w:fill="3F4A75" w:themeFill="text2"/>
            <w:hideMark/>
          </w:tcPr>
          <w:p w14:paraId="3B511C6E" w14:textId="77777777" w:rsidR="00572F25" w:rsidRPr="009E5C2A" w:rsidRDefault="00572F25" w:rsidP="00140544">
            <w:pPr>
              <w:keepLines/>
              <w:spacing w:after="0"/>
              <w:cnfStyle w:val="010000000000" w:firstRow="0" w:lastRow="1" w:firstColumn="0" w:lastColumn="0" w:oddVBand="0" w:evenVBand="0" w:oddHBand="0" w:evenHBand="0" w:firstRowFirstColumn="0" w:firstRowLastColumn="0" w:lastRowFirstColumn="0" w:lastRowLastColumn="0"/>
              <w:rPr>
                <w:rFonts w:cs="Arial"/>
                <w:color w:val="FFFFFF" w:themeColor="background1"/>
                <w:sz w:val="18"/>
                <w:szCs w:val="18"/>
              </w:rPr>
            </w:pPr>
            <w:r w:rsidRPr="009E5C2A">
              <w:rPr>
                <w:rFonts w:cs="Arial"/>
                <w:color w:val="FFFFFF" w:themeColor="background1"/>
                <w:sz w:val="18"/>
                <w:szCs w:val="18"/>
              </w:rPr>
              <w:t>100</w:t>
            </w:r>
          </w:p>
        </w:tc>
        <w:tc>
          <w:tcPr>
            <w:tcW w:w="939" w:type="pct"/>
            <w:shd w:val="clear" w:color="auto" w:fill="3F4A75" w:themeFill="text2"/>
          </w:tcPr>
          <w:p w14:paraId="31BC7091" w14:textId="77777777" w:rsidR="00572F25" w:rsidRPr="009E5C2A" w:rsidRDefault="00572F25" w:rsidP="00140544">
            <w:pPr>
              <w:keepLines/>
              <w:spacing w:after="0"/>
              <w:cnfStyle w:val="010000000000" w:firstRow="0" w:lastRow="1" w:firstColumn="0" w:lastColumn="0" w:oddVBand="0" w:evenVBand="0" w:oddHBand="0" w:evenHBand="0" w:firstRowFirstColumn="0" w:firstRowLastColumn="0" w:lastRowFirstColumn="0" w:lastRowLastColumn="0"/>
              <w:rPr>
                <w:rFonts w:cs="Arial"/>
                <w:color w:val="FFFFFF" w:themeColor="background1"/>
                <w:sz w:val="18"/>
                <w:szCs w:val="18"/>
              </w:rPr>
            </w:pPr>
            <w:r w:rsidRPr="009E5C2A">
              <w:rPr>
                <w:rFonts w:cs="Arial"/>
                <w:color w:val="FFFFFF" w:themeColor="background1"/>
                <w:sz w:val="18"/>
                <w:szCs w:val="18"/>
              </w:rPr>
              <w:t>871</w:t>
            </w:r>
          </w:p>
        </w:tc>
        <w:tc>
          <w:tcPr>
            <w:tcW w:w="748" w:type="pct"/>
            <w:shd w:val="clear" w:color="auto" w:fill="3F4A75" w:themeFill="text2"/>
          </w:tcPr>
          <w:p w14:paraId="253744E4" w14:textId="77777777" w:rsidR="00572F25" w:rsidRPr="009E5C2A" w:rsidRDefault="00572F25" w:rsidP="00140544">
            <w:pPr>
              <w:keepLines/>
              <w:spacing w:after="0"/>
              <w:cnfStyle w:val="010000000000" w:firstRow="0" w:lastRow="1" w:firstColumn="0" w:lastColumn="0" w:oddVBand="0" w:evenVBand="0" w:oddHBand="0" w:evenHBand="0" w:firstRowFirstColumn="0" w:firstRowLastColumn="0" w:lastRowFirstColumn="0" w:lastRowLastColumn="0"/>
              <w:rPr>
                <w:rFonts w:cs="Arial"/>
                <w:color w:val="FFFFFF" w:themeColor="background1"/>
                <w:sz w:val="18"/>
                <w:szCs w:val="18"/>
              </w:rPr>
            </w:pPr>
            <w:r w:rsidRPr="009E5C2A">
              <w:rPr>
                <w:rFonts w:cs="Arial"/>
                <w:color w:val="FFFFFF" w:themeColor="background1"/>
                <w:sz w:val="18"/>
                <w:szCs w:val="18"/>
              </w:rPr>
              <w:t>20.8</w:t>
            </w:r>
          </w:p>
        </w:tc>
      </w:tr>
    </w:tbl>
    <w:p w14:paraId="35AADDF8" w14:textId="77777777" w:rsidR="00572F25" w:rsidRPr="00AB069C" w:rsidRDefault="00572F25" w:rsidP="00572F25"/>
    <w:p w14:paraId="77124330" w14:textId="77777777" w:rsidR="00572F25" w:rsidRDefault="000C01C1" w:rsidP="000C01C1">
      <w:pPr>
        <w:pStyle w:val="Heading3"/>
      </w:pPr>
      <w:proofErr w:type="gramStart"/>
      <w:r>
        <w:t xml:space="preserve">3.1.2  </w:t>
      </w:r>
      <w:r w:rsidR="00572F25">
        <w:t>Surgical</w:t>
      </w:r>
      <w:proofErr w:type="gramEnd"/>
      <w:r w:rsidR="00572F25">
        <w:t xml:space="preserve"> episodes</w:t>
      </w:r>
    </w:p>
    <w:p w14:paraId="12A88F50" w14:textId="77777777" w:rsidR="00572F25" w:rsidRPr="00A56099" w:rsidRDefault="00572F25" w:rsidP="00572F25">
      <w:pPr>
        <w:rPr>
          <w:rFonts w:cs="Arial"/>
        </w:rPr>
      </w:pPr>
      <w:r w:rsidRPr="00A56099">
        <w:rPr>
          <w:rFonts w:cs="Arial"/>
        </w:rPr>
        <w:t xml:space="preserve">A total of </w:t>
      </w:r>
      <w:r>
        <w:rPr>
          <w:rFonts w:cs="Arial"/>
        </w:rPr>
        <w:t>10,927</w:t>
      </w:r>
      <w:r w:rsidRPr="00A56099">
        <w:rPr>
          <w:rFonts w:cs="Arial"/>
        </w:rPr>
        <w:t xml:space="preserve"> surgical episodes were included in the 20</w:t>
      </w:r>
      <w:r>
        <w:rPr>
          <w:rFonts w:cs="Arial"/>
        </w:rPr>
        <w:t xml:space="preserve">21 </w:t>
      </w:r>
      <w:r w:rsidRPr="00A56099">
        <w:rPr>
          <w:rFonts w:cs="Arial"/>
        </w:rPr>
        <w:t>Surgical NAPS analyses. Characteristics of those episodes include:</w:t>
      </w:r>
    </w:p>
    <w:p w14:paraId="678EA1BD" w14:textId="77777777" w:rsidR="00572F25" w:rsidRPr="00450EEC" w:rsidRDefault="00572F25" w:rsidP="00572F25">
      <w:pPr>
        <w:pStyle w:val="Bulletlist"/>
      </w:pPr>
      <w:r>
        <w:t>More</w:t>
      </w:r>
      <w:r w:rsidRPr="001F1D4D">
        <w:t xml:space="preserve"> episodes were analysed for </w:t>
      </w:r>
      <w:r w:rsidRPr="00AD60E1">
        <w:t>female</w:t>
      </w:r>
      <w:r>
        <w:t xml:space="preserve"> patients</w:t>
      </w:r>
      <w:r w:rsidRPr="00450EEC">
        <w:t xml:space="preserve"> (n=6,142; 56.2%) compared to </w:t>
      </w:r>
      <w:r w:rsidRPr="00AD60E1">
        <w:t>male</w:t>
      </w:r>
      <w:r>
        <w:t xml:space="preserve"> patients</w:t>
      </w:r>
      <w:r w:rsidRPr="00450EEC">
        <w:t xml:space="preserve"> (n=4,774, 43.7%).</w:t>
      </w:r>
    </w:p>
    <w:p w14:paraId="65DFB9E8" w14:textId="77777777" w:rsidR="00572F25" w:rsidRPr="00656B63" w:rsidRDefault="00572F25" w:rsidP="00572F25">
      <w:pPr>
        <w:pStyle w:val="Bulletlist"/>
      </w:pPr>
      <w:r w:rsidRPr="00656B63">
        <w:t xml:space="preserve">The </w:t>
      </w:r>
      <w:r w:rsidRPr="00450EEC">
        <w:t>majority (n=10,645</w:t>
      </w:r>
      <w:r>
        <w:t>,</w:t>
      </w:r>
      <w:r w:rsidRPr="00450EEC">
        <w:t xml:space="preserve"> 97.4%) were initial surgeries, and 282 (2.6%) were subsequent surgeries.</w:t>
      </w:r>
    </w:p>
    <w:p w14:paraId="52EBE8D9" w14:textId="77777777" w:rsidR="00572F25" w:rsidRPr="005D1D2D" w:rsidRDefault="00572F25" w:rsidP="00572F25">
      <w:pPr>
        <w:pStyle w:val="Bulletlist"/>
      </w:pPr>
      <w:r w:rsidRPr="00381B3D">
        <w:t>Most episodes (n=10,150</w:t>
      </w:r>
      <w:r>
        <w:t>,</w:t>
      </w:r>
      <w:r w:rsidRPr="00381B3D">
        <w:t xml:space="preserve"> 92.9%) involved</w:t>
      </w:r>
      <w:r w:rsidRPr="005D1D2D">
        <w:t xml:space="preserve"> an incisional procedure.</w:t>
      </w:r>
    </w:p>
    <w:p w14:paraId="3F50B86E" w14:textId="77777777" w:rsidR="00572F25" w:rsidRPr="00D550CD" w:rsidRDefault="00572F25" w:rsidP="00572F25">
      <w:pPr>
        <w:pStyle w:val="Bulletlist"/>
      </w:pPr>
      <w:r w:rsidRPr="4BEA40E9">
        <w:t xml:space="preserve">More elective </w:t>
      </w:r>
      <w:r w:rsidRPr="00D550CD">
        <w:t>procedures were performed (n=9,436</w:t>
      </w:r>
      <w:r>
        <w:t>,</w:t>
      </w:r>
      <w:r w:rsidRPr="00D550CD">
        <w:t xml:space="preserve"> 86.4%) than emergency procedures (n=1,432</w:t>
      </w:r>
      <w:r>
        <w:t>,</w:t>
      </w:r>
      <w:r w:rsidRPr="00D550CD">
        <w:t xml:space="preserve"> 13.1%).</w:t>
      </w:r>
    </w:p>
    <w:p w14:paraId="16C02782" w14:textId="77777777" w:rsidR="00572F25" w:rsidRPr="009D37BC" w:rsidRDefault="00572F25" w:rsidP="00572F25">
      <w:pPr>
        <w:pStyle w:val="Bulletlist"/>
      </w:pPr>
      <w:r>
        <w:t>Over</w:t>
      </w:r>
      <w:r w:rsidRPr="009D37BC">
        <w:t xml:space="preserve"> one</w:t>
      </w:r>
      <w:r>
        <w:t>-</w:t>
      </w:r>
      <w:r w:rsidRPr="00974837">
        <w:t>third (n=4,068</w:t>
      </w:r>
      <w:r>
        <w:t>,</w:t>
      </w:r>
      <w:r w:rsidRPr="00974837">
        <w:t xml:space="preserve"> 37.2%) were</w:t>
      </w:r>
      <w:r w:rsidRPr="009D37BC">
        <w:t xml:space="preserve"> for insertion or removal of prosthetic material</w:t>
      </w:r>
      <w:r>
        <w:t>.</w:t>
      </w:r>
    </w:p>
    <w:p w14:paraId="64B86E02" w14:textId="77777777" w:rsidR="00572F25" w:rsidRPr="00B5689D" w:rsidRDefault="00572F25" w:rsidP="00572F25">
      <w:pPr>
        <w:pStyle w:val="Bulletlist"/>
      </w:pPr>
      <w:r w:rsidRPr="4BEA40E9">
        <w:t xml:space="preserve">A very small </w:t>
      </w:r>
      <w:r w:rsidRPr="00974837">
        <w:t>number (n=437</w:t>
      </w:r>
      <w:r>
        <w:t>,</w:t>
      </w:r>
      <w:r w:rsidRPr="00974837">
        <w:t xml:space="preserve"> 4.0%) were trauma</w:t>
      </w:r>
      <w:r w:rsidRPr="4BEA40E9">
        <w:t xml:space="preserve"> related.</w:t>
      </w:r>
    </w:p>
    <w:p w14:paraId="12611D05" w14:textId="77777777" w:rsidR="00572F25" w:rsidRDefault="00572F25" w:rsidP="00572F25">
      <w:pPr>
        <w:rPr>
          <w:rFonts w:cs="Arial"/>
        </w:rPr>
      </w:pPr>
      <w:r w:rsidRPr="00A67589">
        <w:rPr>
          <w:rFonts w:cs="Arial"/>
        </w:rPr>
        <w:t>Figure 2 shows the breakdown of antimicrobial prescribing for surgical episodes reported to the 20</w:t>
      </w:r>
      <w:r>
        <w:rPr>
          <w:rFonts w:cs="Arial"/>
        </w:rPr>
        <w:t>21</w:t>
      </w:r>
      <w:r w:rsidRPr="00A67589">
        <w:rPr>
          <w:rFonts w:cs="Arial"/>
        </w:rPr>
        <w:t xml:space="preserve"> Surgical</w:t>
      </w:r>
      <w:r w:rsidRPr="00AA3768">
        <w:rPr>
          <w:rFonts w:cs="Arial"/>
        </w:rPr>
        <w:t xml:space="preserve"> NAPS, by procedural and post</w:t>
      </w:r>
      <w:r>
        <w:rPr>
          <w:rFonts w:cs="Arial"/>
        </w:rPr>
        <w:t>-</w:t>
      </w:r>
      <w:r w:rsidRPr="00AA3768">
        <w:rPr>
          <w:rFonts w:cs="Arial"/>
        </w:rPr>
        <w:t>procedural characteristics, to assist with understanding the analyses presented.</w:t>
      </w:r>
    </w:p>
    <w:p w14:paraId="32A2F793" w14:textId="77777777" w:rsidR="00572F25" w:rsidRDefault="00572F25" w:rsidP="00572F25">
      <w:pPr>
        <w:jc w:val="both"/>
        <w:rPr>
          <w:rFonts w:cs="Arial"/>
        </w:rPr>
        <w:sectPr w:rsidR="00572F25" w:rsidSect="0034738E">
          <w:headerReference w:type="default" r:id="rId26"/>
          <w:footerReference w:type="default" r:id="rId27"/>
          <w:footerReference w:type="first" r:id="rId28"/>
          <w:type w:val="evenPage"/>
          <w:pgSz w:w="11906" w:h="16838" w:code="9"/>
          <w:pgMar w:top="1440" w:right="1276" w:bottom="1440" w:left="1276" w:header="0" w:footer="0" w:gutter="0"/>
          <w:cols w:space="708"/>
          <w:docGrid w:linePitch="360"/>
        </w:sectPr>
      </w:pPr>
    </w:p>
    <w:p w14:paraId="31008311" w14:textId="77777777" w:rsidR="00572F25" w:rsidRPr="00DC7ECC" w:rsidRDefault="00572F25" w:rsidP="00572F25">
      <w:pPr>
        <w:pStyle w:val="Captions"/>
      </w:pPr>
      <w:r w:rsidRPr="00C23DFC">
        <w:lastRenderedPageBreak/>
        <w:t>Figure 2:</w:t>
      </w:r>
      <w:r w:rsidRPr="00C23DFC">
        <w:tab/>
        <w:t>Surgical episodes by procedural and post</w:t>
      </w:r>
      <w:r>
        <w:t>-</w:t>
      </w:r>
      <w:r w:rsidRPr="00C23DFC">
        <w:t xml:space="preserve">procedural prescribing characteristics, Surgical </w:t>
      </w:r>
      <w:r>
        <w:t xml:space="preserve">NAPS </w:t>
      </w:r>
      <w:r w:rsidRPr="00C23DFC">
        <w:t>202</w:t>
      </w:r>
      <w:r>
        <w:t>1</w:t>
      </w:r>
    </w:p>
    <w:p w14:paraId="7BB0F3A5" w14:textId="77777777" w:rsidR="00572F25" w:rsidRDefault="00572F25" w:rsidP="00572F25">
      <w:pPr>
        <w:pStyle w:val="Notes"/>
      </w:pPr>
      <w:r>
        <w:rPr>
          <w:noProof/>
        </w:rPr>
        <w:drawing>
          <wp:inline distT="0" distB="0" distL="0" distR="0" wp14:anchorId="11AC204C" wp14:editId="257F53D5">
            <wp:extent cx="6515735" cy="4497049"/>
            <wp:effectExtent l="0" t="0" r="75565" b="0"/>
            <wp:docPr id="2" name="Diagram 2" descr="This is a data flowchart showing the  breakdown of antimicrobial prescribing for all 10,927 surgical episodes reported to the 2021 Surgical NAPS, grouped initially by existing, procedural and post-procedural prescribing and progressing through to the final set of 4,585 prophylactic antimicrobial prescriptions examined in this report.  "/>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4E80044A" w14:textId="77777777" w:rsidR="00572F25" w:rsidRDefault="00572F25" w:rsidP="00572F25">
      <w:pPr>
        <w:pStyle w:val="Notes"/>
      </w:pPr>
      <w:r w:rsidRPr="00AA3768">
        <w:rPr>
          <w:noProof/>
        </w:rPr>
        <mc:AlternateContent>
          <mc:Choice Requires="wps">
            <w:drawing>
              <wp:inline distT="0" distB="0" distL="0" distR="0" wp14:anchorId="5A1697A1" wp14:editId="2FC3DA46">
                <wp:extent cx="6372000" cy="3814771"/>
                <wp:effectExtent l="12700" t="12700" r="16510" b="8255"/>
                <wp:docPr id="56" name="Text Box 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372000" cy="3814771"/>
                        </a:xfrm>
                        <a:prstGeom prst="rect">
                          <a:avLst/>
                        </a:prstGeom>
                        <a:solidFill>
                          <a:schemeClr val="accent1">
                            <a:lumMod val="20000"/>
                            <a:lumOff val="80000"/>
                          </a:schemeClr>
                        </a:solidFill>
                        <a:ln w="28575">
                          <a:solidFill>
                            <a:schemeClr val="tx2"/>
                          </a:solidFill>
                          <a:miter lim="800000"/>
                          <a:headEnd/>
                          <a:tailEnd/>
                        </a:ln>
                      </wps:spPr>
                      <wps:txbx>
                        <w:txbxContent>
                          <w:p w14:paraId="1C23BBE1" w14:textId="77777777" w:rsidR="00572F25" w:rsidRPr="0016630C" w:rsidRDefault="00572F25" w:rsidP="00572F25">
                            <w:pPr>
                              <w:pStyle w:val="Notes"/>
                              <w:contextualSpacing w:val="0"/>
                              <w:rPr>
                                <w:bCs/>
                              </w:rPr>
                            </w:pPr>
                            <w:r w:rsidRPr="00AD3B5B">
                              <w:rPr>
                                <w:b/>
                                <w:bCs/>
                              </w:rPr>
                              <w:t>Legend</w:t>
                            </w:r>
                          </w:p>
                          <w:p w14:paraId="21EB648E" w14:textId="77777777" w:rsidR="00572F25" w:rsidRPr="00262DE5" w:rsidRDefault="00572F25" w:rsidP="00572F25">
                            <w:pPr>
                              <w:pStyle w:val="Notes"/>
                              <w:spacing w:after="120"/>
                              <w:contextualSpacing w:val="0"/>
                            </w:pPr>
                            <w:r w:rsidRPr="00AD3B5B">
                              <w:rPr>
                                <w:b/>
                                <w:bCs/>
                              </w:rPr>
                              <w:t>Episode</w:t>
                            </w:r>
                            <w:r w:rsidRPr="00262DE5">
                              <w:t xml:space="preserve"> – an individual procedure or set of procedures performed together during one surgical session and the subsequent post-procedural care associated with the procedure(s)</w:t>
                            </w:r>
                          </w:p>
                          <w:p w14:paraId="5E7D6FCE" w14:textId="77777777" w:rsidR="00572F25" w:rsidRPr="00DC7ECC" w:rsidRDefault="00572F25" w:rsidP="00572F25">
                            <w:pPr>
                              <w:pStyle w:val="Notes"/>
                              <w:spacing w:after="120"/>
                              <w:contextualSpacing w:val="0"/>
                              <w:rPr>
                                <w:rFonts w:cs="Arial"/>
                              </w:rPr>
                            </w:pPr>
                            <w:r w:rsidRPr="00AD3B5B">
                              <w:rPr>
                                <w:rFonts w:cs="Arial"/>
                                <w:b/>
                                <w:bCs/>
                              </w:rPr>
                              <w:t>Dose</w:t>
                            </w:r>
                            <w:r w:rsidRPr="00DC7ECC">
                              <w:rPr>
                                <w:rFonts w:cs="Arial"/>
                              </w:rPr>
                              <w:t xml:space="preserve"> – an individual antimicrobial dose administered either immediately prior to or during or after the surgical procedure</w:t>
                            </w:r>
                          </w:p>
                          <w:p w14:paraId="0D3711F9" w14:textId="77777777" w:rsidR="00572F25" w:rsidRPr="00DC7ECC" w:rsidRDefault="00572F25" w:rsidP="00572F25">
                            <w:pPr>
                              <w:pStyle w:val="Notes"/>
                              <w:spacing w:after="120"/>
                              <w:contextualSpacing w:val="0"/>
                              <w:rPr>
                                <w:rFonts w:cs="Arial"/>
                              </w:rPr>
                            </w:pPr>
                            <w:r w:rsidRPr="00AD3B5B">
                              <w:rPr>
                                <w:rFonts w:cs="Arial"/>
                                <w:b/>
                                <w:bCs/>
                              </w:rPr>
                              <w:t>Prescription</w:t>
                            </w:r>
                            <w:r w:rsidRPr="00DC7ECC">
                              <w:rPr>
                                <w:rFonts w:cs="Arial"/>
                              </w:rPr>
                              <w:t xml:space="preserve"> – any antimicrobial prescribed either</w:t>
                            </w:r>
                            <w:r>
                              <w:rPr>
                                <w:rFonts w:cs="Arial"/>
                              </w:rPr>
                              <w:t xml:space="preserve"> as</w:t>
                            </w:r>
                            <w:r w:rsidRPr="00DC7ECC">
                              <w:rPr>
                                <w:rFonts w:cs="Arial"/>
                              </w:rPr>
                              <w:t xml:space="preserve"> a single dose or as a course following the surgical procedure</w:t>
                            </w:r>
                          </w:p>
                          <w:p w14:paraId="14B932A9" w14:textId="77777777" w:rsidR="00572F25" w:rsidRPr="00262DE5" w:rsidRDefault="00572F25" w:rsidP="00572F25">
                            <w:pPr>
                              <w:pStyle w:val="Notes"/>
                              <w:spacing w:after="120"/>
                              <w:contextualSpacing w:val="0"/>
                            </w:pPr>
                            <w:r w:rsidRPr="00AD3B5B">
                              <w:rPr>
                                <w:b/>
                                <w:bCs/>
                              </w:rPr>
                              <w:t>Existing antimicrobial</w:t>
                            </w:r>
                            <w:r w:rsidRPr="00262DE5">
                              <w:t xml:space="preserve"> – an antimicrobial prescribed for treatment or prophylaxis in the 24 hours prior (72 hours if on dialysis) to the procedure, used to determine the appropriateness of whether procedural antimicrobials were given or not given</w:t>
                            </w:r>
                          </w:p>
                          <w:p w14:paraId="1FD92F86" w14:textId="77777777" w:rsidR="00572F25" w:rsidRPr="00262DE5" w:rsidRDefault="00572F25" w:rsidP="00572F25">
                            <w:pPr>
                              <w:pStyle w:val="Notes"/>
                              <w:spacing w:after="120"/>
                              <w:contextualSpacing w:val="0"/>
                            </w:pPr>
                            <w:r w:rsidRPr="00AD3B5B">
                              <w:rPr>
                                <w:b/>
                                <w:bCs/>
                              </w:rPr>
                              <w:t>Procedural antimicrobial</w:t>
                            </w:r>
                            <w:r w:rsidRPr="00262DE5">
                              <w:t xml:space="preserve"> – an antimicrobial administered either immediately prior to or during the surgical procedure for the purpose of prophylaxis; each initial and repeat dose of the antimicrobial administered is recorded individually</w:t>
                            </w:r>
                          </w:p>
                          <w:p w14:paraId="6A00EF02" w14:textId="77777777" w:rsidR="00572F25" w:rsidRPr="00262DE5" w:rsidRDefault="00572F25" w:rsidP="00572F25">
                            <w:pPr>
                              <w:pStyle w:val="Notes"/>
                              <w:spacing w:after="120"/>
                              <w:contextualSpacing w:val="0"/>
                            </w:pPr>
                            <w:r w:rsidRPr="00AD3B5B">
                              <w:rPr>
                                <w:b/>
                                <w:bCs/>
                              </w:rPr>
                              <w:t>Post-procedural antimicrobial</w:t>
                            </w:r>
                            <w:r w:rsidRPr="00262DE5">
                              <w:t xml:space="preserve"> – an antimicrobial prescribed following, but directly relating to, the procedure; each prescription of the antimicrobial is recorded, including any inpatient or discharge scripts</w:t>
                            </w:r>
                          </w:p>
                          <w:p w14:paraId="40DE1CEF" w14:textId="77777777" w:rsidR="00572F25" w:rsidRPr="00262DE5" w:rsidRDefault="00572F25" w:rsidP="00572F25">
                            <w:pPr>
                              <w:pStyle w:val="Notes"/>
                              <w:spacing w:after="120"/>
                              <w:contextualSpacing w:val="0"/>
                            </w:pPr>
                            <w:r w:rsidRPr="00AD3B5B">
                              <w:rPr>
                                <w:b/>
                                <w:bCs/>
                              </w:rPr>
                              <w:t>Initial dose</w:t>
                            </w:r>
                            <w:r w:rsidRPr="00262DE5">
                              <w:t xml:space="preserve"> – the first dose of an antimicrobial administered either immediately prior to or during the surgical procedure for the purpose of prophylaxis</w:t>
                            </w:r>
                          </w:p>
                          <w:p w14:paraId="2408C44F" w14:textId="77777777" w:rsidR="00572F25" w:rsidRPr="00262DE5" w:rsidRDefault="00572F25" w:rsidP="00572F25">
                            <w:pPr>
                              <w:pStyle w:val="Notes"/>
                              <w:spacing w:after="120"/>
                              <w:contextualSpacing w:val="0"/>
                            </w:pPr>
                            <w:r w:rsidRPr="00AD3B5B">
                              <w:rPr>
                                <w:b/>
                                <w:bCs/>
                              </w:rPr>
                              <w:t>Repeat dose</w:t>
                            </w:r>
                            <w:r w:rsidRPr="00262DE5">
                              <w:t xml:space="preserve"> – any subsequent dose of an antimicrobial administered during the surgical procedure for the purpose of prophylaxis</w:t>
                            </w:r>
                          </w:p>
                          <w:p w14:paraId="7F5FC91C" w14:textId="77777777" w:rsidR="00572F25" w:rsidRPr="00262DE5" w:rsidRDefault="00572F25" w:rsidP="00572F25">
                            <w:pPr>
                              <w:pStyle w:val="Notes"/>
                              <w:spacing w:after="120"/>
                              <w:contextualSpacing w:val="0"/>
                            </w:pPr>
                            <w:r w:rsidRPr="00AD3B5B">
                              <w:rPr>
                                <w:b/>
                                <w:bCs/>
                              </w:rPr>
                              <w:t>Prophylaxis</w:t>
                            </w:r>
                            <w:r w:rsidRPr="00262DE5">
                              <w:t xml:space="preserve"> – an antimicrobial prescribed for the prevention of surg</w:t>
                            </w:r>
                            <w:r>
                              <w:t>ery-</w:t>
                            </w:r>
                            <w:r w:rsidRPr="00262DE5">
                              <w:t>related infection</w:t>
                            </w:r>
                          </w:p>
                          <w:p w14:paraId="18B34324" w14:textId="77777777" w:rsidR="00572F25" w:rsidRPr="00262DE5" w:rsidRDefault="00572F25" w:rsidP="00572F25">
                            <w:pPr>
                              <w:pStyle w:val="Notes"/>
                              <w:spacing w:after="120"/>
                              <w:contextualSpacing w:val="0"/>
                            </w:pPr>
                            <w:r w:rsidRPr="00AD3B5B">
                              <w:rPr>
                                <w:b/>
                                <w:bCs/>
                              </w:rPr>
                              <w:t>Treatment</w:t>
                            </w:r>
                            <w:r w:rsidRPr="00262DE5">
                              <w:t xml:space="preserve"> – an antimicrobial prescribed for the treatment of infection related to the procedure</w:t>
                            </w:r>
                          </w:p>
                          <w:p w14:paraId="30237B3E" w14:textId="77777777" w:rsidR="00572F25" w:rsidRPr="00262DE5" w:rsidRDefault="00572F25" w:rsidP="00572F25">
                            <w:pPr>
                              <w:pStyle w:val="Notes"/>
                              <w:spacing w:after="120"/>
                              <w:contextualSpacing w:val="0"/>
                            </w:pPr>
                            <w:r w:rsidRPr="00AD3B5B">
                              <w:rPr>
                                <w:b/>
                                <w:bCs/>
                              </w:rPr>
                              <w:t xml:space="preserve">Episodes where no prescriptions were for prophylaxis </w:t>
                            </w:r>
                            <w:r w:rsidRPr="00262DE5">
                              <w:t xml:space="preserve">– </w:t>
                            </w:r>
                            <w:r w:rsidRPr="00262DE5">
                              <w:rPr>
                                <w:bCs/>
                              </w:rPr>
                              <w:t xml:space="preserve">any episode where all prescribed antimicrobials are recorded as for ‘treatment’ and/or ‘not assessable’ </w:t>
                            </w:r>
                          </w:p>
                        </w:txbxContent>
                      </wps:txbx>
                      <wps:bodyPr rot="0" vert="horz" wrap="square" lIns="91440" tIns="45720" rIns="91440" bIns="45720" anchor="t" anchorCtr="0">
                        <a:noAutofit/>
                      </wps:bodyPr>
                    </wps:wsp>
                  </a:graphicData>
                </a:graphic>
              </wp:inline>
            </w:drawing>
          </mc:Choice>
          <mc:Fallback>
            <w:pict>
              <v:shapetype w14:anchorId="5A1697A1" id="_x0000_t202" coordsize="21600,21600" o:spt="202" path="m,l,21600r21600,l21600,xe">
                <v:stroke joinstyle="miter"/>
                <v:path gradientshapeok="t" o:connecttype="rect"/>
              </v:shapetype>
              <v:shape id="Text Box 56" o:spid="_x0000_s1026" type="#_x0000_t202" style="width:501.75pt;height:30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" fillcolor="#d4d8e8 [660]" strokecolor="#3f4a75 [3215]" strokeweight="2.25pt">
                <o:lock v:ext="edit" aspectratio="t"/>
                <v:textbox>
                  <w:txbxContent>
                    <w:p w14:paraId="1C23BBE1" w14:textId="77777777" w:rsidR="00572F25" w:rsidRPr="0016630C" w:rsidRDefault="00572F25" w:rsidP="00572F25">
                      <w:pPr>
                        <w:pStyle w:val="Notes"/>
                        <w:contextualSpacing w:val="0"/>
                        <w:rPr>
                          <w:bCs/>
                        </w:rPr>
                      </w:pPr>
                      <w:r w:rsidRPr="00AD3B5B">
                        <w:rPr>
                          <w:b/>
                          <w:bCs/>
                        </w:rPr>
                        <w:t>Legend</w:t>
                      </w:r>
                    </w:p>
                    <w:p w14:paraId="21EB648E" w14:textId="77777777" w:rsidR="00572F25" w:rsidRPr="00262DE5" w:rsidRDefault="00572F25" w:rsidP="00572F25">
                      <w:pPr>
                        <w:pStyle w:val="Notes"/>
                        <w:spacing w:after="120"/>
                        <w:contextualSpacing w:val="0"/>
                      </w:pPr>
                      <w:r w:rsidRPr="00AD3B5B">
                        <w:rPr>
                          <w:b/>
                          <w:bCs/>
                        </w:rPr>
                        <w:t>Episode</w:t>
                      </w:r>
                      <w:r w:rsidRPr="00262DE5">
                        <w:t xml:space="preserve"> – an individual procedure or set of procedures performed together during one surgical session and the subsequent post-procedural care associated with the procedure(s)</w:t>
                      </w:r>
                    </w:p>
                    <w:p w14:paraId="5E7D6FCE" w14:textId="77777777" w:rsidR="00572F25" w:rsidRPr="00DC7ECC" w:rsidRDefault="00572F25" w:rsidP="00572F25">
                      <w:pPr>
                        <w:pStyle w:val="Notes"/>
                        <w:spacing w:after="120"/>
                        <w:contextualSpacing w:val="0"/>
                        <w:rPr>
                          <w:rFonts w:cs="Arial"/>
                        </w:rPr>
                      </w:pPr>
                      <w:r w:rsidRPr="00AD3B5B">
                        <w:rPr>
                          <w:rFonts w:cs="Arial"/>
                          <w:b/>
                          <w:bCs/>
                        </w:rPr>
                        <w:t>Dose</w:t>
                      </w:r>
                      <w:r w:rsidRPr="00DC7ECC">
                        <w:rPr>
                          <w:rFonts w:cs="Arial"/>
                        </w:rPr>
                        <w:t xml:space="preserve"> – an individual antimicrobial dose administered either immediately prior to or during or after the surgical procedure</w:t>
                      </w:r>
                    </w:p>
                    <w:p w14:paraId="0D3711F9" w14:textId="77777777" w:rsidR="00572F25" w:rsidRPr="00DC7ECC" w:rsidRDefault="00572F25" w:rsidP="00572F25">
                      <w:pPr>
                        <w:pStyle w:val="Notes"/>
                        <w:spacing w:after="120"/>
                        <w:contextualSpacing w:val="0"/>
                        <w:rPr>
                          <w:rFonts w:cs="Arial"/>
                        </w:rPr>
                      </w:pPr>
                      <w:r w:rsidRPr="00AD3B5B">
                        <w:rPr>
                          <w:rFonts w:cs="Arial"/>
                          <w:b/>
                          <w:bCs/>
                        </w:rPr>
                        <w:t>Prescription</w:t>
                      </w:r>
                      <w:r w:rsidRPr="00DC7ECC">
                        <w:rPr>
                          <w:rFonts w:cs="Arial"/>
                        </w:rPr>
                        <w:t xml:space="preserve"> – any antimicrobial prescribed either</w:t>
                      </w:r>
                      <w:r>
                        <w:rPr>
                          <w:rFonts w:cs="Arial"/>
                        </w:rPr>
                        <w:t xml:space="preserve"> as</w:t>
                      </w:r>
                      <w:r w:rsidRPr="00DC7ECC">
                        <w:rPr>
                          <w:rFonts w:cs="Arial"/>
                        </w:rPr>
                        <w:t xml:space="preserve"> a single dose or as a course following the surgical procedure</w:t>
                      </w:r>
                    </w:p>
                    <w:p w14:paraId="14B932A9" w14:textId="77777777" w:rsidR="00572F25" w:rsidRPr="00262DE5" w:rsidRDefault="00572F25" w:rsidP="00572F25">
                      <w:pPr>
                        <w:pStyle w:val="Notes"/>
                        <w:spacing w:after="120"/>
                        <w:contextualSpacing w:val="0"/>
                      </w:pPr>
                      <w:r w:rsidRPr="00AD3B5B">
                        <w:rPr>
                          <w:b/>
                          <w:bCs/>
                        </w:rPr>
                        <w:t>Existing antimicrobial</w:t>
                      </w:r>
                      <w:r w:rsidRPr="00262DE5">
                        <w:t xml:space="preserve"> – an antimicrobial prescribed for treatment or prophylaxis in the 24 hours prior (72 hours if on dialysis) to the procedure, used to determine the appropriateness of whether procedural antimicrobials were given or not given</w:t>
                      </w:r>
                    </w:p>
                    <w:p w14:paraId="1FD92F86" w14:textId="77777777" w:rsidR="00572F25" w:rsidRPr="00262DE5" w:rsidRDefault="00572F25" w:rsidP="00572F25">
                      <w:pPr>
                        <w:pStyle w:val="Notes"/>
                        <w:spacing w:after="120"/>
                        <w:contextualSpacing w:val="0"/>
                      </w:pPr>
                      <w:r w:rsidRPr="00AD3B5B">
                        <w:rPr>
                          <w:b/>
                          <w:bCs/>
                        </w:rPr>
                        <w:t>Procedural antimicrobial</w:t>
                      </w:r>
                      <w:r w:rsidRPr="00262DE5">
                        <w:t xml:space="preserve"> – an antimicrobial administered either immediately prior to or during the surgical procedure for the purpose of prophylaxis; each initial and repeat dose of the antimicrobial administered is recorded individually</w:t>
                      </w:r>
                    </w:p>
                    <w:p w14:paraId="6A00EF02" w14:textId="77777777" w:rsidR="00572F25" w:rsidRPr="00262DE5" w:rsidRDefault="00572F25" w:rsidP="00572F25">
                      <w:pPr>
                        <w:pStyle w:val="Notes"/>
                        <w:spacing w:after="120"/>
                        <w:contextualSpacing w:val="0"/>
                      </w:pPr>
                      <w:r w:rsidRPr="00AD3B5B">
                        <w:rPr>
                          <w:b/>
                          <w:bCs/>
                        </w:rPr>
                        <w:t>Post-procedural antimicrobial</w:t>
                      </w:r>
                      <w:r w:rsidRPr="00262DE5">
                        <w:t xml:space="preserve"> – an antimicrobial prescribed following, but directly relating to, the procedure; each prescription of the antimicrobial is recorded, including any inpatient or discharge scripts</w:t>
                      </w:r>
                    </w:p>
                    <w:p w14:paraId="40DE1CEF" w14:textId="77777777" w:rsidR="00572F25" w:rsidRPr="00262DE5" w:rsidRDefault="00572F25" w:rsidP="00572F25">
                      <w:pPr>
                        <w:pStyle w:val="Notes"/>
                        <w:spacing w:after="120"/>
                        <w:contextualSpacing w:val="0"/>
                      </w:pPr>
                      <w:r w:rsidRPr="00AD3B5B">
                        <w:rPr>
                          <w:b/>
                          <w:bCs/>
                        </w:rPr>
                        <w:t>Initial dose</w:t>
                      </w:r>
                      <w:r w:rsidRPr="00262DE5">
                        <w:t xml:space="preserve"> – the first dose of an antimicrobial administered either immediately prior to or during the surgical procedure for the purpose of prophylaxis</w:t>
                      </w:r>
                    </w:p>
                    <w:p w14:paraId="2408C44F" w14:textId="77777777" w:rsidR="00572F25" w:rsidRPr="00262DE5" w:rsidRDefault="00572F25" w:rsidP="00572F25">
                      <w:pPr>
                        <w:pStyle w:val="Notes"/>
                        <w:spacing w:after="120"/>
                        <w:contextualSpacing w:val="0"/>
                      </w:pPr>
                      <w:r w:rsidRPr="00AD3B5B">
                        <w:rPr>
                          <w:b/>
                          <w:bCs/>
                        </w:rPr>
                        <w:t>Repeat dose</w:t>
                      </w:r>
                      <w:r w:rsidRPr="00262DE5">
                        <w:t xml:space="preserve"> – any subsequent dose of an antimicrobial administered during the surgical procedure for the purpose of prophylaxis</w:t>
                      </w:r>
                    </w:p>
                    <w:p w14:paraId="7F5FC91C" w14:textId="77777777" w:rsidR="00572F25" w:rsidRPr="00262DE5" w:rsidRDefault="00572F25" w:rsidP="00572F25">
                      <w:pPr>
                        <w:pStyle w:val="Notes"/>
                        <w:spacing w:after="120"/>
                        <w:contextualSpacing w:val="0"/>
                      </w:pPr>
                      <w:r w:rsidRPr="00AD3B5B">
                        <w:rPr>
                          <w:b/>
                          <w:bCs/>
                        </w:rPr>
                        <w:t>Prophylaxis</w:t>
                      </w:r>
                      <w:r w:rsidRPr="00262DE5">
                        <w:t xml:space="preserve"> – an antimicrobial prescribed for the prevention of surg</w:t>
                      </w:r>
                      <w:r>
                        <w:t>ery-</w:t>
                      </w:r>
                      <w:r w:rsidRPr="00262DE5">
                        <w:t>related infection</w:t>
                      </w:r>
                    </w:p>
                    <w:p w14:paraId="18B34324" w14:textId="77777777" w:rsidR="00572F25" w:rsidRPr="00262DE5" w:rsidRDefault="00572F25" w:rsidP="00572F25">
                      <w:pPr>
                        <w:pStyle w:val="Notes"/>
                        <w:spacing w:after="120"/>
                        <w:contextualSpacing w:val="0"/>
                      </w:pPr>
                      <w:r w:rsidRPr="00AD3B5B">
                        <w:rPr>
                          <w:b/>
                          <w:bCs/>
                        </w:rPr>
                        <w:t>Treatment</w:t>
                      </w:r>
                      <w:r w:rsidRPr="00262DE5">
                        <w:t xml:space="preserve"> – an antimicrobial prescribed for the treatment of infection related to the procedure</w:t>
                      </w:r>
                    </w:p>
                    <w:p w14:paraId="30237B3E" w14:textId="77777777" w:rsidR="00572F25" w:rsidRPr="00262DE5" w:rsidRDefault="00572F25" w:rsidP="00572F25">
                      <w:pPr>
                        <w:pStyle w:val="Notes"/>
                        <w:spacing w:after="120"/>
                        <w:contextualSpacing w:val="0"/>
                      </w:pPr>
                      <w:r w:rsidRPr="00AD3B5B">
                        <w:rPr>
                          <w:b/>
                          <w:bCs/>
                        </w:rPr>
                        <w:t xml:space="preserve">Episodes where no prescriptions were for prophylaxis </w:t>
                      </w:r>
                      <w:r w:rsidRPr="00262DE5">
                        <w:t xml:space="preserve">– </w:t>
                      </w:r>
                      <w:r w:rsidRPr="00262DE5">
                        <w:rPr>
                          <w:bCs/>
                        </w:rPr>
                        <w:t xml:space="preserve">any episode where all prescribed antimicrobials are recorded as for ‘treatment’ and/or ‘not assessable’ </w:t>
                      </w:r>
                    </w:p>
                  </w:txbxContent>
                </v:textbox>
                <w10:anchorlock/>
              </v:shape>
            </w:pict>
          </mc:Fallback>
        </mc:AlternateContent>
      </w:r>
    </w:p>
    <w:p w14:paraId="203174C2" w14:textId="77777777" w:rsidR="00572F25" w:rsidRDefault="000C01C1" w:rsidP="000C01C1">
      <w:pPr>
        <w:pStyle w:val="Heading3"/>
      </w:pPr>
      <w:proofErr w:type="gramStart"/>
      <w:r>
        <w:lastRenderedPageBreak/>
        <w:t xml:space="preserve">3.1.3  </w:t>
      </w:r>
      <w:r w:rsidR="00572F25">
        <w:t>Procedure</w:t>
      </w:r>
      <w:proofErr w:type="gramEnd"/>
      <w:r w:rsidR="00572F25">
        <w:t xml:space="preserve"> </w:t>
      </w:r>
      <w:r w:rsidR="00572F25" w:rsidRPr="006314FC">
        <w:t>groups</w:t>
      </w:r>
    </w:p>
    <w:p w14:paraId="24590335" w14:textId="77777777" w:rsidR="00572F25" w:rsidRPr="002A3F2F" w:rsidRDefault="00572F25" w:rsidP="00572F25">
      <w:pPr>
        <w:rPr>
          <w:highlight w:val="cyan"/>
        </w:rPr>
      </w:pPr>
      <w:r>
        <w:t xml:space="preserve">The highest number of procedures reported in the Surgical NAPS in 2021 were for orthopaedic </w:t>
      </w:r>
      <w:r w:rsidRPr="00A67589">
        <w:t>surgery</w:t>
      </w:r>
      <w:r>
        <w:t xml:space="preserve"> (21.0%)</w:t>
      </w:r>
      <w:r w:rsidRPr="00A67589">
        <w:t xml:space="preserve"> (Figure 3). Ophthalmology procedures accounted for 8</w:t>
      </w:r>
      <w:r>
        <w:t>.3</w:t>
      </w:r>
      <w:r w:rsidRPr="00A67589">
        <w:t>% of reported procedures</w:t>
      </w:r>
      <w:r>
        <w:t xml:space="preserve">. This </w:t>
      </w:r>
      <w:r w:rsidRPr="00A67589">
        <w:t xml:space="preserve">continues to be the specialty group with the largest change since the </w:t>
      </w:r>
      <w:r>
        <w:t xml:space="preserve">Surgical NAPS </w:t>
      </w:r>
      <w:r w:rsidRPr="00A67589">
        <w:t xml:space="preserve">2016 </w:t>
      </w:r>
      <w:r w:rsidRPr="00AD60E1">
        <w:t>pilot</w:t>
      </w:r>
      <w:r>
        <w:t>,</w:t>
      </w:r>
      <w:r w:rsidRPr="00AD60E1">
        <w:rPr>
          <w:vertAlign w:val="superscript"/>
        </w:rPr>
        <w:t>6</w:t>
      </w:r>
      <w:r>
        <w:t xml:space="preserve"> </w:t>
      </w:r>
      <w:r w:rsidRPr="00A67589">
        <w:t xml:space="preserve">with an increase </w:t>
      </w:r>
      <w:r w:rsidRPr="00AF3C89">
        <w:t>from 3.4% (Figure A4.</w:t>
      </w:r>
      <w:r w:rsidRPr="00DD1A52">
        <w:t>1). The proportion of facilities contributing data for procedure groups ranged from 11.6% (21 facilities) for thoracic surgery to 65.7% (119 facilities) for plastic and reconstructive surgery (Table A2.2).</w:t>
      </w:r>
      <w:r>
        <w:t xml:space="preserve">  </w:t>
      </w:r>
    </w:p>
    <w:p w14:paraId="05DCBBBC" w14:textId="77777777" w:rsidR="00572F25" w:rsidRPr="00AD106F" w:rsidRDefault="00572F25" w:rsidP="00572F25">
      <w:pPr>
        <w:pStyle w:val="Captions"/>
        <w:rPr>
          <w:noProof/>
        </w:rPr>
      </w:pPr>
      <w:r w:rsidRPr="00AD106F">
        <w:t>Figure 3:</w:t>
      </w:r>
      <w:r w:rsidRPr="00AD106F">
        <w:tab/>
        <w:t xml:space="preserve">Percentage of surgical episodes for each surgical procedure group*, </w:t>
      </w:r>
      <w:r w:rsidRPr="00AD106F">
        <w:rPr>
          <w:rFonts w:cs="Arial"/>
        </w:rPr>
        <w:t xml:space="preserve">Surgical </w:t>
      </w:r>
      <w:r>
        <w:rPr>
          <w:rFonts w:cs="Arial"/>
        </w:rPr>
        <w:t>NAPS</w:t>
      </w:r>
      <w:r w:rsidRPr="00AD106F">
        <w:t xml:space="preserve"> contributor facilities, 202</w:t>
      </w:r>
      <w:r>
        <w:t>1</w:t>
      </w:r>
      <w:r w:rsidRPr="00AD106F">
        <w:rPr>
          <w:noProof/>
        </w:rPr>
        <w:t xml:space="preserve"> </w:t>
      </w:r>
    </w:p>
    <w:p w14:paraId="001AC69C" w14:textId="77777777" w:rsidR="00572F25" w:rsidRDefault="00572F25" w:rsidP="00572F25">
      <w:pPr>
        <w:pStyle w:val="ListParagraph"/>
        <w:ind w:left="0"/>
      </w:pPr>
      <w:r>
        <w:rPr>
          <w:noProof/>
        </w:rPr>
        <w:drawing>
          <wp:inline distT="0" distB="0" distL="0" distR="0" wp14:anchorId="079980A8" wp14:editId="7B94BF06">
            <wp:extent cx="5857875" cy="3695700"/>
            <wp:effectExtent l="0" t="0" r="9525" b="0"/>
            <wp:docPr id="21" name="Chart 21" descr="This is a horizontal bar graph which  classifies the total surgical episodes reported to the 2021 Surgical NAPS into surgical procedure groups and shows the amount of procedures in each procedure group, expressed as a percentage of total surgical episodes.  "/>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E4201B3" w14:textId="77777777" w:rsidR="00572F25" w:rsidRPr="00715005" w:rsidRDefault="00572F25" w:rsidP="00572F25">
      <w:pPr>
        <w:pStyle w:val="Notes"/>
      </w:pPr>
      <w:r w:rsidRPr="00715005">
        <w:t>Note: Where there were multiple procedures per surgical episode, only the primary procedure group was included.</w:t>
      </w:r>
    </w:p>
    <w:p w14:paraId="6547FE41" w14:textId="77777777" w:rsidR="00572F25" w:rsidRPr="00715005" w:rsidRDefault="00572F25" w:rsidP="00572F25">
      <w:pPr>
        <w:pStyle w:val="Notes"/>
      </w:pPr>
      <w:r w:rsidRPr="00715005">
        <w:t>* n=10,927 surgical episodes</w:t>
      </w:r>
      <w:r>
        <w:t>.</w:t>
      </w:r>
    </w:p>
    <w:p w14:paraId="15F1DDC1" w14:textId="77777777" w:rsidR="00572F25" w:rsidRDefault="000C01C1" w:rsidP="000C01C1">
      <w:pPr>
        <w:pStyle w:val="Heading2"/>
      </w:pPr>
      <w:bookmarkStart w:id="93" w:name="_Toc126604235"/>
      <w:bookmarkStart w:id="94" w:name="_Toc126604315"/>
      <w:bookmarkStart w:id="95" w:name="_Toc126604523"/>
      <w:bookmarkStart w:id="96" w:name="_Toc126661411"/>
      <w:bookmarkStart w:id="97" w:name="_Toc126661448"/>
      <w:bookmarkStart w:id="98" w:name="_Toc126664203"/>
      <w:bookmarkStart w:id="99" w:name="_Toc126604236"/>
      <w:bookmarkStart w:id="100" w:name="_Toc126604316"/>
      <w:bookmarkStart w:id="101" w:name="_Toc126604524"/>
      <w:bookmarkStart w:id="102" w:name="_Toc126661412"/>
      <w:bookmarkStart w:id="103" w:name="_Toc126661449"/>
      <w:bookmarkStart w:id="104" w:name="_Toc126664204"/>
      <w:bookmarkStart w:id="105" w:name="_Toc126664205"/>
      <w:bookmarkEnd w:id="93"/>
      <w:bookmarkEnd w:id="94"/>
      <w:bookmarkEnd w:id="95"/>
      <w:bookmarkEnd w:id="96"/>
      <w:bookmarkEnd w:id="97"/>
      <w:bookmarkEnd w:id="98"/>
      <w:bookmarkEnd w:id="99"/>
      <w:bookmarkEnd w:id="100"/>
      <w:bookmarkEnd w:id="101"/>
      <w:bookmarkEnd w:id="102"/>
      <w:bookmarkEnd w:id="103"/>
      <w:bookmarkEnd w:id="104"/>
      <w:r>
        <w:t>3.2</w:t>
      </w:r>
      <w:r>
        <w:tab/>
      </w:r>
      <w:r w:rsidR="00572F25">
        <w:t>Key performance indicators</w:t>
      </w:r>
      <w:bookmarkEnd w:id="105"/>
    </w:p>
    <w:p w14:paraId="7AD4FC4B" w14:textId="77777777" w:rsidR="00572F25" w:rsidRDefault="000C01C1" w:rsidP="000C01C1">
      <w:pPr>
        <w:pStyle w:val="Heading3"/>
      </w:pPr>
      <w:proofErr w:type="gramStart"/>
      <w:r>
        <w:t xml:space="preserve">3.2.1  </w:t>
      </w:r>
      <w:r w:rsidR="00572F25" w:rsidRPr="00E2576F">
        <w:t>Documentation</w:t>
      </w:r>
      <w:proofErr w:type="gramEnd"/>
    </w:p>
    <w:p w14:paraId="57DFB883" w14:textId="77777777" w:rsidR="00572F25" w:rsidRDefault="00572F25" w:rsidP="00572F25">
      <w:pPr>
        <w:rPr>
          <w:rFonts w:cs="Arial"/>
        </w:rPr>
      </w:pPr>
      <w:r>
        <w:t>A consistent theme over the last 6 years is the suboptimal documentation of surgical incision and antimicrobial administration times.</w:t>
      </w:r>
    </w:p>
    <w:p w14:paraId="3CB66FC1" w14:textId="77777777" w:rsidR="00572F25" w:rsidRPr="00100E64" w:rsidRDefault="00572F25" w:rsidP="00572F25">
      <w:pPr>
        <w:rPr>
          <w:rFonts w:cs="Arial"/>
        </w:rPr>
      </w:pPr>
      <w:r w:rsidRPr="00100E64">
        <w:rPr>
          <w:rFonts w:cs="Arial"/>
        </w:rPr>
        <w:t xml:space="preserve">Of the </w:t>
      </w:r>
      <w:r>
        <w:rPr>
          <w:rFonts w:cs="Arial"/>
        </w:rPr>
        <w:t>10,150</w:t>
      </w:r>
      <w:r w:rsidRPr="00100E64">
        <w:rPr>
          <w:rFonts w:cs="Arial"/>
        </w:rPr>
        <w:t xml:space="preserve"> incisional procedures reported,</w:t>
      </w:r>
      <w:r>
        <w:rPr>
          <w:rFonts w:cs="Arial"/>
        </w:rPr>
        <w:t xml:space="preserve"> over</w:t>
      </w:r>
      <w:r w:rsidRPr="00100E64">
        <w:rPr>
          <w:rFonts w:cs="Arial"/>
        </w:rPr>
        <w:t xml:space="preserve"> </w:t>
      </w:r>
      <w:r>
        <w:rPr>
          <w:rFonts w:cs="Arial"/>
        </w:rPr>
        <w:t>three-quarters</w:t>
      </w:r>
      <w:r w:rsidRPr="00100E64">
        <w:rPr>
          <w:rFonts w:cs="Arial"/>
        </w:rPr>
        <w:t xml:space="preserve"> had a time of incision documented (n=</w:t>
      </w:r>
      <w:r>
        <w:rPr>
          <w:rFonts w:cs="Arial"/>
        </w:rPr>
        <w:t>7,774,</w:t>
      </w:r>
      <w:r w:rsidRPr="00100E64">
        <w:rPr>
          <w:rFonts w:cs="Arial"/>
        </w:rPr>
        <w:t xml:space="preserve"> </w:t>
      </w:r>
      <w:r>
        <w:rPr>
          <w:rFonts w:cs="Arial"/>
        </w:rPr>
        <w:t>76.6</w:t>
      </w:r>
      <w:r w:rsidRPr="00100E64">
        <w:rPr>
          <w:rFonts w:cs="Arial"/>
        </w:rPr>
        <w:t>%).</w:t>
      </w:r>
    </w:p>
    <w:p w14:paraId="3DEA03C0" w14:textId="77777777" w:rsidR="00572F25" w:rsidRPr="00F303AC" w:rsidRDefault="00572F25" w:rsidP="00572F25">
      <w:pPr>
        <w:rPr>
          <w:rFonts w:cs="Arial"/>
        </w:rPr>
      </w:pPr>
      <w:r w:rsidRPr="00F303AC">
        <w:rPr>
          <w:rFonts w:cs="Arial"/>
        </w:rPr>
        <w:t xml:space="preserve">Of the </w:t>
      </w:r>
      <w:r>
        <w:rPr>
          <w:rFonts w:cs="Arial"/>
        </w:rPr>
        <w:t>9,262</w:t>
      </w:r>
      <w:r w:rsidRPr="00F303AC">
        <w:rPr>
          <w:rFonts w:cs="Arial"/>
        </w:rPr>
        <w:t xml:space="preserve"> initial procedural doses prescribed, </w:t>
      </w:r>
      <w:r>
        <w:rPr>
          <w:rFonts w:cs="Arial"/>
        </w:rPr>
        <w:t>25.2</w:t>
      </w:r>
      <w:r w:rsidRPr="00F303AC">
        <w:rPr>
          <w:rFonts w:cs="Arial"/>
        </w:rPr>
        <w:t xml:space="preserve">% were recorded to the exact minute, and </w:t>
      </w:r>
      <w:r>
        <w:rPr>
          <w:rFonts w:cs="Arial"/>
        </w:rPr>
        <w:t>65.</w:t>
      </w:r>
      <w:r w:rsidRPr="00F303AC">
        <w:rPr>
          <w:rFonts w:cs="Arial"/>
        </w:rPr>
        <w:t>6% to the nearest 15 minutes. The remainder (</w:t>
      </w:r>
      <w:r>
        <w:rPr>
          <w:rFonts w:cs="Arial"/>
        </w:rPr>
        <w:t>9.2</w:t>
      </w:r>
      <w:r w:rsidRPr="00F303AC">
        <w:rPr>
          <w:rFonts w:cs="Arial"/>
        </w:rPr>
        <w:t xml:space="preserve">%) did not have a documented administration time. </w:t>
      </w:r>
    </w:p>
    <w:p w14:paraId="559E9EE9" w14:textId="77777777" w:rsidR="00572F25" w:rsidRDefault="00572F25" w:rsidP="00572F25">
      <w:r>
        <w:t xml:space="preserve">The timing of surgical prophylaxis is important to ensure high concentrations of antimicrobials at the time of surgical incision. Ensuring documentation of both incision and antimicrobial </w:t>
      </w:r>
      <w:r>
        <w:lastRenderedPageBreak/>
        <w:t xml:space="preserve">administration times may improve antimicrobial administration times and help prevent surgical site infections. </w:t>
      </w:r>
    </w:p>
    <w:p w14:paraId="41433965" w14:textId="77777777" w:rsidR="00572F25" w:rsidRDefault="00572F25" w:rsidP="00572F25">
      <w:r>
        <w:t>As electronic medical records are progressively implemented in Australia over time, we anticipate that this may support improvements in the documentation of surgical incision and antimicrobial administration times. In comparison to paper-based systems, electronic medical record systems have the capacity to prompt and require information that is otherwise routinely omitted (</w:t>
      </w:r>
      <w:r w:rsidRPr="001F20EC">
        <w:t>i.e.,</w:t>
      </w:r>
      <w:r>
        <w:t xml:space="preserve"> time of surgical incision and antimicrobial administration), as identified by the Surgical NAPS, to be entered.</w:t>
      </w:r>
    </w:p>
    <w:p w14:paraId="4AFDAEFC" w14:textId="77777777" w:rsidR="00572F25" w:rsidRDefault="000C01C1" w:rsidP="000C01C1">
      <w:pPr>
        <w:pStyle w:val="Heading3"/>
      </w:pPr>
      <w:proofErr w:type="gramStart"/>
      <w:r>
        <w:t xml:space="preserve">3.2.2  </w:t>
      </w:r>
      <w:r w:rsidR="00572F25">
        <w:t>Compliance</w:t>
      </w:r>
      <w:proofErr w:type="gramEnd"/>
      <w:r w:rsidR="00572F25">
        <w:t xml:space="preserve"> with </w:t>
      </w:r>
      <w:r w:rsidR="00572F25" w:rsidRPr="00E2576F">
        <w:t>prescribing</w:t>
      </w:r>
      <w:r w:rsidR="00572F25">
        <w:t xml:space="preserve"> guidelines</w:t>
      </w:r>
    </w:p>
    <w:p w14:paraId="012EC47B" w14:textId="77777777" w:rsidR="00572F25" w:rsidRDefault="00572F25" w:rsidP="00572F25">
      <w:pPr>
        <w:pStyle w:val="Heading4"/>
        <w:ind w:left="864" w:hanging="864"/>
      </w:pPr>
      <w:r>
        <w:t>Procedural prescribing</w:t>
      </w:r>
    </w:p>
    <w:p w14:paraId="7A34485F" w14:textId="77777777" w:rsidR="00572F25" w:rsidRDefault="00572F25" w:rsidP="00572F25">
      <w:pPr>
        <w:rPr>
          <w:rFonts w:cs="Arial"/>
        </w:rPr>
      </w:pPr>
      <w:r w:rsidRPr="4BEA40E9">
        <w:rPr>
          <w:rFonts w:cs="Arial"/>
        </w:rPr>
        <w:t>When no procedural antimicrobials were prescribed</w:t>
      </w:r>
      <w:r>
        <w:rPr>
          <w:rFonts w:cs="Arial"/>
        </w:rPr>
        <w:t xml:space="preserve"> (n=2,610)</w:t>
      </w:r>
      <w:r w:rsidRPr="4BEA40E9">
        <w:rPr>
          <w:rFonts w:cs="Arial"/>
        </w:rPr>
        <w:t xml:space="preserve">, </w:t>
      </w:r>
      <w:r>
        <w:t xml:space="preserve">guideline compliance (either with the </w:t>
      </w:r>
      <w:r w:rsidRPr="00AD3B5B">
        <w:t>Therapeutic Guidelines</w:t>
      </w:r>
      <w:r w:rsidRPr="005C336E">
        <w:rPr>
          <w:rFonts w:cs="Arial"/>
          <w:vertAlign w:val="superscript"/>
        </w:rPr>
        <w:t>1</w:t>
      </w:r>
      <w:r>
        <w:rPr>
          <w:rFonts w:cs="Arial"/>
          <w:vertAlign w:val="superscript"/>
        </w:rPr>
        <w:t>0</w:t>
      </w:r>
      <w:r>
        <w:t xml:space="preserve"> or with local guidelines) </w:t>
      </w:r>
      <w:r w:rsidRPr="0078081E">
        <w:t>was high (85.7%). Compliance</w:t>
      </w:r>
      <w:r w:rsidRPr="00A67589">
        <w:t xml:space="preserve"> with </w:t>
      </w:r>
      <w:r w:rsidRPr="00A67589">
        <w:rPr>
          <w:rFonts w:cs="Arial"/>
        </w:rPr>
        <w:t xml:space="preserve">prescribing </w:t>
      </w:r>
      <w:r w:rsidRPr="00A67589">
        <w:t>guidelines was lower when antimicrobials were prescribed (</w:t>
      </w:r>
      <w:r>
        <w:t>68.3</w:t>
      </w:r>
      <w:r w:rsidRPr="00A67589">
        <w:t>%) (Figure 4</w:t>
      </w:r>
      <w:r w:rsidRPr="00D854C3">
        <w:t>). Compliance</w:t>
      </w:r>
      <w:r w:rsidRPr="00D854C3">
        <w:rPr>
          <w:rFonts w:cs="Arial"/>
        </w:rPr>
        <w:t xml:space="preserve"> </w:t>
      </w:r>
      <w:r w:rsidRPr="00D854C3">
        <w:t>increased to 71.1%</w:t>
      </w:r>
      <w:r w:rsidRPr="00D854C3">
        <w:rPr>
          <w:rFonts w:cs="Arial"/>
        </w:rPr>
        <w:t xml:space="preserve"> when </w:t>
      </w:r>
      <w:r>
        <w:rPr>
          <w:rFonts w:cs="Arial"/>
        </w:rPr>
        <w:t>‘</w:t>
      </w:r>
      <w:r w:rsidRPr="00D854C3">
        <w:rPr>
          <w:rFonts w:cs="Arial"/>
        </w:rPr>
        <w:t>directed therapy</w:t>
      </w:r>
      <w:r>
        <w:rPr>
          <w:rFonts w:cs="Arial"/>
        </w:rPr>
        <w:t>’</w:t>
      </w:r>
      <w:r w:rsidRPr="00D854C3">
        <w:rPr>
          <w:rFonts w:cs="Arial"/>
        </w:rPr>
        <w:t xml:space="preserve">, </w:t>
      </w:r>
      <w:r>
        <w:rPr>
          <w:rFonts w:cs="Arial"/>
        </w:rPr>
        <w:t>‘</w:t>
      </w:r>
      <w:r w:rsidRPr="00D854C3">
        <w:rPr>
          <w:rFonts w:cs="Arial"/>
        </w:rPr>
        <w:t>no guidelines available</w:t>
      </w:r>
      <w:r>
        <w:rPr>
          <w:rFonts w:cs="Arial"/>
        </w:rPr>
        <w:t>’</w:t>
      </w:r>
      <w:r w:rsidRPr="00D854C3">
        <w:rPr>
          <w:rFonts w:cs="Arial"/>
        </w:rPr>
        <w:t xml:space="preserve"> and </w:t>
      </w:r>
      <w:r>
        <w:rPr>
          <w:rFonts w:cs="Arial"/>
        </w:rPr>
        <w:t>‘</w:t>
      </w:r>
      <w:r w:rsidRPr="00D854C3">
        <w:rPr>
          <w:rFonts w:cs="Arial"/>
        </w:rPr>
        <w:t>not assessable</w:t>
      </w:r>
      <w:r>
        <w:rPr>
          <w:rFonts w:cs="Arial"/>
        </w:rPr>
        <w:t>’</w:t>
      </w:r>
      <w:r w:rsidRPr="00D854C3">
        <w:rPr>
          <w:rFonts w:cs="Arial"/>
        </w:rPr>
        <w:t xml:space="preserve"> doses were excluded (n=9,215).</w:t>
      </w:r>
    </w:p>
    <w:p w14:paraId="42C94C5D" w14:textId="77777777" w:rsidR="00572F25" w:rsidRDefault="00572F25" w:rsidP="00572F25">
      <w:pPr>
        <w:rPr>
          <w:rFonts w:cs="Arial"/>
        </w:rPr>
      </w:pPr>
    </w:p>
    <w:p w14:paraId="3F8367B9" w14:textId="77777777" w:rsidR="00572F25" w:rsidRDefault="00572F25" w:rsidP="00572F25">
      <w:pPr>
        <w:pStyle w:val="Captions"/>
      </w:pPr>
      <w:r w:rsidRPr="00E366AA">
        <w:t>Figure 4:</w:t>
      </w:r>
      <w:r w:rsidRPr="00E366AA">
        <w:tab/>
      </w:r>
      <w:r w:rsidRPr="00715005">
        <w:t xml:space="preserve">Percentage of procedural antimicrobial doses* that were compliant with guidelines, Surgical NAPS contributor facilities, </w:t>
      </w:r>
      <w:proofErr w:type="gramStart"/>
      <w:r w:rsidRPr="00715005">
        <w:t>2021</w:t>
      </w:r>
      <w:proofErr w:type="gramEnd"/>
    </w:p>
    <w:p w14:paraId="37475180" w14:textId="460E769D" w:rsidR="00C05F79" w:rsidRDefault="00C05F79" w:rsidP="00572F25">
      <w:pPr>
        <w:pStyle w:val="Captions"/>
      </w:pPr>
      <w:r w:rsidRPr="00FF648D">
        <w:rPr>
          <w:noProof/>
        </w:rPr>
        <w:drawing>
          <wp:inline distT="0" distB="0" distL="0" distR="0" wp14:anchorId="33E93A14" wp14:editId="1C0511F2">
            <wp:extent cx="5941060" cy="2439002"/>
            <wp:effectExtent l="0" t="0" r="15240" b="12700"/>
            <wp:docPr id="5" name="Chart 1" descr="This is a bar graph which shows the percentage (and number) of procedural antimicrobial doses which were compliant with guidelines in contributing Surgical NAPS facilities in 20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A5BFD67" w14:textId="77777777" w:rsidR="00572F25" w:rsidRPr="0070324B" w:rsidRDefault="00572F25" w:rsidP="00572F25">
      <w:pPr>
        <w:pStyle w:val="Notes"/>
      </w:pPr>
      <w:r w:rsidRPr="0070324B">
        <w:rPr>
          <w:sz w:val="20"/>
          <w:szCs w:val="20"/>
        </w:rPr>
        <w:t xml:space="preserve">* </w:t>
      </w:r>
      <w:r>
        <w:t>n=9,599</w:t>
      </w:r>
      <w:r w:rsidRPr="0070324B">
        <w:t xml:space="preserve"> procedural antimicrobial doses</w:t>
      </w:r>
      <w:r>
        <w:t>.</w:t>
      </w:r>
    </w:p>
    <w:p w14:paraId="161534A8" w14:textId="77777777" w:rsidR="00572F25" w:rsidRPr="009429CD" w:rsidRDefault="00572F25" w:rsidP="00572F25">
      <w:pPr>
        <w:pStyle w:val="Notes"/>
      </w:pPr>
      <w:r w:rsidRPr="0070324B">
        <w:rPr>
          <w:rFonts w:cstheme="minorHAnsi"/>
          <w:vertAlign w:val="superscript"/>
        </w:rPr>
        <w:t>†</w:t>
      </w:r>
      <w:r>
        <w:rPr>
          <w:rFonts w:cstheme="minorHAnsi"/>
          <w:vertAlign w:val="superscript"/>
        </w:rPr>
        <w:t xml:space="preserve"> </w:t>
      </w:r>
      <w:r w:rsidRPr="0070324B">
        <w:t xml:space="preserve">Antibiotic Expert Group. </w:t>
      </w:r>
      <w:r w:rsidRPr="00AD3B5B">
        <w:t>Therapeutic Guidelines: Antibiotic</w:t>
      </w:r>
      <w:r w:rsidRPr="00720C31">
        <w:t>.</w:t>
      </w:r>
      <w:r w:rsidRPr="0070324B">
        <w:t xml:space="preserve"> Version 16. Melbourne: Therapeutic Guidelines Limited; 2019. </w:t>
      </w:r>
      <w:hyperlink r:id="rId36" w:history="1">
        <w:r w:rsidRPr="0070324B">
          <w:rPr>
            <w:color w:val="0000FF" w:themeColor="hyperlink"/>
            <w:u w:val="single"/>
          </w:rPr>
          <w:t>https://www.tg.org.au/</w:t>
        </w:r>
      </w:hyperlink>
    </w:p>
    <w:p w14:paraId="4691DB83" w14:textId="77777777" w:rsidR="00572F25" w:rsidRDefault="00572F25" w:rsidP="00572F25">
      <w:pPr>
        <w:pStyle w:val="Heading4"/>
        <w:ind w:left="864" w:hanging="864"/>
      </w:pPr>
      <w:r>
        <w:t>Post-procedural prescribing</w:t>
      </w:r>
    </w:p>
    <w:p w14:paraId="649EF932" w14:textId="77777777" w:rsidR="00572F25" w:rsidRPr="001C1639" w:rsidRDefault="00572F25" w:rsidP="00572F25">
      <w:pPr>
        <w:rPr>
          <w:rFonts w:cs="Arial"/>
        </w:rPr>
      </w:pPr>
      <w:r w:rsidRPr="00325FBB">
        <w:rPr>
          <w:rFonts w:cs="Arial"/>
        </w:rPr>
        <w:t>When no post</w:t>
      </w:r>
      <w:r>
        <w:rPr>
          <w:rFonts w:cs="Arial"/>
        </w:rPr>
        <w:t>-</w:t>
      </w:r>
      <w:r w:rsidRPr="00325FBB">
        <w:rPr>
          <w:rFonts w:cs="Arial"/>
        </w:rPr>
        <w:t>procedural antimicrobials were prescribed, non</w:t>
      </w:r>
      <w:r>
        <w:rPr>
          <w:rFonts w:cs="Arial"/>
        </w:rPr>
        <w:t>-</w:t>
      </w:r>
      <w:r w:rsidRPr="00325FBB">
        <w:rPr>
          <w:rFonts w:cs="Arial"/>
        </w:rPr>
        <w:t xml:space="preserve">compliance with guidelines was infrequent (0.4%). When </w:t>
      </w:r>
      <w:r>
        <w:rPr>
          <w:rFonts w:cs="Arial"/>
        </w:rPr>
        <w:t xml:space="preserve">they were </w:t>
      </w:r>
      <w:r w:rsidRPr="00325FBB">
        <w:rPr>
          <w:rFonts w:cs="Arial"/>
        </w:rPr>
        <w:t>prescribed, over half (57.2%) of post</w:t>
      </w:r>
      <w:r>
        <w:rPr>
          <w:rFonts w:cs="Arial"/>
        </w:rPr>
        <w:t>-</w:t>
      </w:r>
      <w:r w:rsidRPr="00325FBB">
        <w:rPr>
          <w:rFonts w:cs="Arial"/>
        </w:rPr>
        <w:t>procedural antimicrobial prophylaxis was non</w:t>
      </w:r>
      <w:r>
        <w:rPr>
          <w:rFonts w:cs="Arial"/>
        </w:rPr>
        <w:t>-</w:t>
      </w:r>
      <w:r w:rsidRPr="00325FBB">
        <w:rPr>
          <w:rFonts w:cs="Arial"/>
        </w:rPr>
        <w:t>compliant with guidelines (Figure 5). Non</w:t>
      </w:r>
      <w:r>
        <w:rPr>
          <w:rFonts w:cs="Arial"/>
        </w:rPr>
        <w:t>-</w:t>
      </w:r>
      <w:r w:rsidRPr="00325FBB">
        <w:rPr>
          <w:rFonts w:cs="Arial"/>
        </w:rPr>
        <w:t xml:space="preserve">compliance increased to 59.4%, when </w:t>
      </w:r>
      <w:r>
        <w:rPr>
          <w:rFonts w:cs="Arial"/>
        </w:rPr>
        <w:t>‘</w:t>
      </w:r>
      <w:r w:rsidRPr="00325FBB">
        <w:rPr>
          <w:rFonts w:cs="Arial"/>
        </w:rPr>
        <w:t>directed therapy</w:t>
      </w:r>
      <w:r>
        <w:rPr>
          <w:rFonts w:cs="Arial"/>
        </w:rPr>
        <w:t>’</w:t>
      </w:r>
      <w:r w:rsidRPr="00325FBB">
        <w:rPr>
          <w:rFonts w:cs="Arial"/>
        </w:rPr>
        <w:t xml:space="preserve">, </w:t>
      </w:r>
      <w:r>
        <w:rPr>
          <w:rFonts w:cs="Arial"/>
        </w:rPr>
        <w:t>‘</w:t>
      </w:r>
      <w:r w:rsidRPr="00325FBB">
        <w:rPr>
          <w:rFonts w:cs="Arial"/>
        </w:rPr>
        <w:t>no guidelines available</w:t>
      </w:r>
      <w:r>
        <w:rPr>
          <w:rFonts w:cs="Arial"/>
        </w:rPr>
        <w:t>’</w:t>
      </w:r>
      <w:r w:rsidRPr="00325FBB">
        <w:rPr>
          <w:rFonts w:cs="Arial"/>
        </w:rPr>
        <w:t xml:space="preserve"> and </w:t>
      </w:r>
      <w:r>
        <w:rPr>
          <w:rFonts w:cs="Arial"/>
        </w:rPr>
        <w:t>‘</w:t>
      </w:r>
      <w:r w:rsidRPr="00325FBB">
        <w:rPr>
          <w:rFonts w:cs="Arial"/>
        </w:rPr>
        <w:t>not assessable</w:t>
      </w:r>
      <w:r>
        <w:rPr>
          <w:rFonts w:cs="Arial"/>
        </w:rPr>
        <w:t>’</w:t>
      </w:r>
      <w:r w:rsidRPr="00325FBB">
        <w:rPr>
          <w:rFonts w:cs="Arial"/>
        </w:rPr>
        <w:t xml:space="preserve"> prescriptions were excluded.</w:t>
      </w:r>
    </w:p>
    <w:p w14:paraId="41CACD61" w14:textId="77777777" w:rsidR="00572F25" w:rsidRDefault="00572F25" w:rsidP="00572F25">
      <w:r>
        <w:lastRenderedPageBreak/>
        <w:t>Compliance with national prescribing guidelines</w:t>
      </w:r>
      <w:r>
        <w:rPr>
          <w:vertAlign w:val="superscript"/>
        </w:rPr>
        <w:t>10</w:t>
      </w:r>
      <w:r>
        <w:t xml:space="preserve"> continues to be poor, generally due to prolonged durations of oral, </w:t>
      </w:r>
      <w:proofErr w:type="gramStart"/>
      <w:r>
        <w:t>ocular</w:t>
      </w:r>
      <w:proofErr w:type="gramEnd"/>
      <w:r>
        <w:t xml:space="preserve"> and topical antimicrobials post-procedurally. These represent niche targeted areas for antimicrobial stewardship and quality improvement intervention. </w:t>
      </w:r>
    </w:p>
    <w:p w14:paraId="1C35D064" w14:textId="77777777" w:rsidR="00572F25" w:rsidRDefault="00572F25" w:rsidP="00572F25">
      <w:r>
        <w:t xml:space="preserve">Post-procedural extended use of oral or topical antimicrobials is not recommended by these guidelines and should be discouraged. Antimicrobials should only be prescribed when the evidence supports their use. </w:t>
      </w:r>
    </w:p>
    <w:p w14:paraId="5788511C" w14:textId="77777777" w:rsidR="00572F25" w:rsidRDefault="00572F25" w:rsidP="00572F25">
      <w:r>
        <w:t xml:space="preserve">In the absence of other nationally or locally endorsed guidelines, recommendations for optimal use of surgical antimicrobial prophylaxis in Australia are available in the </w:t>
      </w:r>
      <w:r w:rsidRPr="00AD3B5B">
        <w:t>Therapeutic Guidelines: Antibiotic</w:t>
      </w:r>
      <w:r w:rsidRPr="00720C31">
        <w:t>.</w:t>
      </w:r>
      <w:r>
        <w:rPr>
          <w:vertAlign w:val="superscript"/>
        </w:rPr>
        <w:t>10</w:t>
      </w:r>
    </w:p>
    <w:p w14:paraId="239C95A3" w14:textId="77777777" w:rsidR="00572F25" w:rsidRDefault="00572F25" w:rsidP="00572F25">
      <w:pPr>
        <w:pStyle w:val="Captions"/>
      </w:pPr>
      <w:r>
        <w:t>Figure 5</w:t>
      </w:r>
      <w:r w:rsidRPr="00E366AA">
        <w:t>:</w:t>
      </w:r>
      <w:r w:rsidRPr="00E366AA">
        <w:tab/>
        <w:t xml:space="preserve">Percentage of </w:t>
      </w:r>
      <w:r>
        <w:t>post-</w:t>
      </w:r>
      <w:r w:rsidRPr="00E366AA">
        <w:t xml:space="preserve">procedural </w:t>
      </w:r>
      <w:r w:rsidR="0064219E">
        <w:t xml:space="preserve">prophylactic </w:t>
      </w:r>
      <w:r w:rsidRPr="00E366AA">
        <w:t>antimicrobial doses*</w:t>
      </w:r>
      <w:r>
        <w:t xml:space="preserve"> that were </w:t>
      </w:r>
      <w:r w:rsidRPr="00E366AA">
        <w:t>complian</w:t>
      </w:r>
      <w:r>
        <w:t>t</w:t>
      </w:r>
      <w:r w:rsidRPr="00E366AA">
        <w:t xml:space="preserve"> with guidelines, Surgical </w:t>
      </w:r>
      <w:r>
        <w:t>NAPS</w:t>
      </w:r>
      <w:r w:rsidRPr="00715005">
        <w:t xml:space="preserve"> </w:t>
      </w:r>
      <w:r w:rsidRPr="00E366AA">
        <w:t xml:space="preserve">contributor facilities, </w:t>
      </w:r>
      <w:proofErr w:type="gramStart"/>
      <w:r w:rsidRPr="00E366AA">
        <w:t>202</w:t>
      </w:r>
      <w:r>
        <w:t>1</w:t>
      </w:r>
      <w:proofErr w:type="gramEnd"/>
    </w:p>
    <w:p w14:paraId="4925485C" w14:textId="77777777" w:rsidR="0064219E" w:rsidRDefault="0064219E" w:rsidP="00572F25">
      <w:pPr>
        <w:pStyle w:val="Captions"/>
      </w:pPr>
      <w:r>
        <w:rPr>
          <w:noProof/>
        </w:rPr>
        <w:drawing>
          <wp:inline distT="0" distB="0" distL="0" distR="0" wp14:anchorId="63C76398" wp14:editId="7D134D67">
            <wp:extent cx="5767070" cy="3535680"/>
            <wp:effectExtent l="0" t="0" r="5080" b="7620"/>
            <wp:docPr id="10" name="Picture 10" descr="This is a bar graph showing the percentage of post-procedural prophylactic antimicrobial doses that were compliant with guidelines, Surgical NAPS contributor facilities,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is is a bar graph showing the percentage of post-procedural prophylactic antimicrobial doses that were compliant with guidelines, Surgical NAPS contributor facilities, 20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7070" cy="3535680"/>
                    </a:xfrm>
                    <a:prstGeom prst="rect">
                      <a:avLst/>
                    </a:prstGeom>
                    <a:noFill/>
                  </pic:spPr>
                </pic:pic>
              </a:graphicData>
            </a:graphic>
          </wp:inline>
        </w:drawing>
      </w:r>
    </w:p>
    <w:p w14:paraId="3655C977" w14:textId="77777777" w:rsidR="00572F25" w:rsidRPr="00121D8A" w:rsidRDefault="00572F25" w:rsidP="00572F25">
      <w:pPr>
        <w:pStyle w:val="Notes"/>
      </w:pPr>
      <w:r w:rsidRPr="00121D8A">
        <w:t>* n=</w:t>
      </w:r>
      <w:r>
        <w:t>4,585</w:t>
      </w:r>
      <w:r w:rsidRPr="00121D8A">
        <w:t xml:space="preserve"> prescriptions for post</w:t>
      </w:r>
      <w:r>
        <w:t>-</w:t>
      </w:r>
      <w:r w:rsidRPr="00121D8A">
        <w:t>procedural prophylaxis</w:t>
      </w:r>
      <w:r>
        <w:t>.</w:t>
      </w:r>
    </w:p>
    <w:p w14:paraId="141E9E1E" w14:textId="77777777" w:rsidR="00572F25" w:rsidRPr="00AD3B5B" w:rsidRDefault="00572F25" w:rsidP="00572F25">
      <w:pPr>
        <w:pStyle w:val="Notes"/>
        <w:rPr>
          <w:highlight w:val="cyan"/>
        </w:rPr>
      </w:pPr>
      <w:r w:rsidRPr="4BEA40E9">
        <w:rPr>
          <w:rFonts w:cstheme="minorBidi"/>
          <w:vertAlign w:val="superscript"/>
        </w:rPr>
        <w:t xml:space="preserve">† </w:t>
      </w:r>
      <w:r w:rsidRPr="4BEA40E9">
        <w:t xml:space="preserve">Antibiotic Expert Group. </w:t>
      </w:r>
      <w:r w:rsidRPr="00AD3B5B">
        <w:t>Therapeutic Guidelines: Antibiotic</w:t>
      </w:r>
      <w:r w:rsidRPr="00720C31">
        <w:t>.</w:t>
      </w:r>
      <w:r w:rsidRPr="4BEA40E9">
        <w:t xml:space="preserve"> Version 16. Melbourne: Therapeutic Guidelines Limited; 2019. </w:t>
      </w:r>
      <w:hyperlink r:id="rId38">
        <w:r w:rsidRPr="4BEA40E9">
          <w:rPr>
            <w:color w:val="8B3B1D"/>
            <w:u w:val="single"/>
          </w:rPr>
          <w:t>https://www.tg.org.au/</w:t>
        </w:r>
      </w:hyperlink>
    </w:p>
    <w:p w14:paraId="75A4AE1A" w14:textId="77777777" w:rsidR="00572F25" w:rsidRDefault="000C01C1" w:rsidP="000C01C1">
      <w:pPr>
        <w:pStyle w:val="Heading3"/>
      </w:pPr>
      <w:proofErr w:type="gramStart"/>
      <w:r>
        <w:t xml:space="preserve">3.2.3  </w:t>
      </w:r>
      <w:r w:rsidR="00572F25">
        <w:t>Overall</w:t>
      </w:r>
      <w:proofErr w:type="gramEnd"/>
      <w:r w:rsidR="00572F25">
        <w:t xml:space="preserve"> </w:t>
      </w:r>
      <w:r w:rsidR="00572F25" w:rsidRPr="00FB32BF">
        <w:t>appropriateness</w:t>
      </w:r>
      <w:r w:rsidR="00572F25">
        <w:t xml:space="preserve"> of prescribing</w:t>
      </w:r>
    </w:p>
    <w:p w14:paraId="49B8070B" w14:textId="77777777" w:rsidR="00572F25" w:rsidRDefault="00572F25" w:rsidP="00572F25">
      <w:pPr>
        <w:rPr>
          <w:rFonts w:cs="Arial"/>
        </w:rPr>
      </w:pPr>
      <w:r w:rsidRPr="00CF1D90">
        <w:rPr>
          <w:rFonts w:cs="Arial"/>
        </w:rPr>
        <w:t xml:space="preserve">Prescribing was assessed as inappropriate for </w:t>
      </w:r>
      <w:r>
        <w:rPr>
          <w:rFonts w:cs="Arial"/>
        </w:rPr>
        <w:t>38.3</w:t>
      </w:r>
      <w:r w:rsidRPr="00CF1D90">
        <w:rPr>
          <w:rFonts w:cs="Arial"/>
        </w:rPr>
        <w:t xml:space="preserve">% of all surgical </w:t>
      </w:r>
      <w:r w:rsidRPr="00A67589">
        <w:rPr>
          <w:rFonts w:cs="Arial"/>
        </w:rPr>
        <w:t>episodes (Figure 6). The</w:t>
      </w:r>
      <w:r w:rsidRPr="00CF1D90">
        <w:rPr>
          <w:rFonts w:cs="Arial"/>
        </w:rPr>
        <w:t xml:space="preserve"> percentage of episodes deemed inappropriate varied by procedure group, ranging from </w:t>
      </w:r>
      <w:r>
        <w:rPr>
          <w:rFonts w:cs="Arial"/>
        </w:rPr>
        <w:t>1.7</w:t>
      </w:r>
      <w:r w:rsidRPr="00CF1D90">
        <w:rPr>
          <w:rFonts w:cs="Arial"/>
        </w:rPr>
        <w:t xml:space="preserve">% for gastrointestinal endoscopic procedures, to </w:t>
      </w:r>
      <w:r>
        <w:rPr>
          <w:rFonts w:cs="Arial"/>
        </w:rPr>
        <w:t>58.6</w:t>
      </w:r>
      <w:r w:rsidRPr="00CF1D90">
        <w:rPr>
          <w:rFonts w:cs="Arial"/>
        </w:rPr>
        <w:t xml:space="preserve">% for breast surgery. All procedure groups had an inappropriateness rate greater than </w:t>
      </w:r>
      <w:r>
        <w:rPr>
          <w:rFonts w:cs="Arial"/>
        </w:rPr>
        <w:t>25</w:t>
      </w:r>
      <w:r w:rsidRPr="00CF1D90">
        <w:rPr>
          <w:rFonts w:cs="Arial"/>
        </w:rPr>
        <w:t>%, apart from gastroi</w:t>
      </w:r>
      <w:r>
        <w:rPr>
          <w:rFonts w:cs="Arial"/>
        </w:rPr>
        <w:t xml:space="preserve">ntestinal endoscopic procedures. </w:t>
      </w:r>
    </w:p>
    <w:p w14:paraId="33F3048B" w14:textId="77777777" w:rsidR="00572F25" w:rsidRDefault="00572F25" w:rsidP="00572F25">
      <w:pPr>
        <w:rPr>
          <w:rFonts w:cs="Arial"/>
        </w:rPr>
      </w:pPr>
      <w:r>
        <w:rPr>
          <w:rFonts w:cs="Arial"/>
        </w:rPr>
        <w:t>High rates of appropriateness for gastrointestinal endoscopic procedures are consistent every year and are expected as surgical antimicrobial prophylaxis is not routinely required. Only 3.6% of all gastrointestinal endoscopic procedures included at least one antimicrobial dose (Table A3.7).</w:t>
      </w:r>
    </w:p>
    <w:p w14:paraId="0D021048" w14:textId="77777777" w:rsidR="00572F25" w:rsidRDefault="00572F25" w:rsidP="00572F25">
      <w:pPr>
        <w:rPr>
          <w:rFonts w:cs="Arial"/>
        </w:rPr>
      </w:pPr>
      <w:r>
        <w:rPr>
          <w:rFonts w:cs="Arial"/>
        </w:rPr>
        <w:t xml:space="preserve">In comparison to the 2020 report, inappropriateness of dentoalveolar surgery increased from 36.5% to 55.9%. This is largely due to the reduction in doses deemed ‘not assessable’ (5.0% </w:t>
      </w:r>
      <w:r>
        <w:rPr>
          <w:rFonts w:cs="Arial"/>
        </w:rPr>
        <w:lastRenderedPageBreak/>
        <w:t>compared to 34.1% in 2020). Potential reasons for this may be improvements in auditor assessments and clinical documentation over time.</w:t>
      </w:r>
    </w:p>
    <w:p w14:paraId="23374E15" w14:textId="77777777" w:rsidR="00572F25" w:rsidRDefault="00572F25" w:rsidP="00572F25">
      <w:pPr>
        <w:pStyle w:val="Captions"/>
      </w:pPr>
      <w:r w:rsidRPr="00715005">
        <w:t>Figure 6:</w:t>
      </w:r>
      <w:r w:rsidRPr="00715005">
        <w:tab/>
        <w:t xml:space="preserve">Percentage of episodes by appropriateness* of prescribing for each </w:t>
      </w:r>
      <w:r w:rsidRPr="00715005">
        <w:br/>
        <w:t xml:space="preserve">surgical procedure group, Surgical </w:t>
      </w:r>
      <w:r>
        <w:t>NAPS</w:t>
      </w:r>
      <w:r w:rsidRPr="00715005">
        <w:t xml:space="preserve"> contributor facilities, 2021</w:t>
      </w:r>
    </w:p>
    <w:p w14:paraId="1BBB50C0" w14:textId="77777777" w:rsidR="00572F25" w:rsidRPr="00715005" w:rsidRDefault="00572F25" w:rsidP="00572F25">
      <w:pPr>
        <w:pStyle w:val="Captions"/>
      </w:pPr>
      <w:r>
        <w:rPr>
          <w:noProof/>
        </w:rPr>
        <w:drawing>
          <wp:inline distT="0" distB="0" distL="0" distR="0" wp14:anchorId="2BE02E39" wp14:editId="06227757">
            <wp:extent cx="6352540" cy="4420235"/>
            <wp:effectExtent l="0" t="0" r="0" b="0"/>
            <wp:docPr id="33" name="Picture 33" descr="This is a horizontal bar graph showing the appropriateness of prescribing for all surgical episodes reported to the 2021 Surgical NAPS, classified into procedure groups and expressed as a percentage of all surgical episodes in that procedure gro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his is a horizontal bar graph showing the appropriateness of prescribing for all surgical episodes reported to the 2021 Surgical NAPS, classified into procedure groups and expressed as a percentage of all surgical episodes in that procedure group.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52540" cy="4420235"/>
                    </a:xfrm>
                    <a:prstGeom prst="rect">
                      <a:avLst/>
                    </a:prstGeom>
                    <a:noFill/>
                  </pic:spPr>
                </pic:pic>
              </a:graphicData>
            </a:graphic>
          </wp:inline>
        </w:drawing>
      </w:r>
    </w:p>
    <w:p w14:paraId="7C159669" w14:textId="77777777" w:rsidR="00572F25" w:rsidRDefault="00572F25" w:rsidP="00572F25">
      <w:pPr>
        <w:pStyle w:val="Notes"/>
      </w:pPr>
      <w:r>
        <w:t xml:space="preserve">* For </w:t>
      </w:r>
      <w:r w:rsidRPr="009F6156">
        <w:t>appropriateness</w:t>
      </w:r>
      <w:r>
        <w:t xml:space="preserve"> definitions, refer to </w:t>
      </w:r>
      <w:hyperlink w:anchor="_Appendix_7:_Surgical" w:history="1">
        <w:r w:rsidRPr="00C10184">
          <w:rPr>
            <w:rStyle w:val="Hyperlink"/>
          </w:rPr>
          <w:t>Appendix 7</w:t>
        </w:r>
      </w:hyperlink>
      <w:r>
        <w:t>.</w:t>
      </w:r>
    </w:p>
    <w:p w14:paraId="633830FB" w14:textId="77777777" w:rsidR="00572F25" w:rsidRDefault="00572F25" w:rsidP="00572F25">
      <w:pPr>
        <w:pStyle w:val="Heading4"/>
      </w:pPr>
      <w:r>
        <w:t>Procedural prescribing</w:t>
      </w:r>
    </w:p>
    <w:p w14:paraId="7DBBEA51" w14:textId="77777777" w:rsidR="00572F25" w:rsidRDefault="00572F25" w:rsidP="00572F25">
      <w:r w:rsidRPr="0096524E">
        <w:t>Approximately one-quarter (</w:t>
      </w:r>
      <w:r>
        <w:t>2</w:t>
      </w:r>
      <w:r w:rsidRPr="0096524E">
        <w:t xml:space="preserve">4.5%) of all procedural prescribing was assessed as inappropriate (Table 2). </w:t>
      </w:r>
      <w:bookmarkStart w:id="106" w:name="_Hlk147316437"/>
      <w:r w:rsidRPr="0096524E">
        <w:t xml:space="preserve">The proportion of episodes </w:t>
      </w:r>
      <w:r w:rsidR="005612F3">
        <w:t xml:space="preserve">for which prescribing was </w:t>
      </w:r>
      <w:r w:rsidRPr="0096524E">
        <w:t xml:space="preserve">deemed inappropriate was higher when antimicrobials were prescribed than when they were </w:t>
      </w:r>
      <w:bookmarkEnd w:id="106"/>
      <w:r w:rsidRPr="0096524E">
        <w:t>not prescribed (29.</w:t>
      </w:r>
      <w:r>
        <w:t>5%</w:t>
      </w:r>
      <w:r w:rsidRPr="0096524E">
        <w:t xml:space="preserve"> and 8.2% respectively). Antimicrobials were prescribed when not required in 8.7% of episodes. </w:t>
      </w:r>
      <w:r w:rsidRPr="00775E45">
        <w:t xml:space="preserve">Additional </w:t>
      </w:r>
      <w:r w:rsidRPr="00AF3C89">
        <w:t xml:space="preserve">analyses can be found in </w:t>
      </w:r>
      <w:hyperlink w:anchor="_Appendix_3:_Additional" w:history="1">
        <w:r w:rsidRPr="00AF3C89">
          <w:rPr>
            <w:rStyle w:val="Hyperlink"/>
          </w:rPr>
          <w:t>Appendix 3</w:t>
        </w:r>
      </w:hyperlink>
      <w:r w:rsidRPr="00AF3C89">
        <w:t>.</w:t>
      </w:r>
    </w:p>
    <w:p w14:paraId="2D191D2A" w14:textId="77777777" w:rsidR="00572F25" w:rsidRPr="0096524E" w:rsidRDefault="00572F25" w:rsidP="00572F25">
      <w:pPr>
        <w:rPr>
          <w:highlight w:val="cyan"/>
        </w:rPr>
      </w:pPr>
      <w:r w:rsidRPr="0096524E">
        <w:t xml:space="preserve">When procedural </w:t>
      </w:r>
      <w:r w:rsidRPr="00AF3C89">
        <w:t xml:space="preserve">antimicrobials were prescribed, appropriateness was higher, with 65.8% deemed optimal (Figure </w:t>
      </w:r>
      <w:r>
        <w:t>A</w:t>
      </w:r>
      <w:r w:rsidRPr="00AF3C89">
        <w:t>2.4). When</w:t>
      </w:r>
      <w:r w:rsidRPr="0096524E">
        <w:t xml:space="preserve"> no procedural antimicrobials were prescribed, inappropriateness was low (8.2%). Overall, 29.1% of all procedural prescribing was deemed inappropriate when non</w:t>
      </w:r>
      <w:r>
        <w:t>-</w:t>
      </w:r>
      <w:r w:rsidRPr="0096524E">
        <w:t xml:space="preserve">assessable doses were excluded (n=9,326).  </w:t>
      </w:r>
    </w:p>
    <w:p w14:paraId="378091ED" w14:textId="77777777" w:rsidR="00572F25" w:rsidRPr="0096524E" w:rsidRDefault="00572F25" w:rsidP="00572F25">
      <w:pPr>
        <w:pStyle w:val="Captions"/>
        <w:rPr>
          <w:sz w:val="20"/>
        </w:rPr>
      </w:pPr>
      <w:r w:rsidRPr="0096524E">
        <w:lastRenderedPageBreak/>
        <w:t>Table 2:</w:t>
      </w:r>
      <w:r w:rsidRPr="0096524E">
        <w:tab/>
        <w:t>Appropriateness* of procedural prescribing of antimicrobials for surgical</w:t>
      </w:r>
      <w:r>
        <w:t xml:space="preserve"> </w:t>
      </w:r>
      <w:r w:rsidRPr="0096524E">
        <w:t xml:space="preserve">episodes and antimicrobial doses, Surgical </w:t>
      </w:r>
      <w:r>
        <w:t>NAPS</w:t>
      </w:r>
      <w:r w:rsidRPr="0096524E">
        <w:t xml:space="preserve"> contributor facilities, 2021</w:t>
      </w:r>
    </w:p>
    <w:tbl>
      <w:tblPr>
        <w:tblW w:w="9214" w:type="dxa"/>
        <w:tblLayout w:type="fixed"/>
        <w:tblLook w:val="04A0" w:firstRow="1" w:lastRow="0" w:firstColumn="1" w:lastColumn="0" w:noHBand="0" w:noVBand="1"/>
      </w:tblPr>
      <w:tblGrid>
        <w:gridCol w:w="2835"/>
        <w:gridCol w:w="851"/>
        <w:gridCol w:w="921"/>
        <w:gridCol w:w="921"/>
        <w:gridCol w:w="922"/>
        <w:gridCol w:w="921"/>
        <w:gridCol w:w="921"/>
        <w:gridCol w:w="922"/>
      </w:tblGrid>
      <w:tr w:rsidR="00572F25" w:rsidRPr="004243B7" w14:paraId="3D5B1E9D" w14:textId="77777777" w:rsidTr="00140544">
        <w:trPr>
          <w:trHeight w:val="720"/>
        </w:trPr>
        <w:tc>
          <w:tcPr>
            <w:tcW w:w="2835" w:type="dxa"/>
            <w:vMerge w:val="restart"/>
            <w:tcBorders>
              <w:top w:val="nil"/>
              <w:left w:val="nil"/>
              <w:bottom w:val="nil"/>
              <w:right w:val="nil"/>
            </w:tcBorders>
            <w:shd w:val="clear" w:color="000000" w:fill="E8B092"/>
            <w:vAlign w:val="center"/>
            <w:hideMark/>
          </w:tcPr>
          <w:p w14:paraId="5A6AF761" w14:textId="77777777" w:rsidR="00572F25" w:rsidRPr="000B5A43" w:rsidRDefault="00572F25" w:rsidP="00140544">
            <w:pPr>
              <w:spacing w:after="0"/>
              <w:rPr>
                <w:rFonts w:cs="Arial"/>
                <w:color w:val="auto"/>
                <w:sz w:val="20"/>
                <w:szCs w:val="20"/>
              </w:rPr>
            </w:pPr>
            <w:r w:rsidRPr="000B5A43">
              <w:rPr>
                <w:rFonts w:cs="Arial"/>
                <w:color w:val="auto"/>
                <w:sz w:val="20"/>
                <w:szCs w:val="20"/>
              </w:rPr>
              <w:t>Procedural prophylaxis</w:t>
            </w:r>
          </w:p>
        </w:tc>
        <w:tc>
          <w:tcPr>
            <w:tcW w:w="851" w:type="dxa"/>
            <w:tcBorders>
              <w:top w:val="nil"/>
              <w:left w:val="nil"/>
              <w:bottom w:val="nil"/>
              <w:right w:val="nil"/>
            </w:tcBorders>
            <w:shd w:val="clear" w:color="000000" w:fill="E8B092"/>
            <w:vAlign w:val="center"/>
            <w:hideMark/>
          </w:tcPr>
          <w:p w14:paraId="54A12C9D" w14:textId="77777777" w:rsidR="00572F25" w:rsidRPr="000B5A43" w:rsidRDefault="00572F25" w:rsidP="00140544">
            <w:pPr>
              <w:spacing w:after="0"/>
              <w:jc w:val="center"/>
              <w:rPr>
                <w:rFonts w:cs="Arial"/>
                <w:color w:val="auto"/>
                <w:sz w:val="20"/>
                <w:szCs w:val="20"/>
              </w:rPr>
            </w:pPr>
            <w:r w:rsidRPr="000B5A43">
              <w:rPr>
                <w:rFonts w:cs="Arial"/>
                <w:color w:val="auto"/>
                <w:sz w:val="20"/>
                <w:szCs w:val="20"/>
              </w:rPr>
              <w:t>Total</w:t>
            </w:r>
          </w:p>
        </w:tc>
        <w:tc>
          <w:tcPr>
            <w:tcW w:w="1842" w:type="dxa"/>
            <w:gridSpan w:val="2"/>
            <w:tcBorders>
              <w:top w:val="nil"/>
              <w:left w:val="nil"/>
              <w:bottom w:val="nil"/>
              <w:right w:val="nil"/>
            </w:tcBorders>
            <w:shd w:val="clear" w:color="000000" w:fill="E8B092"/>
            <w:vAlign w:val="center"/>
            <w:hideMark/>
          </w:tcPr>
          <w:p w14:paraId="46395DD9" w14:textId="77777777" w:rsidR="00572F25" w:rsidRPr="000B5A43" w:rsidRDefault="00572F25" w:rsidP="00140544">
            <w:pPr>
              <w:spacing w:after="0"/>
              <w:jc w:val="center"/>
              <w:rPr>
                <w:rFonts w:cs="Arial"/>
                <w:color w:val="auto"/>
                <w:sz w:val="20"/>
                <w:szCs w:val="20"/>
              </w:rPr>
            </w:pPr>
            <w:r w:rsidRPr="000B5A43">
              <w:rPr>
                <w:rFonts w:cs="Arial"/>
                <w:color w:val="auto"/>
                <w:sz w:val="20"/>
                <w:szCs w:val="20"/>
              </w:rPr>
              <w:t>Appropriate</w:t>
            </w:r>
          </w:p>
        </w:tc>
        <w:tc>
          <w:tcPr>
            <w:tcW w:w="1843" w:type="dxa"/>
            <w:gridSpan w:val="2"/>
            <w:tcBorders>
              <w:top w:val="nil"/>
              <w:left w:val="nil"/>
              <w:bottom w:val="nil"/>
              <w:right w:val="nil"/>
            </w:tcBorders>
            <w:shd w:val="clear" w:color="000000" w:fill="E8B092"/>
            <w:vAlign w:val="center"/>
            <w:hideMark/>
          </w:tcPr>
          <w:p w14:paraId="21D22D5E" w14:textId="77777777" w:rsidR="00572F25" w:rsidRPr="000B5A43" w:rsidRDefault="00572F25" w:rsidP="00140544">
            <w:pPr>
              <w:spacing w:after="0"/>
              <w:jc w:val="center"/>
              <w:rPr>
                <w:rFonts w:cs="Arial"/>
                <w:color w:val="auto"/>
                <w:sz w:val="20"/>
                <w:szCs w:val="20"/>
              </w:rPr>
            </w:pPr>
            <w:r w:rsidRPr="000B5A43">
              <w:rPr>
                <w:rFonts w:cs="Arial"/>
                <w:color w:val="auto"/>
                <w:sz w:val="20"/>
                <w:szCs w:val="20"/>
              </w:rPr>
              <w:t>Inappropriate</w:t>
            </w:r>
          </w:p>
        </w:tc>
        <w:tc>
          <w:tcPr>
            <w:tcW w:w="1843" w:type="dxa"/>
            <w:gridSpan w:val="2"/>
            <w:tcBorders>
              <w:top w:val="nil"/>
              <w:left w:val="nil"/>
              <w:bottom w:val="nil"/>
              <w:right w:val="nil"/>
            </w:tcBorders>
            <w:shd w:val="clear" w:color="000000" w:fill="E8B092"/>
            <w:vAlign w:val="center"/>
            <w:hideMark/>
          </w:tcPr>
          <w:p w14:paraId="17233955" w14:textId="77777777" w:rsidR="00572F25" w:rsidRPr="000B5A43" w:rsidRDefault="00572F25" w:rsidP="00140544">
            <w:pPr>
              <w:spacing w:after="0"/>
              <w:jc w:val="center"/>
              <w:rPr>
                <w:rFonts w:cs="Arial"/>
                <w:color w:val="auto"/>
                <w:sz w:val="20"/>
                <w:szCs w:val="20"/>
              </w:rPr>
            </w:pPr>
            <w:r w:rsidRPr="000B5A43">
              <w:rPr>
                <w:rFonts w:cs="Arial"/>
                <w:color w:val="auto"/>
                <w:sz w:val="20"/>
                <w:szCs w:val="20"/>
              </w:rPr>
              <w:t>Not assessable</w:t>
            </w:r>
          </w:p>
        </w:tc>
      </w:tr>
      <w:tr w:rsidR="00572F25" w:rsidRPr="004243B7" w14:paraId="625B6082" w14:textId="77777777" w:rsidTr="00140544">
        <w:trPr>
          <w:trHeight w:val="87"/>
        </w:trPr>
        <w:tc>
          <w:tcPr>
            <w:tcW w:w="2835" w:type="dxa"/>
            <w:vMerge/>
            <w:tcBorders>
              <w:top w:val="nil"/>
              <w:left w:val="nil"/>
              <w:bottom w:val="nil"/>
              <w:right w:val="nil"/>
            </w:tcBorders>
            <w:vAlign w:val="center"/>
            <w:hideMark/>
          </w:tcPr>
          <w:p w14:paraId="6BB2315E" w14:textId="77777777" w:rsidR="00572F25" w:rsidRPr="000B5A43" w:rsidRDefault="00572F25" w:rsidP="00140544">
            <w:pPr>
              <w:spacing w:after="0"/>
              <w:rPr>
                <w:rFonts w:cs="Arial"/>
                <w:color w:val="auto"/>
                <w:sz w:val="20"/>
                <w:szCs w:val="20"/>
              </w:rPr>
            </w:pPr>
          </w:p>
        </w:tc>
        <w:tc>
          <w:tcPr>
            <w:tcW w:w="851" w:type="dxa"/>
            <w:tcBorders>
              <w:top w:val="nil"/>
              <w:left w:val="nil"/>
              <w:bottom w:val="nil"/>
              <w:right w:val="nil"/>
            </w:tcBorders>
            <w:shd w:val="clear" w:color="000000" w:fill="E8B092"/>
            <w:vAlign w:val="center"/>
            <w:hideMark/>
          </w:tcPr>
          <w:p w14:paraId="2E1CD62A" w14:textId="77777777" w:rsidR="00572F25" w:rsidRPr="000B5A43" w:rsidRDefault="00572F25" w:rsidP="00140544">
            <w:pPr>
              <w:spacing w:after="0"/>
              <w:jc w:val="center"/>
              <w:rPr>
                <w:rFonts w:cs="Arial"/>
                <w:color w:val="auto"/>
                <w:sz w:val="20"/>
                <w:szCs w:val="20"/>
              </w:rPr>
            </w:pPr>
            <w:r w:rsidRPr="000B5A43">
              <w:rPr>
                <w:rFonts w:cs="Arial"/>
                <w:color w:val="auto"/>
                <w:sz w:val="20"/>
                <w:szCs w:val="20"/>
              </w:rPr>
              <w:t>(n)</w:t>
            </w:r>
          </w:p>
        </w:tc>
        <w:tc>
          <w:tcPr>
            <w:tcW w:w="1842" w:type="dxa"/>
            <w:gridSpan w:val="2"/>
            <w:tcBorders>
              <w:top w:val="nil"/>
              <w:left w:val="nil"/>
              <w:bottom w:val="nil"/>
              <w:right w:val="nil"/>
            </w:tcBorders>
            <w:shd w:val="clear" w:color="000000" w:fill="E8B092"/>
            <w:vAlign w:val="center"/>
            <w:hideMark/>
          </w:tcPr>
          <w:p w14:paraId="2350DC35" w14:textId="77777777" w:rsidR="00572F25" w:rsidRPr="000B5A43" w:rsidRDefault="00572F25" w:rsidP="00140544">
            <w:pPr>
              <w:spacing w:after="0"/>
              <w:jc w:val="center"/>
              <w:rPr>
                <w:rFonts w:cs="Arial"/>
                <w:color w:val="auto"/>
                <w:sz w:val="20"/>
                <w:szCs w:val="20"/>
              </w:rPr>
            </w:pPr>
            <w:r w:rsidRPr="000B5A43">
              <w:rPr>
                <w:rFonts w:cs="Arial"/>
                <w:color w:val="auto"/>
                <w:sz w:val="20"/>
                <w:szCs w:val="20"/>
              </w:rPr>
              <w:t>(n) (%)</w:t>
            </w:r>
          </w:p>
        </w:tc>
        <w:tc>
          <w:tcPr>
            <w:tcW w:w="1843" w:type="dxa"/>
            <w:gridSpan w:val="2"/>
            <w:tcBorders>
              <w:top w:val="nil"/>
              <w:left w:val="nil"/>
              <w:bottom w:val="nil"/>
              <w:right w:val="nil"/>
            </w:tcBorders>
            <w:shd w:val="clear" w:color="000000" w:fill="E8B092"/>
            <w:vAlign w:val="center"/>
            <w:hideMark/>
          </w:tcPr>
          <w:p w14:paraId="701C93A6" w14:textId="77777777" w:rsidR="00572F25" w:rsidRPr="000B5A43" w:rsidRDefault="00572F25" w:rsidP="00140544">
            <w:pPr>
              <w:spacing w:after="0"/>
              <w:jc w:val="center"/>
              <w:rPr>
                <w:rFonts w:cs="Arial"/>
                <w:color w:val="auto"/>
                <w:sz w:val="20"/>
                <w:szCs w:val="20"/>
              </w:rPr>
            </w:pPr>
            <w:r w:rsidRPr="000B5A43">
              <w:rPr>
                <w:rFonts w:cs="Arial"/>
                <w:color w:val="auto"/>
                <w:sz w:val="20"/>
                <w:szCs w:val="20"/>
              </w:rPr>
              <w:t>(n) (%)</w:t>
            </w:r>
          </w:p>
        </w:tc>
        <w:tc>
          <w:tcPr>
            <w:tcW w:w="1843" w:type="dxa"/>
            <w:gridSpan w:val="2"/>
            <w:tcBorders>
              <w:top w:val="nil"/>
              <w:left w:val="nil"/>
              <w:bottom w:val="nil"/>
              <w:right w:val="nil"/>
            </w:tcBorders>
            <w:shd w:val="clear" w:color="000000" w:fill="E8B092"/>
            <w:vAlign w:val="center"/>
            <w:hideMark/>
          </w:tcPr>
          <w:p w14:paraId="13594291" w14:textId="77777777" w:rsidR="00572F25" w:rsidRPr="000B5A43" w:rsidRDefault="00572F25" w:rsidP="00140544">
            <w:pPr>
              <w:spacing w:after="0"/>
              <w:jc w:val="center"/>
              <w:rPr>
                <w:rFonts w:cs="Arial"/>
                <w:color w:val="auto"/>
                <w:sz w:val="20"/>
                <w:szCs w:val="20"/>
              </w:rPr>
            </w:pPr>
            <w:r w:rsidRPr="000B5A43">
              <w:rPr>
                <w:rFonts w:cs="Arial"/>
                <w:color w:val="auto"/>
                <w:sz w:val="20"/>
                <w:szCs w:val="20"/>
              </w:rPr>
              <w:t>(n) (%)</w:t>
            </w:r>
          </w:p>
        </w:tc>
      </w:tr>
      <w:tr w:rsidR="00572F25" w:rsidRPr="004243B7" w14:paraId="76F0DF39" w14:textId="77777777" w:rsidTr="00140544">
        <w:trPr>
          <w:trHeight w:val="300"/>
        </w:trPr>
        <w:tc>
          <w:tcPr>
            <w:tcW w:w="2835" w:type="dxa"/>
            <w:tcBorders>
              <w:top w:val="nil"/>
              <w:left w:val="nil"/>
              <w:bottom w:val="nil"/>
              <w:right w:val="nil"/>
            </w:tcBorders>
            <w:shd w:val="clear" w:color="000000" w:fill="E4E4E5"/>
            <w:vAlign w:val="center"/>
            <w:hideMark/>
          </w:tcPr>
          <w:p w14:paraId="66923F07" w14:textId="77777777" w:rsidR="00572F25" w:rsidRPr="000B5A43" w:rsidRDefault="00572F25" w:rsidP="00140544">
            <w:pPr>
              <w:spacing w:after="0"/>
              <w:rPr>
                <w:rFonts w:cs="Arial"/>
                <w:color w:val="70480E"/>
                <w:sz w:val="20"/>
                <w:szCs w:val="20"/>
              </w:rPr>
            </w:pPr>
            <w:bookmarkStart w:id="107" w:name="_Hlk78447099" w:colFirst="1" w:colLast="7"/>
            <w:r w:rsidRPr="000B5A43">
              <w:rPr>
                <w:rFonts w:cs="Arial"/>
                <w:color w:val="70480E"/>
                <w:sz w:val="20"/>
                <w:szCs w:val="20"/>
              </w:rPr>
              <w:t>Surgical episodes</w:t>
            </w:r>
          </w:p>
        </w:tc>
        <w:tc>
          <w:tcPr>
            <w:tcW w:w="851" w:type="dxa"/>
            <w:tcBorders>
              <w:top w:val="nil"/>
              <w:left w:val="nil"/>
              <w:bottom w:val="nil"/>
              <w:right w:val="nil"/>
            </w:tcBorders>
            <w:shd w:val="clear" w:color="000000" w:fill="E4E4E5"/>
            <w:vAlign w:val="center"/>
            <w:hideMark/>
          </w:tcPr>
          <w:p w14:paraId="1388EDA6" w14:textId="77777777" w:rsidR="00572F25" w:rsidRPr="000B5A43" w:rsidRDefault="00572F25" w:rsidP="00140544">
            <w:pPr>
              <w:spacing w:after="0"/>
              <w:jc w:val="center"/>
              <w:rPr>
                <w:rFonts w:cs="Arial"/>
                <w:color w:val="70480E"/>
                <w:sz w:val="20"/>
                <w:szCs w:val="20"/>
              </w:rPr>
            </w:pPr>
            <w:r w:rsidRPr="000B5A43">
              <w:rPr>
                <w:rFonts w:cstheme="minorHAnsi"/>
                <w:color w:val="70480E"/>
                <w:sz w:val="20"/>
                <w:szCs w:val="20"/>
              </w:rPr>
              <w:t>10,927</w:t>
            </w:r>
          </w:p>
        </w:tc>
        <w:tc>
          <w:tcPr>
            <w:tcW w:w="921" w:type="dxa"/>
            <w:tcBorders>
              <w:top w:val="nil"/>
              <w:left w:val="nil"/>
              <w:bottom w:val="nil"/>
              <w:right w:val="dashed" w:sz="8" w:space="0" w:color="F0CAB6"/>
            </w:tcBorders>
            <w:shd w:val="clear" w:color="000000" w:fill="E4E4E5"/>
            <w:vAlign w:val="center"/>
            <w:hideMark/>
          </w:tcPr>
          <w:p w14:paraId="0711C7AF" w14:textId="77777777" w:rsidR="00572F25" w:rsidRPr="000B5A43" w:rsidRDefault="00572F25" w:rsidP="00140544">
            <w:pPr>
              <w:spacing w:after="0"/>
              <w:jc w:val="right"/>
              <w:rPr>
                <w:rFonts w:cs="Arial"/>
                <w:color w:val="70480E"/>
                <w:sz w:val="20"/>
                <w:szCs w:val="20"/>
              </w:rPr>
            </w:pPr>
            <w:r w:rsidRPr="000B5A43">
              <w:rPr>
                <w:rFonts w:cs="Arial"/>
                <w:color w:val="70480E"/>
                <w:sz w:val="20"/>
                <w:szCs w:val="20"/>
              </w:rPr>
              <w:t>8,293</w:t>
            </w:r>
          </w:p>
        </w:tc>
        <w:tc>
          <w:tcPr>
            <w:tcW w:w="921" w:type="dxa"/>
            <w:tcBorders>
              <w:top w:val="nil"/>
              <w:left w:val="nil"/>
              <w:bottom w:val="nil"/>
              <w:right w:val="nil"/>
            </w:tcBorders>
            <w:shd w:val="clear" w:color="000000" w:fill="E4E4E5"/>
            <w:vAlign w:val="center"/>
            <w:hideMark/>
          </w:tcPr>
          <w:p w14:paraId="502637E6" w14:textId="77777777" w:rsidR="00572F25" w:rsidRPr="000B5A43" w:rsidRDefault="00572F25" w:rsidP="00140544">
            <w:pPr>
              <w:spacing w:after="0"/>
              <w:rPr>
                <w:rFonts w:cs="Arial"/>
                <w:color w:val="70480E"/>
                <w:sz w:val="20"/>
                <w:szCs w:val="20"/>
              </w:rPr>
            </w:pPr>
            <w:r w:rsidRPr="000B5A43">
              <w:rPr>
                <w:rFonts w:cs="Arial"/>
                <w:color w:val="70480E"/>
                <w:sz w:val="20"/>
                <w:szCs w:val="20"/>
              </w:rPr>
              <w:t>75.9</w:t>
            </w:r>
          </w:p>
        </w:tc>
        <w:tc>
          <w:tcPr>
            <w:tcW w:w="922" w:type="dxa"/>
            <w:tcBorders>
              <w:top w:val="nil"/>
              <w:left w:val="nil"/>
              <w:bottom w:val="nil"/>
              <w:right w:val="dashed" w:sz="8" w:space="0" w:color="E8B092"/>
            </w:tcBorders>
            <w:shd w:val="clear" w:color="000000" w:fill="E4E4E5"/>
            <w:vAlign w:val="center"/>
            <w:hideMark/>
          </w:tcPr>
          <w:p w14:paraId="653B5CA7" w14:textId="77777777" w:rsidR="00572F25" w:rsidRPr="000B5A43" w:rsidRDefault="00572F25" w:rsidP="00140544">
            <w:pPr>
              <w:spacing w:after="0"/>
              <w:jc w:val="right"/>
              <w:rPr>
                <w:rFonts w:cs="Arial"/>
                <w:color w:val="70480E"/>
                <w:sz w:val="20"/>
                <w:szCs w:val="20"/>
              </w:rPr>
            </w:pPr>
            <w:r w:rsidRPr="000B5A43">
              <w:rPr>
                <w:rFonts w:cs="Arial"/>
                <w:color w:val="70480E"/>
                <w:sz w:val="20"/>
                <w:szCs w:val="20"/>
              </w:rPr>
              <w:t>2,681</w:t>
            </w:r>
          </w:p>
        </w:tc>
        <w:tc>
          <w:tcPr>
            <w:tcW w:w="921" w:type="dxa"/>
            <w:tcBorders>
              <w:top w:val="nil"/>
              <w:left w:val="nil"/>
              <w:bottom w:val="nil"/>
              <w:right w:val="nil"/>
            </w:tcBorders>
            <w:shd w:val="clear" w:color="000000" w:fill="E4E4E5"/>
            <w:vAlign w:val="center"/>
            <w:hideMark/>
          </w:tcPr>
          <w:p w14:paraId="315E544D" w14:textId="77777777" w:rsidR="00572F25" w:rsidRPr="000B5A43" w:rsidRDefault="00572F25" w:rsidP="00140544">
            <w:pPr>
              <w:spacing w:after="0"/>
              <w:rPr>
                <w:rFonts w:cs="Arial"/>
                <w:color w:val="70480E"/>
                <w:sz w:val="20"/>
                <w:szCs w:val="20"/>
              </w:rPr>
            </w:pPr>
            <w:r w:rsidRPr="000B5A43">
              <w:rPr>
                <w:rFonts w:cs="Arial"/>
                <w:color w:val="70480E"/>
                <w:sz w:val="20"/>
                <w:szCs w:val="20"/>
              </w:rPr>
              <w:t>24.5</w:t>
            </w:r>
          </w:p>
        </w:tc>
        <w:tc>
          <w:tcPr>
            <w:tcW w:w="921" w:type="dxa"/>
            <w:tcBorders>
              <w:top w:val="nil"/>
              <w:left w:val="nil"/>
              <w:bottom w:val="nil"/>
              <w:right w:val="dashed" w:sz="8" w:space="0" w:color="E8B092"/>
            </w:tcBorders>
            <w:shd w:val="clear" w:color="000000" w:fill="E4E4E5"/>
            <w:noWrap/>
            <w:vAlign w:val="center"/>
            <w:hideMark/>
          </w:tcPr>
          <w:p w14:paraId="0AD4DB74" w14:textId="77777777" w:rsidR="00572F25" w:rsidRPr="000B5A43" w:rsidRDefault="00572F25" w:rsidP="00140544">
            <w:pPr>
              <w:spacing w:after="0"/>
              <w:jc w:val="right"/>
              <w:rPr>
                <w:rFonts w:cs="Arial"/>
                <w:color w:val="70480E"/>
                <w:sz w:val="20"/>
                <w:szCs w:val="20"/>
              </w:rPr>
            </w:pPr>
            <w:r w:rsidRPr="000B5A43">
              <w:rPr>
                <w:rFonts w:cs="Arial"/>
                <w:color w:val="70480E"/>
                <w:sz w:val="20"/>
                <w:szCs w:val="20"/>
              </w:rPr>
              <w:t>377</w:t>
            </w:r>
          </w:p>
        </w:tc>
        <w:tc>
          <w:tcPr>
            <w:tcW w:w="922" w:type="dxa"/>
            <w:tcBorders>
              <w:top w:val="nil"/>
              <w:left w:val="nil"/>
              <w:bottom w:val="nil"/>
              <w:right w:val="nil"/>
            </w:tcBorders>
            <w:shd w:val="clear" w:color="000000" w:fill="E4E4E5"/>
            <w:vAlign w:val="center"/>
            <w:hideMark/>
          </w:tcPr>
          <w:p w14:paraId="22F39D93" w14:textId="77777777" w:rsidR="00572F25" w:rsidRPr="000B5A43" w:rsidRDefault="00572F25" w:rsidP="00140544">
            <w:pPr>
              <w:spacing w:after="0"/>
              <w:rPr>
                <w:rFonts w:cs="Arial"/>
                <w:color w:val="70480E"/>
                <w:sz w:val="20"/>
                <w:szCs w:val="20"/>
              </w:rPr>
            </w:pPr>
            <w:r w:rsidRPr="000B5A43">
              <w:rPr>
                <w:rFonts w:cs="Arial"/>
                <w:color w:val="70480E"/>
                <w:sz w:val="20"/>
                <w:szCs w:val="20"/>
              </w:rPr>
              <w:t>3.5</w:t>
            </w:r>
          </w:p>
        </w:tc>
      </w:tr>
      <w:tr w:rsidR="00572F25" w:rsidRPr="004243B7" w14:paraId="17C5EF90" w14:textId="77777777" w:rsidTr="00140544">
        <w:trPr>
          <w:trHeight w:val="337"/>
        </w:trPr>
        <w:tc>
          <w:tcPr>
            <w:tcW w:w="2835" w:type="dxa"/>
            <w:tcBorders>
              <w:top w:val="nil"/>
              <w:left w:val="nil"/>
              <w:bottom w:val="nil"/>
              <w:right w:val="nil"/>
            </w:tcBorders>
            <w:shd w:val="clear" w:color="auto" w:fill="auto"/>
            <w:vAlign w:val="center"/>
            <w:hideMark/>
          </w:tcPr>
          <w:p w14:paraId="11B09136" w14:textId="77777777" w:rsidR="00572F25" w:rsidRPr="004243B7" w:rsidRDefault="00572F25" w:rsidP="00140544">
            <w:pPr>
              <w:spacing w:after="0"/>
              <w:ind w:firstLineChars="100" w:firstLine="180"/>
              <w:rPr>
                <w:rFonts w:cs="Arial"/>
                <w:color w:val="000000"/>
                <w:sz w:val="18"/>
                <w:szCs w:val="18"/>
              </w:rPr>
            </w:pPr>
            <w:r>
              <w:rPr>
                <w:rFonts w:cs="Arial"/>
                <w:color w:val="000000"/>
                <w:sz w:val="18"/>
                <w:szCs w:val="18"/>
              </w:rPr>
              <w:t>Antimicrobial p</w:t>
            </w:r>
            <w:r w:rsidRPr="004243B7">
              <w:rPr>
                <w:rFonts w:cs="Arial"/>
                <w:color w:val="000000"/>
                <w:sz w:val="18"/>
                <w:szCs w:val="18"/>
              </w:rPr>
              <w:t>rescribed</w:t>
            </w:r>
          </w:p>
        </w:tc>
        <w:tc>
          <w:tcPr>
            <w:tcW w:w="851" w:type="dxa"/>
            <w:tcBorders>
              <w:top w:val="nil"/>
              <w:left w:val="nil"/>
              <w:bottom w:val="nil"/>
              <w:right w:val="nil"/>
            </w:tcBorders>
            <w:shd w:val="clear" w:color="auto" w:fill="auto"/>
            <w:vAlign w:val="center"/>
            <w:hideMark/>
          </w:tcPr>
          <w:p w14:paraId="3DBF6FB4" w14:textId="77777777" w:rsidR="00572F25" w:rsidRPr="004243B7" w:rsidRDefault="00572F25" w:rsidP="00140544">
            <w:pPr>
              <w:spacing w:after="0"/>
              <w:jc w:val="center"/>
              <w:rPr>
                <w:rFonts w:cs="Arial"/>
                <w:color w:val="000000"/>
                <w:sz w:val="18"/>
                <w:szCs w:val="18"/>
              </w:rPr>
            </w:pPr>
            <w:r>
              <w:rPr>
                <w:rFonts w:cs="Arial"/>
                <w:color w:val="000000"/>
                <w:sz w:val="18"/>
                <w:szCs w:val="18"/>
              </w:rPr>
              <w:t>8,317</w:t>
            </w:r>
          </w:p>
        </w:tc>
        <w:tc>
          <w:tcPr>
            <w:tcW w:w="921" w:type="dxa"/>
            <w:tcBorders>
              <w:top w:val="nil"/>
              <w:left w:val="nil"/>
              <w:bottom w:val="nil"/>
              <w:right w:val="dashed" w:sz="8" w:space="0" w:color="F0CAB6"/>
            </w:tcBorders>
            <w:shd w:val="clear" w:color="auto" w:fill="auto"/>
            <w:noWrap/>
            <w:vAlign w:val="center"/>
            <w:hideMark/>
          </w:tcPr>
          <w:p w14:paraId="742D10DF" w14:textId="77777777" w:rsidR="00572F25" w:rsidRPr="004243B7" w:rsidRDefault="00572F25" w:rsidP="00140544">
            <w:pPr>
              <w:spacing w:after="0"/>
              <w:jc w:val="right"/>
              <w:rPr>
                <w:rFonts w:cs="Arial"/>
                <w:color w:val="000000"/>
                <w:sz w:val="18"/>
                <w:szCs w:val="18"/>
              </w:rPr>
            </w:pPr>
            <w:r>
              <w:rPr>
                <w:rFonts w:cs="Arial"/>
                <w:color w:val="000000"/>
                <w:sz w:val="18"/>
                <w:szCs w:val="18"/>
              </w:rPr>
              <w:t>5,615</w:t>
            </w:r>
          </w:p>
        </w:tc>
        <w:tc>
          <w:tcPr>
            <w:tcW w:w="921" w:type="dxa"/>
            <w:tcBorders>
              <w:top w:val="nil"/>
              <w:left w:val="nil"/>
              <w:bottom w:val="nil"/>
              <w:right w:val="dashed" w:sz="8" w:space="0" w:color="F0CAB6"/>
            </w:tcBorders>
            <w:shd w:val="clear" w:color="auto" w:fill="auto"/>
            <w:noWrap/>
            <w:vAlign w:val="center"/>
            <w:hideMark/>
          </w:tcPr>
          <w:p w14:paraId="7FED3BF6" w14:textId="77777777" w:rsidR="00572F25" w:rsidRPr="004243B7" w:rsidRDefault="00572F25" w:rsidP="00140544">
            <w:pPr>
              <w:spacing w:after="0"/>
              <w:rPr>
                <w:rFonts w:cs="Arial"/>
                <w:color w:val="000000"/>
                <w:sz w:val="18"/>
                <w:szCs w:val="18"/>
              </w:rPr>
            </w:pPr>
            <w:r>
              <w:rPr>
                <w:rFonts w:cs="Arial"/>
                <w:color w:val="000000"/>
                <w:sz w:val="18"/>
                <w:szCs w:val="18"/>
              </w:rPr>
              <w:t>67.5</w:t>
            </w:r>
          </w:p>
        </w:tc>
        <w:tc>
          <w:tcPr>
            <w:tcW w:w="922" w:type="dxa"/>
            <w:tcBorders>
              <w:top w:val="nil"/>
              <w:left w:val="nil"/>
              <w:bottom w:val="nil"/>
              <w:right w:val="dashed" w:sz="8" w:space="0" w:color="F0CAB6"/>
            </w:tcBorders>
            <w:shd w:val="clear" w:color="auto" w:fill="auto"/>
            <w:noWrap/>
            <w:vAlign w:val="center"/>
            <w:hideMark/>
          </w:tcPr>
          <w:p w14:paraId="4B223D6F" w14:textId="77777777" w:rsidR="00572F25" w:rsidRPr="004243B7" w:rsidRDefault="00572F25" w:rsidP="00140544">
            <w:pPr>
              <w:spacing w:after="0"/>
              <w:jc w:val="right"/>
              <w:rPr>
                <w:rFonts w:cs="Arial"/>
                <w:color w:val="000000"/>
                <w:sz w:val="18"/>
                <w:szCs w:val="18"/>
              </w:rPr>
            </w:pPr>
            <w:r>
              <w:rPr>
                <w:rFonts w:cs="Arial"/>
                <w:color w:val="000000"/>
                <w:sz w:val="18"/>
                <w:szCs w:val="18"/>
              </w:rPr>
              <w:t>2,452</w:t>
            </w:r>
          </w:p>
        </w:tc>
        <w:tc>
          <w:tcPr>
            <w:tcW w:w="921" w:type="dxa"/>
            <w:tcBorders>
              <w:top w:val="nil"/>
              <w:left w:val="nil"/>
              <w:bottom w:val="nil"/>
              <w:right w:val="dashed" w:sz="8" w:space="0" w:color="F0CAB6"/>
            </w:tcBorders>
            <w:shd w:val="clear" w:color="auto" w:fill="auto"/>
            <w:noWrap/>
            <w:vAlign w:val="center"/>
            <w:hideMark/>
          </w:tcPr>
          <w:p w14:paraId="7B9BA8E8" w14:textId="77777777" w:rsidR="00572F25" w:rsidRPr="004243B7" w:rsidRDefault="00572F25" w:rsidP="00140544">
            <w:pPr>
              <w:spacing w:after="0"/>
              <w:rPr>
                <w:rFonts w:cs="Arial"/>
                <w:color w:val="000000"/>
                <w:sz w:val="18"/>
                <w:szCs w:val="18"/>
              </w:rPr>
            </w:pPr>
            <w:r>
              <w:rPr>
                <w:rFonts w:cs="Arial"/>
                <w:color w:val="000000"/>
                <w:sz w:val="18"/>
                <w:szCs w:val="18"/>
              </w:rPr>
              <w:t>29.5</w:t>
            </w:r>
          </w:p>
        </w:tc>
        <w:tc>
          <w:tcPr>
            <w:tcW w:w="921" w:type="dxa"/>
            <w:tcBorders>
              <w:top w:val="nil"/>
              <w:left w:val="nil"/>
              <w:bottom w:val="nil"/>
              <w:right w:val="dashed" w:sz="8" w:space="0" w:color="F0CAB6"/>
            </w:tcBorders>
            <w:shd w:val="clear" w:color="auto" w:fill="auto"/>
            <w:noWrap/>
            <w:vAlign w:val="center"/>
            <w:hideMark/>
          </w:tcPr>
          <w:p w14:paraId="1DABC777" w14:textId="77777777" w:rsidR="00572F25" w:rsidRPr="004243B7" w:rsidRDefault="00572F25" w:rsidP="00140544">
            <w:pPr>
              <w:spacing w:after="0"/>
              <w:jc w:val="right"/>
              <w:rPr>
                <w:rFonts w:cs="Arial"/>
                <w:color w:val="000000"/>
                <w:sz w:val="18"/>
                <w:szCs w:val="18"/>
              </w:rPr>
            </w:pPr>
            <w:r>
              <w:rPr>
                <w:rFonts w:cs="Arial"/>
                <w:color w:val="000000"/>
                <w:sz w:val="18"/>
                <w:szCs w:val="18"/>
              </w:rPr>
              <w:t>250</w:t>
            </w:r>
          </w:p>
        </w:tc>
        <w:tc>
          <w:tcPr>
            <w:tcW w:w="922" w:type="dxa"/>
            <w:tcBorders>
              <w:top w:val="nil"/>
              <w:left w:val="nil"/>
              <w:bottom w:val="nil"/>
              <w:right w:val="dashed" w:sz="8" w:space="0" w:color="F0CAB6"/>
            </w:tcBorders>
            <w:shd w:val="clear" w:color="auto" w:fill="auto"/>
            <w:noWrap/>
            <w:vAlign w:val="center"/>
            <w:hideMark/>
          </w:tcPr>
          <w:p w14:paraId="620FEB62" w14:textId="77777777" w:rsidR="00572F25" w:rsidRPr="004243B7" w:rsidRDefault="00572F25" w:rsidP="00140544">
            <w:pPr>
              <w:spacing w:after="0"/>
              <w:rPr>
                <w:rFonts w:cs="Arial"/>
                <w:color w:val="000000"/>
                <w:sz w:val="18"/>
                <w:szCs w:val="18"/>
              </w:rPr>
            </w:pPr>
            <w:r>
              <w:rPr>
                <w:rFonts w:cs="Arial"/>
                <w:color w:val="000000"/>
                <w:sz w:val="18"/>
                <w:szCs w:val="18"/>
              </w:rPr>
              <w:t>3.0</w:t>
            </w:r>
          </w:p>
        </w:tc>
      </w:tr>
      <w:tr w:rsidR="00572F25" w:rsidRPr="004243B7" w14:paraId="183C1D39" w14:textId="77777777" w:rsidTr="00140544">
        <w:trPr>
          <w:trHeight w:val="285"/>
        </w:trPr>
        <w:tc>
          <w:tcPr>
            <w:tcW w:w="2835" w:type="dxa"/>
            <w:tcBorders>
              <w:top w:val="nil"/>
              <w:left w:val="nil"/>
              <w:bottom w:val="nil"/>
              <w:right w:val="nil"/>
            </w:tcBorders>
            <w:shd w:val="clear" w:color="auto" w:fill="auto"/>
            <w:vAlign w:val="center"/>
            <w:hideMark/>
          </w:tcPr>
          <w:p w14:paraId="1F841C70" w14:textId="77777777" w:rsidR="00572F25" w:rsidRPr="00822F5E" w:rsidRDefault="00572F25" w:rsidP="00140544">
            <w:pPr>
              <w:spacing w:after="0"/>
              <w:ind w:firstLineChars="200" w:firstLine="360"/>
              <w:rPr>
                <w:rFonts w:ascii="Wingdings 3" w:hAnsi="Wingdings 3" w:cs="Calibri"/>
                <w:i/>
                <w:iCs/>
                <w:sz w:val="18"/>
                <w:szCs w:val="18"/>
              </w:rPr>
            </w:pPr>
            <w:r w:rsidRPr="00822F5E">
              <w:rPr>
                <w:rFonts w:ascii="Wingdings 3" w:hAnsi="Wingdings 3" w:cs="Calibri"/>
                <w:i/>
                <w:iCs/>
                <w:sz w:val="18"/>
                <w:szCs w:val="18"/>
              </w:rPr>
              <w:t></w:t>
            </w:r>
            <w:r w:rsidRPr="00822F5E">
              <w:rPr>
                <w:rFonts w:cs="Arial"/>
                <w:i/>
                <w:iCs/>
                <w:sz w:val="18"/>
                <w:szCs w:val="18"/>
              </w:rPr>
              <w:t xml:space="preserve">   when required</w:t>
            </w:r>
          </w:p>
        </w:tc>
        <w:tc>
          <w:tcPr>
            <w:tcW w:w="851" w:type="dxa"/>
            <w:tcBorders>
              <w:top w:val="nil"/>
              <w:left w:val="nil"/>
              <w:bottom w:val="nil"/>
              <w:right w:val="nil"/>
            </w:tcBorders>
            <w:shd w:val="clear" w:color="auto" w:fill="auto"/>
            <w:vAlign w:val="center"/>
            <w:hideMark/>
          </w:tcPr>
          <w:p w14:paraId="2A43C636" w14:textId="77777777" w:rsidR="00572F25" w:rsidRPr="00822F5E" w:rsidRDefault="00572F25" w:rsidP="00140544">
            <w:pPr>
              <w:spacing w:after="0"/>
              <w:jc w:val="center"/>
              <w:rPr>
                <w:rFonts w:cs="Arial"/>
                <w:i/>
                <w:iCs/>
                <w:sz w:val="18"/>
                <w:szCs w:val="18"/>
              </w:rPr>
            </w:pPr>
            <w:r w:rsidRPr="00822F5E">
              <w:rPr>
                <w:rFonts w:cs="Arial"/>
                <w:i/>
                <w:iCs/>
                <w:sz w:val="18"/>
                <w:szCs w:val="18"/>
              </w:rPr>
              <w:t>7,490</w:t>
            </w:r>
          </w:p>
        </w:tc>
        <w:tc>
          <w:tcPr>
            <w:tcW w:w="921" w:type="dxa"/>
            <w:tcBorders>
              <w:top w:val="nil"/>
              <w:left w:val="nil"/>
              <w:bottom w:val="nil"/>
              <w:right w:val="dashed" w:sz="8" w:space="0" w:color="F0CAB6"/>
            </w:tcBorders>
            <w:shd w:val="clear" w:color="auto" w:fill="auto"/>
            <w:noWrap/>
            <w:vAlign w:val="center"/>
            <w:hideMark/>
          </w:tcPr>
          <w:p w14:paraId="0517D113" w14:textId="77777777" w:rsidR="00572F25" w:rsidRPr="00822F5E" w:rsidRDefault="00572F25" w:rsidP="00140544">
            <w:pPr>
              <w:spacing w:after="0"/>
              <w:jc w:val="right"/>
              <w:rPr>
                <w:rFonts w:cs="Arial"/>
                <w:i/>
                <w:iCs/>
                <w:sz w:val="18"/>
                <w:szCs w:val="18"/>
              </w:rPr>
            </w:pPr>
            <w:r w:rsidRPr="00822F5E">
              <w:rPr>
                <w:rFonts w:cs="Arial"/>
                <w:i/>
                <w:iCs/>
                <w:sz w:val="18"/>
                <w:szCs w:val="18"/>
              </w:rPr>
              <w:t>5,615</w:t>
            </w:r>
          </w:p>
        </w:tc>
        <w:tc>
          <w:tcPr>
            <w:tcW w:w="921" w:type="dxa"/>
            <w:tcBorders>
              <w:top w:val="nil"/>
              <w:left w:val="nil"/>
              <w:bottom w:val="nil"/>
              <w:right w:val="dashed" w:sz="8" w:space="0" w:color="F0CAB6"/>
            </w:tcBorders>
            <w:shd w:val="clear" w:color="auto" w:fill="auto"/>
            <w:noWrap/>
            <w:vAlign w:val="center"/>
            <w:hideMark/>
          </w:tcPr>
          <w:p w14:paraId="7DBC7601" w14:textId="77777777" w:rsidR="00572F25" w:rsidRPr="00822F5E" w:rsidRDefault="00572F25" w:rsidP="00140544">
            <w:pPr>
              <w:spacing w:after="0"/>
              <w:rPr>
                <w:rFonts w:cs="Arial"/>
                <w:i/>
                <w:iCs/>
                <w:sz w:val="18"/>
                <w:szCs w:val="18"/>
              </w:rPr>
            </w:pPr>
            <w:r w:rsidRPr="00822F5E">
              <w:rPr>
                <w:rFonts w:cs="Arial"/>
                <w:i/>
                <w:iCs/>
                <w:sz w:val="18"/>
                <w:szCs w:val="18"/>
              </w:rPr>
              <w:t>75.0</w:t>
            </w:r>
          </w:p>
        </w:tc>
        <w:tc>
          <w:tcPr>
            <w:tcW w:w="922" w:type="dxa"/>
            <w:tcBorders>
              <w:top w:val="nil"/>
              <w:left w:val="nil"/>
              <w:bottom w:val="nil"/>
              <w:right w:val="dashed" w:sz="8" w:space="0" w:color="F0CAB6"/>
            </w:tcBorders>
            <w:shd w:val="clear" w:color="auto" w:fill="auto"/>
            <w:noWrap/>
            <w:vAlign w:val="center"/>
            <w:hideMark/>
          </w:tcPr>
          <w:p w14:paraId="4207F5BB" w14:textId="77777777" w:rsidR="00572F25" w:rsidRPr="00822F5E" w:rsidRDefault="00572F25" w:rsidP="00140544">
            <w:pPr>
              <w:spacing w:after="0"/>
              <w:jc w:val="right"/>
              <w:rPr>
                <w:rFonts w:cs="Arial"/>
                <w:i/>
                <w:iCs/>
                <w:sz w:val="18"/>
                <w:szCs w:val="18"/>
              </w:rPr>
            </w:pPr>
            <w:r w:rsidRPr="00822F5E">
              <w:rPr>
                <w:rFonts w:cs="Arial"/>
                <w:i/>
                <w:iCs/>
                <w:sz w:val="18"/>
                <w:szCs w:val="18"/>
              </w:rPr>
              <w:t>1,634</w:t>
            </w:r>
          </w:p>
        </w:tc>
        <w:tc>
          <w:tcPr>
            <w:tcW w:w="921" w:type="dxa"/>
            <w:tcBorders>
              <w:top w:val="nil"/>
              <w:left w:val="nil"/>
              <w:bottom w:val="nil"/>
              <w:right w:val="dashed" w:sz="8" w:space="0" w:color="F0CAB6"/>
            </w:tcBorders>
            <w:shd w:val="clear" w:color="auto" w:fill="auto"/>
            <w:noWrap/>
            <w:vAlign w:val="center"/>
            <w:hideMark/>
          </w:tcPr>
          <w:p w14:paraId="466ADA07" w14:textId="77777777" w:rsidR="00572F25" w:rsidRPr="00822F5E" w:rsidRDefault="00572F25" w:rsidP="00140544">
            <w:pPr>
              <w:spacing w:after="0"/>
              <w:rPr>
                <w:rFonts w:cs="Arial"/>
                <w:i/>
                <w:iCs/>
                <w:sz w:val="18"/>
                <w:szCs w:val="18"/>
              </w:rPr>
            </w:pPr>
            <w:r w:rsidRPr="00822F5E">
              <w:rPr>
                <w:rFonts w:cs="Arial"/>
                <w:i/>
                <w:iCs/>
                <w:sz w:val="18"/>
                <w:szCs w:val="18"/>
              </w:rPr>
              <w:t>21.8</w:t>
            </w:r>
          </w:p>
        </w:tc>
        <w:tc>
          <w:tcPr>
            <w:tcW w:w="921" w:type="dxa"/>
            <w:tcBorders>
              <w:top w:val="nil"/>
              <w:left w:val="nil"/>
              <w:bottom w:val="nil"/>
              <w:right w:val="dashed" w:sz="8" w:space="0" w:color="F0CAB6"/>
            </w:tcBorders>
            <w:shd w:val="clear" w:color="auto" w:fill="auto"/>
            <w:noWrap/>
            <w:vAlign w:val="center"/>
            <w:hideMark/>
          </w:tcPr>
          <w:p w14:paraId="0C3B293F" w14:textId="77777777" w:rsidR="00572F25" w:rsidRPr="00822F5E" w:rsidRDefault="00572F25" w:rsidP="00140544">
            <w:pPr>
              <w:spacing w:after="0"/>
              <w:jc w:val="right"/>
              <w:rPr>
                <w:rFonts w:cs="Arial"/>
                <w:i/>
                <w:iCs/>
                <w:sz w:val="18"/>
                <w:szCs w:val="18"/>
              </w:rPr>
            </w:pPr>
            <w:r w:rsidRPr="00822F5E">
              <w:rPr>
                <w:rFonts w:cs="Arial"/>
                <w:i/>
                <w:iCs/>
                <w:sz w:val="18"/>
                <w:szCs w:val="18"/>
              </w:rPr>
              <w:t>241</w:t>
            </w:r>
          </w:p>
        </w:tc>
        <w:tc>
          <w:tcPr>
            <w:tcW w:w="922" w:type="dxa"/>
            <w:tcBorders>
              <w:top w:val="nil"/>
              <w:left w:val="nil"/>
              <w:bottom w:val="nil"/>
              <w:right w:val="dashed" w:sz="8" w:space="0" w:color="F0CAB6"/>
            </w:tcBorders>
            <w:shd w:val="clear" w:color="auto" w:fill="auto"/>
            <w:noWrap/>
            <w:vAlign w:val="center"/>
            <w:hideMark/>
          </w:tcPr>
          <w:p w14:paraId="54A9FC2D" w14:textId="77777777" w:rsidR="00572F25" w:rsidRPr="00822F5E" w:rsidRDefault="00572F25" w:rsidP="00140544">
            <w:pPr>
              <w:spacing w:after="0"/>
              <w:rPr>
                <w:rFonts w:cs="Arial"/>
                <w:i/>
                <w:iCs/>
                <w:sz w:val="18"/>
                <w:szCs w:val="18"/>
              </w:rPr>
            </w:pPr>
            <w:r w:rsidRPr="00822F5E">
              <w:rPr>
                <w:rFonts w:cs="Arial"/>
                <w:i/>
                <w:iCs/>
                <w:sz w:val="18"/>
                <w:szCs w:val="18"/>
              </w:rPr>
              <w:t>3.2</w:t>
            </w:r>
          </w:p>
        </w:tc>
      </w:tr>
      <w:tr w:rsidR="00572F25" w:rsidRPr="004243B7" w14:paraId="142F37E7" w14:textId="77777777" w:rsidTr="00140544">
        <w:trPr>
          <w:trHeight w:val="289"/>
        </w:trPr>
        <w:tc>
          <w:tcPr>
            <w:tcW w:w="2835" w:type="dxa"/>
            <w:tcBorders>
              <w:top w:val="nil"/>
              <w:left w:val="nil"/>
              <w:bottom w:val="nil"/>
              <w:right w:val="nil"/>
            </w:tcBorders>
            <w:shd w:val="clear" w:color="auto" w:fill="auto"/>
            <w:vAlign w:val="center"/>
            <w:hideMark/>
          </w:tcPr>
          <w:p w14:paraId="5539C323" w14:textId="77777777" w:rsidR="00572F25" w:rsidRPr="00822F5E" w:rsidRDefault="00572F25" w:rsidP="00140544">
            <w:pPr>
              <w:spacing w:after="0"/>
              <w:ind w:firstLineChars="200" w:firstLine="360"/>
              <w:rPr>
                <w:rFonts w:ascii="Wingdings 3" w:hAnsi="Wingdings 3" w:cs="Calibri"/>
                <w:i/>
                <w:iCs/>
                <w:sz w:val="18"/>
                <w:szCs w:val="18"/>
              </w:rPr>
            </w:pPr>
            <w:r w:rsidRPr="00822F5E">
              <w:rPr>
                <w:rFonts w:ascii="Wingdings 3" w:hAnsi="Wingdings 3" w:cs="Calibri"/>
                <w:i/>
                <w:iCs/>
                <w:sz w:val="18"/>
                <w:szCs w:val="18"/>
              </w:rPr>
              <w:t></w:t>
            </w:r>
            <w:r w:rsidRPr="00822F5E">
              <w:rPr>
                <w:rFonts w:cs="Arial"/>
                <w:i/>
                <w:iCs/>
                <w:sz w:val="18"/>
                <w:szCs w:val="18"/>
              </w:rPr>
              <w:t xml:space="preserve">   when not required</w:t>
            </w:r>
          </w:p>
        </w:tc>
        <w:tc>
          <w:tcPr>
            <w:tcW w:w="851" w:type="dxa"/>
            <w:tcBorders>
              <w:top w:val="nil"/>
              <w:left w:val="nil"/>
              <w:right w:val="nil"/>
            </w:tcBorders>
            <w:shd w:val="clear" w:color="auto" w:fill="auto"/>
            <w:vAlign w:val="center"/>
            <w:hideMark/>
          </w:tcPr>
          <w:p w14:paraId="23FFEEBB" w14:textId="77777777" w:rsidR="00572F25" w:rsidRPr="00822F5E" w:rsidRDefault="00572F25" w:rsidP="00140544">
            <w:pPr>
              <w:spacing w:after="0"/>
              <w:jc w:val="center"/>
              <w:rPr>
                <w:rFonts w:cs="Arial"/>
                <w:i/>
                <w:iCs/>
                <w:sz w:val="18"/>
                <w:szCs w:val="18"/>
              </w:rPr>
            </w:pPr>
            <w:r w:rsidRPr="00822F5E">
              <w:rPr>
                <w:rFonts w:cs="Arial"/>
                <w:i/>
                <w:iCs/>
                <w:sz w:val="18"/>
                <w:szCs w:val="18"/>
              </w:rPr>
              <w:t>951</w:t>
            </w:r>
          </w:p>
        </w:tc>
        <w:tc>
          <w:tcPr>
            <w:tcW w:w="921" w:type="dxa"/>
            <w:tcBorders>
              <w:top w:val="nil"/>
              <w:left w:val="nil"/>
              <w:bottom w:val="nil"/>
              <w:right w:val="dashed" w:sz="8" w:space="0" w:color="F0CAB6"/>
            </w:tcBorders>
            <w:shd w:val="clear" w:color="auto" w:fill="auto"/>
            <w:noWrap/>
            <w:vAlign w:val="center"/>
            <w:hideMark/>
          </w:tcPr>
          <w:p w14:paraId="2C764DAF" w14:textId="77777777" w:rsidR="00572F25" w:rsidRPr="00822F5E" w:rsidRDefault="00572F25" w:rsidP="00140544">
            <w:pPr>
              <w:spacing w:after="0"/>
              <w:jc w:val="right"/>
              <w:rPr>
                <w:rFonts w:cs="Arial"/>
                <w:i/>
                <w:iCs/>
                <w:sz w:val="18"/>
                <w:szCs w:val="18"/>
              </w:rPr>
            </w:pPr>
            <w:r w:rsidRPr="00822F5E">
              <w:rPr>
                <w:rFonts w:cs="Arial"/>
                <w:i/>
                <w:iCs/>
                <w:sz w:val="18"/>
                <w:szCs w:val="18"/>
              </w:rPr>
              <w:t>–</w:t>
            </w:r>
          </w:p>
        </w:tc>
        <w:tc>
          <w:tcPr>
            <w:tcW w:w="921" w:type="dxa"/>
            <w:tcBorders>
              <w:top w:val="nil"/>
              <w:left w:val="nil"/>
              <w:bottom w:val="nil"/>
              <w:right w:val="dashed" w:sz="8" w:space="0" w:color="F0CAB6"/>
            </w:tcBorders>
            <w:shd w:val="clear" w:color="auto" w:fill="auto"/>
            <w:noWrap/>
            <w:vAlign w:val="center"/>
            <w:hideMark/>
          </w:tcPr>
          <w:p w14:paraId="518EEC91" w14:textId="77777777" w:rsidR="00572F25" w:rsidRPr="00822F5E" w:rsidRDefault="00572F25" w:rsidP="00140544">
            <w:pPr>
              <w:spacing w:after="0"/>
              <w:rPr>
                <w:rFonts w:cs="Arial"/>
                <w:i/>
                <w:iCs/>
                <w:sz w:val="18"/>
                <w:szCs w:val="18"/>
              </w:rPr>
            </w:pPr>
            <w:r w:rsidRPr="00822F5E">
              <w:rPr>
                <w:rFonts w:cs="Arial"/>
                <w:i/>
                <w:iCs/>
                <w:sz w:val="18"/>
                <w:szCs w:val="18"/>
              </w:rPr>
              <w:t>–</w:t>
            </w:r>
          </w:p>
        </w:tc>
        <w:tc>
          <w:tcPr>
            <w:tcW w:w="922" w:type="dxa"/>
            <w:tcBorders>
              <w:top w:val="nil"/>
              <w:left w:val="nil"/>
              <w:bottom w:val="nil"/>
              <w:right w:val="dashed" w:sz="8" w:space="0" w:color="F0CAB6"/>
            </w:tcBorders>
            <w:shd w:val="clear" w:color="auto" w:fill="auto"/>
            <w:noWrap/>
            <w:vAlign w:val="center"/>
            <w:hideMark/>
          </w:tcPr>
          <w:p w14:paraId="73166724" w14:textId="77777777" w:rsidR="00572F25" w:rsidRPr="00822F5E" w:rsidRDefault="00572F25" w:rsidP="00140544">
            <w:pPr>
              <w:spacing w:after="0"/>
              <w:jc w:val="right"/>
              <w:rPr>
                <w:rFonts w:cs="Arial"/>
                <w:i/>
                <w:iCs/>
                <w:sz w:val="18"/>
                <w:szCs w:val="18"/>
              </w:rPr>
            </w:pPr>
            <w:r w:rsidRPr="00822F5E">
              <w:rPr>
                <w:rFonts w:cs="Arial"/>
                <w:i/>
                <w:iCs/>
                <w:sz w:val="18"/>
                <w:szCs w:val="18"/>
              </w:rPr>
              <w:t>937</w:t>
            </w:r>
          </w:p>
        </w:tc>
        <w:tc>
          <w:tcPr>
            <w:tcW w:w="921" w:type="dxa"/>
            <w:tcBorders>
              <w:top w:val="nil"/>
              <w:left w:val="nil"/>
              <w:bottom w:val="nil"/>
              <w:right w:val="dashed" w:sz="8" w:space="0" w:color="F0CAB6"/>
            </w:tcBorders>
            <w:shd w:val="clear" w:color="auto" w:fill="auto"/>
            <w:noWrap/>
            <w:vAlign w:val="center"/>
            <w:hideMark/>
          </w:tcPr>
          <w:p w14:paraId="3D7FC292" w14:textId="77777777" w:rsidR="00572F25" w:rsidRPr="00822F5E" w:rsidRDefault="00572F25" w:rsidP="00140544">
            <w:pPr>
              <w:spacing w:after="0"/>
              <w:rPr>
                <w:rFonts w:cs="Arial"/>
                <w:i/>
                <w:iCs/>
                <w:sz w:val="18"/>
                <w:szCs w:val="18"/>
              </w:rPr>
            </w:pPr>
            <w:r w:rsidRPr="00822F5E">
              <w:rPr>
                <w:rFonts w:cs="Arial"/>
                <w:i/>
                <w:iCs/>
                <w:sz w:val="18"/>
                <w:szCs w:val="18"/>
              </w:rPr>
              <w:t>98.5</w:t>
            </w:r>
          </w:p>
        </w:tc>
        <w:tc>
          <w:tcPr>
            <w:tcW w:w="921" w:type="dxa"/>
            <w:tcBorders>
              <w:top w:val="nil"/>
              <w:left w:val="nil"/>
              <w:bottom w:val="nil"/>
              <w:right w:val="dashed" w:sz="8" w:space="0" w:color="E8B092"/>
            </w:tcBorders>
            <w:shd w:val="clear" w:color="auto" w:fill="auto"/>
            <w:noWrap/>
            <w:vAlign w:val="center"/>
            <w:hideMark/>
          </w:tcPr>
          <w:p w14:paraId="6958237E" w14:textId="77777777" w:rsidR="00572F25" w:rsidRPr="00822F5E" w:rsidRDefault="00572F25" w:rsidP="00140544">
            <w:pPr>
              <w:spacing w:after="0"/>
              <w:jc w:val="right"/>
              <w:rPr>
                <w:rFonts w:cs="Arial"/>
                <w:i/>
                <w:iCs/>
                <w:sz w:val="18"/>
                <w:szCs w:val="18"/>
              </w:rPr>
            </w:pPr>
            <w:r w:rsidRPr="00822F5E">
              <w:rPr>
                <w:rFonts w:cs="Arial"/>
                <w:i/>
                <w:iCs/>
                <w:sz w:val="18"/>
                <w:szCs w:val="18"/>
              </w:rPr>
              <w:t>14</w:t>
            </w:r>
          </w:p>
        </w:tc>
        <w:tc>
          <w:tcPr>
            <w:tcW w:w="922" w:type="dxa"/>
            <w:tcBorders>
              <w:top w:val="nil"/>
              <w:left w:val="nil"/>
              <w:bottom w:val="nil"/>
              <w:right w:val="dashed" w:sz="8" w:space="0" w:color="F0CAB6"/>
            </w:tcBorders>
            <w:shd w:val="clear" w:color="auto" w:fill="auto"/>
            <w:noWrap/>
            <w:vAlign w:val="center"/>
            <w:hideMark/>
          </w:tcPr>
          <w:p w14:paraId="75568B69" w14:textId="77777777" w:rsidR="00572F25" w:rsidRPr="00822F5E" w:rsidRDefault="00572F25" w:rsidP="00140544">
            <w:pPr>
              <w:spacing w:after="0"/>
              <w:rPr>
                <w:rFonts w:cs="Arial"/>
                <w:i/>
                <w:iCs/>
                <w:sz w:val="18"/>
                <w:szCs w:val="18"/>
              </w:rPr>
            </w:pPr>
            <w:r w:rsidRPr="00822F5E">
              <w:rPr>
                <w:rFonts w:cs="Arial"/>
                <w:i/>
                <w:iCs/>
                <w:sz w:val="18"/>
                <w:szCs w:val="18"/>
              </w:rPr>
              <w:t>1.5</w:t>
            </w:r>
          </w:p>
        </w:tc>
      </w:tr>
      <w:tr w:rsidR="00572F25" w:rsidRPr="004243B7" w14:paraId="1BDF2EF0" w14:textId="77777777" w:rsidTr="00140544">
        <w:trPr>
          <w:trHeight w:val="421"/>
        </w:trPr>
        <w:tc>
          <w:tcPr>
            <w:tcW w:w="2835" w:type="dxa"/>
            <w:tcBorders>
              <w:top w:val="nil"/>
              <w:left w:val="nil"/>
              <w:bottom w:val="nil"/>
              <w:right w:val="nil"/>
            </w:tcBorders>
            <w:shd w:val="clear" w:color="auto" w:fill="auto"/>
            <w:vAlign w:val="center"/>
            <w:hideMark/>
          </w:tcPr>
          <w:p w14:paraId="72805D06" w14:textId="77777777" w:rsidR="00572F25" w:rsidRPr="004243B7" w:rsidRDefault="00572F25" w:rsidP="00140544">
            <w:pPr>
              <w:spacing w:after="0"/>
              <w:ind w:firstLineChars="100" w:firstLine="180"/>
              <w:rPr>
                <w:rFonts w:cs="Arial"/>
                <w:color w:val="000000"/>
                <w:sz w:val="18"/>
                <w:szCs w:val="18"/>
              </w:rPr>
            </w:pPr>
            <w:r w:rsidRPr="004243B7">
              <w:rPr>
                <w:rFonts w:cs="Arial"/>
                <w:color w:val="000000"/>
                <w:sz w:val="18"/>
                <w:szCs w:val="18"/>
              </w:rPr>
              <w:t xml:space="preserve">No antimicrobial prescribed </w:t>
            </w:r>
          </w:p>
        </w:tc>
        <w:tc>
          <w:tcPr>
            <w:tcW w:w="851" w:type="dxa"/>
            <w:tcBorders>
              <w:top w:val="nil"/>
              <w:left w:val="nil"/>
              <w:bottom w:val="nil"/>
            </w:tcBorders>
            <w:shd w:val="clear" w:color="auto" w:fill="auto"/>
            <w:noWrap/>
            <w:vAlign w:val="center"/>
            <w:hideMark/>
          </w:tcPr>
          <w:p w14:paraId="417DB3A7" w14:textId="77777777" w:rsidR="00572F25" w:rsidRPr="004243B7" w:rsidRDefault="00572F25" w:rsidP="00140544">
            <w:pPr>
              <w:spacing w:after="0"/>
              <w:jc w:val="center"/>
              <w:rPr>
                <w:rFonts w:cs="Arial"/>
                <w:color w:val="000000"/>
                <w:sz w:val="18"/>
                <w:szCs w:val="18"/>
              </w:rPr>
            </w:pPr>
            <w:r>
              <w:rPr>
                <w:rFonts w:cs="Arial"/>
                <w:color w:val="000000"/>
                <w:sz w:val="18"/>
                <w:szCs w:val="18"/>
              </w:rPr>
              <w:t>2,610</w:t>
            </w:r>
          </w:p>
        </w:tc>
        <w:tc>
          <w:tcPr>
            <w:tcW w:w="921" w:type="dxa"/>
            <w:tcBorders>
              <w:top w:val="nil"/>
              <w:left w:val="nil"/>
              <w:bottom w:val="nil"/>
              <w:right w:val="dashed" w:sz="8" w:space="0" w:color="F0CAB6"/>
            </w:tcBorders>
            <w:shd w:val="clear" w:color="auto" w:fill="auto"/>
            <w:noWrap/>
            <w:vAlign w:val="center"/>
            <w:hideMark/>
          </w:tcPr>
          <w:p w14:paraId="0E61ECE8" w14:textId="77777777" w:rsidR="00572F25" w:rsidRPr="004243B7" w:rsidRDefault="00572F25" w:rsidP="00140544">
            <w:pPr>
              <w:spacing w:after="0"/>
              <w:jc w:val="right"/>
              <w:rPr>
                <w:rFonts w:cs="Arial"/>
                <w:color w:val="000000"/>
                <w:sz w:val="18"/>
                <w:szCs w:val="18"/>
              </w:rPr>
            </w:pPr>
            <w:r>
              <w:rPr>
                <w:rFonts w:cs="Arial"/>
                <w:color w:val="000000"/>
                <w:sz w:val="18"/>
                <w:szCs w:val="18"/>
              </w:rPr>
              <w:t>2,268</w:t>
            </w:r>
          </w:p>
        </w:tc>
        <w:tc>
          <w:tcPr>
            <w:tcW w:w="921" w:type="dxa"/>
            <w:tcBorders>
              <w:top w:val="nil"/>
              <w:left w:val="nil"/>
              <w:bottom w:val="nil"/>
              <w:right w:val="dashed" w:sz="8" w:space="0" w:color="F0CAB6"/>
            </w:tcBorders>
            <w:shd w:val="clear" w:color="auto" w:fill="auto"/>
            <w:noWrap/>
            <w:vAlign w:val="center"/>
            <w:hideMark/>
          </w:tcPr>
          <w:p w14:paraId="5DCA2E96" w14:textId="77777777" w:rsidR="00572F25" w:rsidRPr="004243B7" w:rsidRDefault="00572F25" w:rsidP="00140544">
            <w:pPr>
              <w:spacing w:after="0"/>
              <w:rPr>
                <w:rFonts w:cs="Arial"/>
                <w:color w:val="000000"/>
                <w:sz w:val="18"/>
                <w:szCs w:val="18"/>
              </w:rPr>
            </w:pPr>
            <w:r>
              <w:rPr>
                <w:rFonts w:cs="Arial"/>
                <w:color w:val="000000"/>
                <w:sz w:val="18"/>
                <w:szCs w:val="18"/>
              </w:rPr>
              <w:t>86.9</w:t>
            </w:r>
          </w:p>
        </w:tc>
        <w:tc>
          <w:tcPr>
            <w:tcW w:w="922" w:type="dxa"/>
            <w:tcBorders>
              <w:top w:val="nil"/>
              <w:left w:val="nil"/>
              <w:bottom w:val="nil"/>
              <w:right w:val="dashed" w:sz="8" w:space="0" w:color="F0CAB6"/>
            </w:tcBorders>
            <w:shd w:val="clear" w:color="auto" w:fill="auto"/>
            <w:noWrap/>
            <w:vAlign w:val="center"/>
            <w:hideMark/>
          </w:tcPr>
          <w:p w14:paraId="306A1413" w14:textId="77777777" w:rsidR="00572F25" w:rsidRPr="004243B7" w:rsidRDefault="00572F25" w:rsidP="00140544">
            <w:pPr>
              <w:spacing w:after="0"/>
              <w:jc w:val="right"/>
              <w:rPr>
                <w:rFonts w:cs="Arial"/>
                <w:color w:val="000000"/>
                <w:sz w:val="18"/>
                <w:szCs w:val="18"/>
              </w:rPr>
            </w:pPr>
            <w:r>
              <w:rPr>
                <w:rFonts w:cs="Arial"/>
                <w:color w:val="000000"/>
                <w:sz w:val="18"/>
                <w:szCs w:val="18"/>
              </w:rPr>
              <w:t>215</w:t>
            </w:r>
          </w:p>
        </w:tc>
        <w:tc>
          <w:tcPr>
            <w:tcW w:w="921" w:type="dxa"/>
            <w:tcBorders>
              <w:top w:val="nil"/>
              <w:left w:val="nil"/>
              <w:bottom w:val="nil"/>
              <w:right w:val="dashed" w:sz="8" w:space="0" w:color="F0CAB6"/>
            </w:tcBorders>
            <w:shd w:val="clear" w:color="auto" w:fill="auto"/>
            <w:noWrap/>
            <w:vAlign w:val="center"/>
            <w:hideMark/>
          </w:tcPr>
          <w:p w14:paraId="7090DFBC" w14:textId="77777777" w:rsidR="00572F25" w:rsidRPr="004243B7" w:rsidRDefault="00572F25" w:rsidP="00140544">
            <w:pPr>
              <w:spacing w:after="0"/>
              <w:rPr>
                <w:rFonts w:cs="Arial"/>
                <w:color w:val="000000"/>
                <w:sz w:val="18"/>
                <w:szCs w:val="18"/>
              </w:rPr>
            </w:pPr>
            <w:r>
              <w:rPr>
                <w:rFonts w:cs="Arial"/>
                <w:color w:val="000000"/>
                <w:sz w:val="18"/>
                <w:szCs w:val="18"/>
              </w:rPr>
              <w:t>8.2</w:t>
            </w:r>
          </w:p>
        </w:tc>
        <w:tc>
          <w:tcPr>
            <w:tcW w:w="921" w:type="dxa"/>
            <w:tcBorders>
              <w:top w:val="nil"/>
              <w:left w:val="nil"/>
              <w:bottom w:val="nil"/>
              <w:right w:val="dashed" w:sz="8" w:space="0" w:color="F0CAB6"/>
            </w:tcBorders>
            <w:shd w:val="clear" w:color="auto" w:fill="auto"/>
            <w:noWrap/>
            <w:vAlign w:val="center"/>
            <w:hideMark/>
          </w:tcPr>
          <w:p w14:paraId="00E43067" w14:textId="77777777" w:rsidR="00572F25" w:rsidRPr="004243B7" w:rsidRDefault="00572F25" w:rsidP="00140544">
            <w:pPr>
              <w:spacing w:after="0"/>
              <w:jc w:val="right"/>
              <w:rPr>
                <w:rFonts w:cs="Arial"/>
                <w:color w:val="000000"/>
                <w:sz w:val="18"/>
                <w:szCs w:val="18"/>
              </w:rPr>
            </w:pPr>
            <w:r>
              <w:rPr>
                <w:rFonts w:cs="Arial"/>
                <w:color w:val="000000"/>
                <w:sz w:val="18"/>
                <w:szCs w:val="18"/>
              </w:rPr>
              <w:t>127</w:t>
            </w:r>
          </w:p>
        </w:tc>
        <w:tc>
          <w:tcPr>
            <w:tcW w:w="922" w:type="dxa"/>
            <w:tcBorders>
              <w:top w:val="nil"/>
              <w:left w:val="nil"/>
              <w:bottom w:val="nil"/>
              <w:right w:val="dashed" w:sz="8" w:space="0" w:color="F0CAB6"/>
            </w:tcBorders>
            <w:shd w:val="clear" w:color="auto" w:fill="auto"/>
            <w:noWrap/>
            <w:vAlign w:val="center"/>
            <w:hideMark/>
          </w:tcPr>
          <w:p w14:paraId="4D2191B2" w14:textId="77777777" w:rsidR="00572F25" w:rsidRPr="004243B7" w:rsidRDefault="00572F25" w:rsidP="00140544">
            <w:pPr>
              <w:spacing w:after="0"/>
              <w:rPr>
                <w:rFonts w:cs="Arial"/>
                <w:color w:val="000000"/>
                <w:sz w:val="18"/>
                <w:szCs w:val="18"/>
              </w:rPr>
            </w:pPr>
            <w:r>
              <w:rPr>
                <w:rFonts w:cs="Arial"/>
                <w:color w:val="000000"/>
                <w:sz w:val="18"/>
                <w:szCs w:val="18"/>
              </w:rPr>
              <w:t>4.9</w:t>
            </w:r>
          </w:p>
        </w:tc>
      </w:tr>
      <w:tr w:rsidR="00572F25" w:rsidRPr="004243B7" w14:paraId="651FB0BB" w14:textId="77777777" w:rsidTr="00140544">
        <w:trPr>
          <w:trHeight w:val="201"/>
        </w:trPr>
        <w:tc>
          <w:tcPr>
            <w:tcW w:w="2835" w:type="dxa"/>
            <w:tcBorders>
              <w:top w:val="nil"/>
              <w:left w:val="nil"/>
              <w:bottom w:val="nil"/>
              <w:right w:val="nil"/>
            </w:tcBorders>
            <w:shd w:val="clear" w:color="auto" w:fill="auto"/>
            <w:vAlign w:val="center"/>
            <w:hideMark/>
          </w:tcPr>
          <w:p w14:paraId="5C1860E3" w14:textId="77777777" w:rsidR="00572F25" w:rsidRPr="00822F5E" w:rsidRDefault="00572F25" w:rsidP="00140544">
            <w:pPr>
              <w:spacing w:after="0"/>
              <w:ind w:firstLineChars="200" w:firstLine="360"/>
              <w:rPr>
                <w:rFonts w:ascii="Wingdings 3" w:hAnsi="Wingdings 3" w:cs="Calibri"/>
                <w:i/>
                <w:iCs/>
                <w:sz w:val="18"/>
                <w:szCs w:val="18"/>
              </w:rPr>
            </w:pPr>
            <w:r w:rsidRPr="00822F5E">
              <w:rPr>
                <w:rFonts w:ascii="Wingdings 3" w:hAnsi="Wingdings 3" w:cs="Calibri"/>
                <w:i/>
                <w:iCs/>
                <w:sz w:val="18"/>
                <w:szCs w:val="18"/>
              </w:rPr>
              <w:t></w:t>
            </w:r>
            <w:r w:rsidRPr="00822F5E">
              <w:rPr>
                <w:rFonts w:cs="Arial"/>
                <w:i/>
                <w:iCs/>
                <w:sz w:val="18"/>
                <w:szCs w:val="18"/>
              </w:rPr>
              <w:t xml:space="preserve">   when required</w:t>
            </w:r>
          </w:p>
        </w:tc>
        <w:tc>
          <w:tcPr>
            <w:tcW w:w="851" w:type="dxa"/>
            <w:tcBorders>
              <w:top w:val="nil"/>
              <w:left w:val="nil"/>
              <w:bottom w:val="nil"/>
            </w:tcBorders>
            <w:shd w:val="clear" w:color="auto" w:fill="auto"/>
            <w:noWrap/>
            <w:vAlign w:val="center"/>
            <w:hideMark/>
          </w:tcPr>
          <w:p w14:paraId="2E49CB0B" w14:textId="77777777" w:rsidR="00572F25" w:rsidRPr="00822F5E" w:rsidRDefault="00572F25" w:rsidP="00140544">
            <w:pPr>
              <w:spacing w:after="0"/>
              <w:jc w:val="center"/>
              <w:rPr>
                <w:rFonts w:cs="Arial"/>
                <w:i/>
                <w:iCs/>
                <w:sz w:val="18"/>
                <w:szCs w:val="18"/>
              </w:rPr>
            </w:pPr>
            <w:r w:rsidRPr="00822F5E">
              <w:rPr>
                <w:rFonts w:cs="Arial"/>
                <w:i/>
                <w:iCs/>
                <w:sz w:val="18"/>
                <w:szCs w:val="18"/>
              </w:rPr>
              <w:t>259</w:t>
            </w:r>
          </w:p>
        </w:tc>
        <w:tc>
          <w:tcPr>
            <w:tcW w:w="921" w:type="dxa"/>
            <w:tcBorders>
              <w:top w:val="nil"/>
              <w:left w:val="nil"/>
              <w:bottom w:val="nil"/>
              <w:right w:val="dashed" w:sz="8" w:space="0" w:color="F0CAB6"/>
            </w:tcBorders>
            <w:shd w:val="clear" w:color="auto" w:fill="auto"/>
            <w:noWrap/>
            <w:vAlign w:val="center"/>
            <w:hideMark/>
          </w:tcPr>
          <w:p w14:paraId="5FFF3205" w14:textId="77777777" w:rsidR="00572F25" w:rsidRPr="00822F5E" w:rsidRDefault="00572F25" w:rsidP="00140544">
            <w:pPr>
              <w:spacing w:after="0"/>
              <w:jc w:val="right"/>
              <w:rPr>
                <w:rFonts w:cs="Arial"/>
                <w:i/>
                <w:iCs/>
                <w:sz w:val="18"/>
                <w:szCs w:val="18"/>
              </w:rPr>
            </w:pPr>
            <w:r w:rsidRPr="00822F5E">
              <w:rPr>
                <w:rFonts w:cs="Arial"/>
                <w:i/>
                <w:iCs/>
                <w:sz w:val="18"/>
                <w:szCs w:val="18"/>
              </w:rPr>
              <w:t>51</w:t>
            </w:r>
          </w:p>
        </w:tc>
        <w:tc>
          <w:tcPr>
            <w:tcW w:w="921" w:type="dxa"/>
            <w:tcBorders>
              <w:top w:val="nil"/>
              <w:left w:val="nil"/>
              <w:bottom w:val="nil"/>
              <w:right w:val="dashed" w:sz="8" w:space="0" w:color="F0CAB6"/>
            </w:tcBorders>
            <w:shd w:val="clear" w:color="auto" w:fill="auto"/>
            <w:noWrap/>
            <w:vAlign w:val="center"/>
            <w:hideMark/>
          </w:tcPr>
          <w:p w14:paraId="5C2EDF87" w14:textId="77777777" w:rsidR="00572F25" w:rsidRPr="00822F5E" w:rsidRDefault="00572F25" w:rsidP="00140544">
            <w:pPr>
              <w:spacing w:after="0"/>
              <w:rPr>
                <w:rFonts w:cs="Arial"/>
                <w:i/>
                <w:iCs/>
                <w:sz w:val="18"/>
                <w:szCs w:val="18"/>
              </w:rPr>
            </w:pPr>
            <w:r w:rsidRPr="00822F5E">
              <w:rPr>
                <w:rFonts w:cs="Arial"/>
                <w:i/>
                <w:iCs/>
                <w:sz w:val="18"/>
                <w:szCs w:val="18"/>
              </w:rPr>
              <w:t>19.7</w:t>
            </w:r>
          </w:p>
        </w:tc>
        <w:tc>
          <w:tcPr>
            <w:tcW w:w="922" w:type="dxa"/>
            <w:tcBorders>
              <w:top w:val="nil"/>
              <w:left w:val="nil"/>
              <w:bottom w:val="nil"/>
              <w:right w:val="dashed" w:sz="8" w:space="0" w:color="F0CAB6"/>
            </w:tcBorders>
            <w:shd w:val="clear" w:color="auto" w:fill="auto"/>
            <w:noWrap/>
            <w:vAlign w:val="center"/>
            <w:hideMark/>
          </w:tcPr>
          <w:p w14:paraId="0D422599" w14:textId="77777777" w:rsidR="00572F25" w:rsidRPr="00822F5E" w:rsidRDefault="00572F25" w:rsidP="00140544">
            <w:pPr>
              <w:spacing w:after="0"/>
              <w:jc w:val="right"/>
              <w:rPr>
                <w:rFonts w:cs="Arial"/>
                <w:i/>
                <w:iCs/>
                <w:sz w:val="18"/>
                <w:szCs w:val="18"/>
              </w:rPr>
            </w:pPr>
            <w:r w:rsidRPr="00822F5E">
              <w:rPr>
                <w:rFonts w:cs="Arial"/>
                <w:i/>
                <w:iCs/>
                <w:sz w:val="18"/>
                <w:szCs w:val="18"/>
              </w:rPr>
              <w:t>201</w:t>
            </w:r>
          </w:p>
        </w:tc>
        <w:tc>
          <w:tcPr>
            <w:tcW w:w="921" w:type="dxa"/>
            <w:tcBorders>
              <w:top w:val="nil"/>
              <w:left w:val="nil"/>
              <w:bottom w:val="nil"/>
              <w:right w:val="dashed" w:sz="8" w:space="0" w:color="F0CAB6"/>
            </w:tcBorders>
            <w:shd w:val="clear" w:color="auto" w:fill="auto"/>
            <w:noWrap/>
            <w:vAlign w:val="center"/>
            <w:hideMark/>
          </w:tcPr>
          <w:p w14:paraId="3DA9131B" w14:textId="77777777" w:rsidR="00572F25" w:rsidRPr="00822F5E" w:rsidRDefault="00572F25" w:rsidP="00140544">
            <w:pPr>
              <w:spacing w:after="0"/>
              <w:rPr>
                <w:rFonts w:cs="Arial"/>
                <w:i/>
                <w:iCs/>
                <w:sz w:val="18"/>
                <w:szCs w:val="18"/>
              </w:rPr>
            </w:pPr>
            <w:r w:rsidRPr="00822F5E">
              <w:rPr>
                <w:rFonts w:cs="Arial"/>
                <w:i/>
                <w:iCs/>
                <w:sz w:val="18"/>
                <w:szCs w:val="18"/>
              </w:rPr>
              <w:t>77.6</w:t>
            </w:r>
          </w:p>
        </w:tc>
        <w:tc>
          <w:tcPr>
            <w:tcW w:w="921" w:type="dxa"/>
            <w:tcBorders>
              <w:top w:val="nil"/>
              <w:left w:val="nil"/>
              <w:bottom w:val="nil"/>
              <w:right w:val="dashed" w:sz="8" w:space="0" w:color="F0CAB6"/>
            </w:tcBorders>
            <w:shd w:val="clear" w:color="auto" w:fill="auto"/>
            <w:noWrap/>
            <w:vAlign w:val="center"/>
            <w:hideMark/>
          </w:tcPr>
          <w:p w14:paraId="1A4ED950" w14:textId="77777777" w:rsidR="00572F25" w:rsidRPr="00822F5E" w:rsidRDefault="00572F25" w:rsidP="00140544">
            <w:pPr>
              <w:spacing w:after="0"/>
              <w:jc w:val="right"/>
              <w:rPr>
                <w:rFonts w:cs="Arial"/>
                <w:i/>
                <w:iCs/>
                <w:sz w:val="18"/>
                <w:szCs w:val="18"/>
              </w:rPr>
            </w:pPr>
            <w:r w:rsidRPr="00822F5E">
              <w:rPr>
                <w:rFonts w:cs="Arial"/>
                <w:i/>
                <w:iCs/>
                <w:sz w:val="18"/>
                <w:szCs w:val="18"/>
              </w:rPr>
              <w:t>7</w:t>
            </w:r>
          </w:p>
        </w:tc>
        <w:tc>
          <w:tcPr>
            <w:tcW w:w="922" w:type="dxa"/>
            <w:tcBorders>
              <w:top w:val="nil"/>
              <w:left w:val="nil"/>
              <w:bottom w:val="nil"/>
              <w:right w:val="dashed" w:sz="8" w:space="0" w:color="F0CAB6"/>
            </w:tcBorders>
            <w:shd w:val="clear" w:color="auto" w:fill="auto"/>
            <w:noWrap/>
            <w:vAlign w:val="center"/>
            <w:hideMark/>
          </w:tcPr>
          <w:p w14:paraId="5DF3981E" w14:textId="77777777" w:rsidR="00572F25" w:rsidRPr="00822F5E" w:rsidRDefault="00572F25" w:rsidP="00140544">
            <w:pPr>
              <w:spacing w:after="0"/>
              <w:rPr>
                <w:rFonts w:cs="Arial"/>
                <w:i/>
                <w:iCs/>
                <w:sz w:val="18"/>
                <w:szCs w:val="18"/>
              </w:rPr>
            </w:pPr>
            <w:r w:rsidRPr="00822F5E">
              <w:rPr>
                <w:rFonts w:cs="Arial"/>
                <w:i/>
                <w:iCs/>
                <w:sz w:val="18"/>
                <w:szCs w:val="18"/>
              </w:rPr>
              <w:t>2.7</w:t>
            </w:r>
          </w:p>
        </w:tc>
      </w:tr>
      <w:tr w:rsidR="00572F25" w:rsidRPr="004243B7" w14:paraId="76F547F5" w14:textId="77777777" w:rsidTr="00140544">
        <w:trPr>
          <w:trHeight w:val="431"/>
        </w:trPr>
        <w:tc>
          <w:tcPr>
            <w:tcW w:w="2835" w:type="dxa"/>
            <w:tcBorders>
              <w:top w:val="nil"/>
              <w:left w:val="nil"/>
              <w:bottom w:val="nil"/>
              <w:right w:val="nil"/>
            </w:tcBorders>
            <w:shd w:val="clear" w:color="000000" w:fill="FFFFFF"/>
            <w:vAlign w:val="center"/>
            <w:hideMark/>
          </w:tcPr>
          <w:p w14:paraId="0BCBDD1D" w14:textId="77777777" w:rsidR="00572F25" w:rsidRPr="00822F5E" w:rsidRDefault="00572F25" w:rsidP="00140544">
            <w:pPr>
              <w:spacing w:after="0"/>
              <w:ind w:firstLineChars="200" w:firstLine="360"/>
              <w:rPr>
                <w:rFonts w:ascii="Wingdings 3" w:hAnsi="Wingdings 3" w:cs="Calibri"/>
                <w:i/>
                <w:iCs/>
                <w:sz w:val="18"/>
                <w:szCs w:val="18"/>
              </w:rPr>
            </w:pPr>
            <w:r w:rsidRPr="00822F5E">
              <w:rPr>
                <w:rFonts w:ascii="Wingdings 3" w:hAnsi="Wingdings 3" w:cs="Calibri"/>
                <w:i/>
                <w:iCs/>
                <w:sz w:val="18"/>
                <w:szCs w:val="18"/>
              </w:rPr>
              <w:t></w:t>
            </w:r>
            <w:r w:rsidRPr="00822F5E">
              <w:rPr>
                <w:rFonts w:cs="Arial"/>
                <w:i/>
                <w:iCs/>
                <w:sz w:val="18"/>
                <w:szCs w:val="18"/>
              </w:rPr>
              <w:t xml:space="preserve">   when not required</w:t>
            </w:r>
          </w:p>
        </w:tc>
        <w:tc>
          <w:tcPr>
            <w:tcW w:w="851" w:type="dxa"/>
            <w:tcBorders>
              <w:top w:val="nil"/>
              <w:left w:val="nil"/>
              <w:bottom w:val="nil"/>
            </w:tcBorders>
            <w:shd w:val="clear" w:color="auto" w:fill="auto"/>
            <w:noWrap/>
            <w:vAlign w:val="center"/>
            <w:hideMark/>
          </w:tcPr>
          <w:p w14:paraId="26EE5995" w14:textId="77777777" w:rsidR="00572F25" w:rsidRPr="00822F5E" w:rsidRDefault="00572F25" w:rsidP="00140544">
            <w:pPr>
              <w:spacing w:after="0"/>
              <w:jc w:val="center"/>
              <w:rPr>
                <w:rFonts w:cs="Arial"/>
                <w:i/>
                <w:iCs/>
                <w:sz w:val="18"/>
                <w:szCs w:val="18"/>
              </w:rPr>
            </w:pPr>
            <w:r w:rsidRPr="00822F5E">
              <w:rPr>
                <w:rFonts w:cs="Arial"/>
                <w:i/>
                <w:iCs/>
                <w:sz w:val="18"/>
                <w:szCs w:val="18"/>
              </w:rPr>
              <w:t>2,351</w:t>
            </w:r>
          </w:p>
        </w:tc>
        <w:tc>
          <w:tcPr>
            <w:tcW w:w="921" w:type="dxa"/>
            <w:tcBorders>
              <w:top w:val="nil"/>
              <w:left w:val="nil"/>
              <w:bottom w:val="nil"/>
              <w:right w:val="dashed" w:sz="8" w:space="0" w:color="F0CAB6"/>
            </w:tcBorders>
            <w:shd w:val="clear" w:color="auto" w:fill="auto"/>
            <w:noWrap/>
            <w:vAlign w:val="center"/>
            <w:hideMark/>
          </w:tcPr>
          <w:p w14:paraId="20EF7DE0" w14:textId="77777777" w:rsidR="00572F25" w:rsidRPr="00822F5E" w:rsidRDefault="00572F25" w:rsidP="00140544">
            <w:pPr>
              <w:spacing w:after="0"/>
              <w:jc w:val="right"/>
              <w:rPr>
                <w:rFonts w:cs="Arial"/>
                <w:i/>
                <w:iCs/>
                <w:sz w:val="18"/>
                <w:szCs w:val="18"/>
              </w:rPr>
            </w:pPr>
            <w:r w:rsidRPr="00822F5E">
              <w:rPr>
                <w:rFonts w:cs="Arial"/>
                <w:i/>
                <w:iCs/>
                <w:sz w:val="18"/>
                <w:szCs w:val="18"/>
              </w:rPr>
              <w:t>2,217</w:t>
            </w:r>
          </w:p>
        </w:tc>
        <w:tc>
          <w:tcPr>
            <w:tcW w:w="921" w:type="dxa"/>
            <w:tcBorders>
              <w:top w:val="nil"/>
              <w:left w:val="nil"/>
              <w:bottom w:val="nil"/>
              <w:right w:val="dashed" w:sz="8" w:space="0" w:color="F0CAB6"/>
            </w:tcBorders>
            <w:shd w:val="clear" w:color="auto" w:fill="auto"/>
            <w:noWrap/>
            <w:vAlign w:val="center"/>
            <w:hideMark/>
          </w:tcPr>
          <w:p w14:paraId="1EBCBE90" w14:textId="77777777" w:rsidR="00572F25" w:rsidRPr="00822F5E" w:rsidRDefault="00572F25" w:rsidP="00140544">
            <w:pPr>
              <w:spacing w:after="0"/>
              <w:rPr>
                <w:rFonts w:cs="Arial"/>
                <w:i/>
                <w:iCs/>
                <w:sz w:val="18"/>
                <w:szCs w:val="18"/>
              </w:rPr>
            </w:pPr>
            <w:r w:rsidRPr="00822F5E">
              <w:rPr>
                <w:rFonts w:cs="Arial"/>
                <w:i/>
                <w:iCs/>
                <w:sz w:val="18"/>
                <w:szCs w:val="18"/>
              </w:rPr>
              <w:t>94.3</w:t>
            </w:r>
          </w:p>
        </w:tc>
        <w:tc>
          <w:tcPr>
            <w:tcW w:w="922" w:type="dxa"/>
            <w:tcBorders>
              <w:top w:val="nil"/>
              <w:left w:val="nil"/>
              <w:bottom w:val="nil"/>
              <w:right w:val="dashed" w:sz="8" w:space="0" w:color="F0CAB6"/>
            </w:tcBorders>
            <w:shd w:val="clear" w:color="auto" w:fill="auto"/>
            <w:noWrap/>
            <w:vAlign w:val="center"/>
            <w:hideMark/>
          </w:tcPr>
          <w:p w14:paraId="49E75907" w14:textId="77777777" w:rsidR="00572F25" w:rsidRPr="00822F5E" w:rsidRDefault="00572F25" w:rsidP="00140544">
            <w:pPr>
              <w:spacing w:after="0"/>
              <w:jc w:val="right"/>
              <w:rPr>
                <w:rFonts w:cs="Arial"/>
                <w:i/>
                <w:iCs/>
                <w:sz w:val="18"/>
                <w:szCs w:val="18"/>
              </w:rPr>
            </w:pPr>
            <w:r w:rsidRPr="00822F5E">
              <w:rPr>
                <w:rFonts w:cs="Arial"/>
                <w:i/>
                <w:iCs/>
                <w:sz w:val="18"/>
                <w:szCs w:val="18"/>
              </w:rPr>
              <w:t>14</w:t>
            </w:r>
          </w:p>
        </w:tc>
        <w:tc>
          <w:tcPr>
            <w:tcW w:w="921" w:type="dxa"/>
            <w:tcBorders>
              <w:top w:val="nil"/>
              <w:left w:val="nil"/>
              <w:bottom w:val="nil"/>
              <w:right w:val="dashed" w:sz="8" w:space="0" w:color="F0CAB6"/>
            </w:tcBorders>
            <w:shd w:val="clear" w:color="auto" w:fill="auto"/>
            <w:noWrap/>
            <w:vAlign w:val="center"/>
            <w:hideMark/>
          </w:tcPr>
          <w:p w14:paraId="4B4F3CA8" w14:textId="77777777" w:rsidR="00572F25" w:rsidRPr="00822F5E" w:rsidRDefault="00572F25" w:rsidP="00140544">
            <w:pPr>
              <w:spacing w:after="0"/>
              <w:rPr>
                <w:rFonts w:cs="Arial"/>
                <w:i/>
                <w:iCs/>
                <w:sz w:val="18"/>
                <w:szCs w:val="18"/>
              </w:rPr>
            </w:pPr>
            <w:r w:rsidRPr="00822F5E">
              <w:rPr>
                <w:rFonts w:cs="Arial"/>
                <w:i/>
                <w:iCs/>
                <w:sz w:val="18"/>
                <w:szCs w:val="18"/>
              </w:rPr>
              <w:t>0.6</w:t>
            </w:r>
          </w:p>
        </w:tc>
        <w:tc>
          <w:tcPr>
            <w:tcW w:w="921" w:type="dxa"/>
            <w:tcBorders>
              <w:top w:val="nil"/>
              <w:left w:val="nil"/>
              <w:bottom w:val="nil"/>
              <w:right w:val="dashed" w:sz="8" w:space="0" w:color="F0CAB6"/>
            </w:tcBorders>
            <w:shd w:val="clear" w:color="auto" w:fill="auto"/>
            <w:noWrap/>
            <w:vAlign w:val="center"/>
            <w:hideMark/>
          </w:tcPr>
          <w:p w14:paraId="39D6CE13" w14:textId="77777777" w:rsidR="00572F25" w:rsidRPr="00822F5E" w:rsidRDefault="00572F25" w:rsidP="00140544">
            <w:pPr>
              <w:spacing w:after="0"/>
              <w:jc w:val="right"/>
              <w:rPr>
                <w:rFonts w:cs="Arial"/>
                <w:i/>
                <w:iCs/>
                <w:sz w:val="18"/>
                <w:szCs w:val="18"/>
              </w:rPr>
            </w:pPr>
            <w:r w:rsidRPr="00822F5E">
              <w:rPr>
                <w:rFonts w:cs="Arial"/>
                <w:i/>
                <w:iCs/>
                <w:sz w:val="18"/>
                <w:szCs w:val="18"/>
              </w:rPr>
              <w:t>120</w:t>
            </w:r>
          </w:p>
        </w:tc>
        <w:tc>
          <w:tcPr>
            <w:tcW w:w="922" w:type="dxa"/>
            <w:tcBorders>
              <w:top w:val="nil"/>
              <w:left w:val="nil"/>
              <w:bottom w:val="nil"/>
              <w:right w:val="dashed" w:sz="8" w:space="0" w:color="F0CAB6"/>
            </w:tcBorders>
            <w:shd w:val="clear" w:color="auto" w:fill="auto"/>
            <w:noWrap/>
            <w:vAlign w:val="center"/>
            <w:hideMark/>
          </w:tcPr>
          <w:p w14:paraId="00AC8EF7" w14:textId="77777777" w:rsidR="00572F25" w:rsidRPr="00822F5E" w:rsidRDefault="00572F25" w:rsidP="00140544">
            <w:pPr>
              <w:spacing w:after="0"/>
              <w:rPr>
                <w:rFonts w:cs="Arial"/>
                <w:i/>
                <w:iCs/>
                <w:sz w:val="18"/>
                <w:szCs w:val="18"/>
              </w:rPr>
            </w:pPr>
            <w:r w:rsidRPr="00822F5E">
              <w:rPr>
                <w:rFonts w:cs="Arial"/>
                <w:i/>
                <w:iCs/>
                <w:sz w:val="18"/>
                <w:szCs w:val="18"/>
              </w:rPr>
              <w:t>5.1</w:t>
            </w:r>
          </w:p>
        </w:tc>
      </w:tr>
      <w:tr w:rsidR="00572F25" w:rsidRPr="004243B7" w14:paraId="49179C82" w14:textId="77777777" w:rsidTr="00140544">
        <w:trPr>
          <w:trHeight w:val="300"/>
        </w:trPr>
        <w:tc>
          <w:tcPr>
            <w:tcW w:w="2835" w:type="dxa"/>
            <w:tcBorders>
              <w:top w:val="nil"/>
              <w:left w:val="nil"/>
              <w:bottom w:val="nil"/>
              <w:right w:val="nil"/>
            </w:tcBorders>
            <w:shd w:val="clear" w:color="000000" w:fill="FFFFFF"/>
            <w:vAlign w:val="center"/>
            <w:hideMark/>
          </w:tcPr>
          <w:p w14:paraId="3AD684FB" w14:textId="77777777" w:rsidR="00572F25" w:rsidRPr="004243B7" w:rsidRDefault="00572F25" w:rsidP="00140544">
            <w:pPr>
              <w:spacing w:after="0"/>
              <w:ind w:firstLineChars="200" w:firstLine="360"/>
              <w:rPr>
                <w:rFonts w:cs="Arial"/>
                <w:color w:val="6D6E71"/>
                <w:sz w:val="18"/>
                <w:szCs w:val="18"/>
              </w:rPr>
            </w:pPr>
            <w:r w:rsidRPr="004243B7">
              <w:rPr>
                <w:rFonts w:cs="Arial"/>
                <w:color w:val="6D6E71"/>
                <w:sz w:val="18"/>
                <w:szCs w:val="18"/>
              </w:rPr>
              <w:t> </w:t>
            </w:r>
          </w:p>
        </w:tc>
        <w:tc>
          <w:tcPr>
            <w:tcW w:w="851" w:type="dxa"/>
            <w:tcBorders>
              <w:top w:val="nil"/>
              <w:left w:val="nil"/>
              <w:bottom w:val="nil"/>
              <w:right w:val="nil"/>
            </w:tcBorders>
            <w:shd w:val="clear" w:color="000000" w:fill="FFFFFF"/>
            <w:noWrap/>
            <w:vAlign w:val="center"/>
            <w:hideMark/>
          </w:tcPr>
          <w:p w14:paraId="52B863AE" w14:textId="77777777" w:rsidR="00572F25" w:rsidRPr="004243B7" w:rsidRDefault="00572F25" w:rsidP="00140544">
            <w:pPr>
              <w:spacing w:after="0"/>
              <w:jc w:val="center"/>
              <w:rPr>
                <w:rFonts w:cs="Arial"/>
                <w:i/>
                <w:iCs/>
                <w:color w:val="6D6E71"/>
                <w:sz w:val="18"/>
                <w:szCs w:val="18"/>
              </w:rPr>
            </w:pPr>
            <w:r w:rsidRPr="004243B7">
              <w:rPr>
                <w:rFonts w:cstheme="minorHAnsi"/>
                <w:i/>
                <w:iCs/>
                <w:color w:val="6D6E71"/>
                <w:sz w:val="18"/>
                <w:szCs w:val="18"/>
              </w:rPr>
              <w:t> </w:t>
            </w:r>
          </w:p>
        </w:tc>
        <w:tc>
          <w:tcPr>
            <w:tcW w:w="921" w:type="dxa"/>
            <w:tcBorders>
              <w:top w:val="nil"/>
              <w:left w:val="nil"/>
              <w:bottom w:val="nil"/>
              <w:right w:val="nil"/>
            </w:tcBorders>
            <w:shd w:val="clear" w:color="000000" w:fill="FFFFFF"/>
            <w:noWrap/>
            <w:vAlign w:val="center"/>
            <w:hideMark/>
          </w:tcPr>
          <w:p w14:paraId="06D4E387" w14:textId="77777777" w:rsidR="00572F25" w:rsidRPr="004243B7" w:rsidRDefault="00572F25" w:rsidP="00140544">
            <w:pPr>
              <w:spacing w:after="0"/>
              <w:rPr>
                <w:rFonts w:cs="Arial"/>
                <w:i/>
                <w:iCs/>
                <w:color w:val="6D6E71"/>
                <w:sz w:val="18"/>
                <w:szCs w:val="18"/>
              </w:rPr>
            </w:pPr>
            <w:r w:rsidRPr="004243B7">
              <w:rPr>
                <w:rFonts w:cstheme="minorHAnsi"/>
                <w:i/>
                <w:iCs/>
                <w:color w:val="6D6E71"/>
                <w:sz w:val="18"/>
                <w:szCs w:val="18"/>
              </w:rPr>
              <w:t> </w:t>
            </w:r>
          </w:p>
        </w:tc>
        <w:tc>
          <w:tcPr>
            <w:tcW w:w="921" w:type="dxa"/>
            <w:tcBorders>
              <w:top w:val="nil"/>
              <w:left w:val="nil"/>
              <w:bottom w:val="nil"/>
              <w:right w:val="nil"/>
            </w:tcBorders>
            <w:shd w:val="clear" w:color="000000" w:fill="FFFFFF"/>
            <w:vAlign w:val="center"/>
            <w:hideMark/>
          </w:tcPr>
          <w:p w14:paraId="3029794D" w14:textId="77777777" w:rsidR="00572F25" w:rsidRPr="004243B7" w:rsidRDefault="00572F25" w:rsidP="00140544">
            <w:pPr>
              <w:spacing w:after="0"/>
              <w:rPr>
                <w:rFonts w:cs="Arial"/>
                <w:i/>
                <w:iCs/>
                <w:color w:val="6D6E71"/>
                <w:sz w:val="18"/>
                <w:szCs w:val="18"/>
              </w:rPr>
            </w:pPr>
            <w:r w:rsidRPr="004243B7">
              <w:rPr>
                <w:rFonts w:cstheme="minorHAnsi"/>
                <w:i/>
                <w:iCs/>
                <w:color w:val="6D6E71"/>
                <w:sz w:val="18"/>
                <w:szCs w:val="18"/>
              </w:rPr>
              <w:t> </w:t>
            </w:r>
          </w:p>
        </w:tc>
        <w:tc>
          <w:tcPr>
            <w:tcW w:w="922" w:type="dxa"/>
            <w:tcBorders>
              <w:top w:val="nil"/>
              <w:left w:val="nil"/>
              <w:bottom w:val="nil"/>
              <w:right w:val="nil"/>
            </w:tcBorders>
            <w:shd w:val="clear" w:color="000000" w:fill="FFFFFF"/>
            <w:noWrap/>
            <w:vAlign w:val="center"/>
            <w:hideMark/>
          </w:tcPr>
          <w:p w14:paraId="421F4ED9" w14:textId="77777777" w:rsidR="00572F25" w:rsidRPr="004243B7" w:rsidRDefault="00572F25" w:rsidP="00140544">
            <w:pPr>
              <w:spacing w:after="0"/>
              <w:rPr>
                <w:rFonts w:cs="Arial"/>
                <w:i/>
                <w:iCs/>
                <w:color w:val="6D6E71"/>
                <w:sz w:val="18"/>
                <w:szCs w:val="18"/>
              </w:rPr>
            </w:pPr>
            <w:r w:rsidRPr="004243B7">
              <w:rPr>
                <w:rFonts w:cstheme="minorHAnsi"/>
                <w:i/>
                <w:iCs/>
                <w:color w:val="6D6E71"/>
                <w:sz w:val="18"/>
                <w:szCs w:val="18"/>
              </w:rPr>
              <w:t> </w:t>
            </w:r>
          </w:p>
        </w:tc>
        <w:tc>
          <w:tcPr>
            <w:tcW w:w="921" w:type="dxa"/>
            <w:tcBorders>
              <w:top w:val="nil"/>
              <w:left w:val="nil"/>
              <w:bottom w:val="nil"/>
              <w:right w:val="nil"/>
            </w:tcBorders>
            <w:shd w:val="clear" w:color="000000" w:fill="FFFFFF"/>
            <w:vAlign w:val="center"/>
            <w:hideMark/>
          </w:tcPr>
          <w:p w14:paraId="4620A66F" w14:textId="77777777" w:rsidR="00572F25" w:rsidRPr="004243B7" w:rsidRDefault="00572F25" w:rsidP="00140544">
            <w:pPr>
              <w:spacing w:after="0"/>
              <w:rPr>
                <w:rFonts w:cs="Arial"/>
                <w:i/>
                <w:iCs/>
                <w:color w:val="6D6E71"/>
                <w:sz w:val="18"/>
                <w:szCs w:val="18"/>
              </w:rPr>
            </w:pPr>
            <w:r w:rsidRPr="004243B7">
              <w:rPr>
                <w:rFonts w:cstheme="minorHAnsi"/>
                <w:i/>
                <w:iCs/>
                <w:color w:val="6D6E71"/>
                <w:sz w:val="18"/>
                <w:szCs w:val="18"/>
              </w:rPr>
              <w:t> </w:t>
            </w:r>
          </w:p>
        </w:tc>
        <w:tc>
          <w:tcPr>
            <w:tcW w:w="921" w:type="dxa"/>
            <w:tcBorders>
              <w:top w:val="nil"/>
              <w:left w:val="nil"/>
              <w:bottom w:val="nil"/>
              <w:right w:val="nil"/>
            </w:tcBorders>
            <w:shd w:val="clear" w:color="000000" w:fill="FFFFFF"/>
            <w:noWrap/>
            <w:vAlign w:val="center"/>
            <w:hideMark/>
          </w:tcPr>
          <w:p w14:paraId="6D9DD4BA" w14:textId="77777777" w:rsidR="00572F25" w:rsidRPr="004243B7" w:rsidRDefault="00572F25" w:rsidP="00140544">
            <w:pPr>
              <w:spacing w:after="0"/>
              <w:rPr>
                <w:rFonts w:cs="Arial"/>
                <w:i/>
                <w:iCs/>
                <w:color w:val="6D6E71"/>
                <w:sz w:val="18"/>
                <w:szCs w:val="18"/>
              </w:rPr>
            </w:pPr>
            <w:r w:rsidRPr="004243B7">
              <w:rPr>
                <w:rFonts w:cstheme="minorHAnsi"/>
                <w:i/>
                <w:iCs/>
                <w:color w:val="6D6E71"/>
                <w:sz w:val="18"/>
                <w:szCs w:val="18"/>
              </w:rPr>
              <w:t> </w:t>
            </w:r>
          </w:p>
        </w:tc>
        <w:tc>
          <w:tcPr>
            <w:tcW w:w="922" w:type="dxa"/>
            <w:tcBorders>
              <w:top w:val="nil"/>
              <w:left w:val="nil"/>
              <w:bottom w:val="nil"/>
              <w:right w:val="nil"/>
            </w:tcBorders>
            <w:shd w:val="clear" w:color="000000" w:fill="FFFFFF"/>
            <w:vAlign w:val="center"/>
            <w:hideMark/>
          </w:tcPr>
          <w:p w14:paraId="5AF6CCB2" w14:textId="77777777" w:rsidR="00572F25" w:rsidRPr="004243B7" w:rsidRDefault="00572F25" w:rsidP="00140544">
            <w:pPr>
              <w:spacing w:after="0"/>
              <w:rPr>
                <w:rFonts w:cs="Arial"/>
                <w:i/>
                <w:iCs/>
                <w:color w:val="6D6E71"/>
                <w:sz w:val="18"/>
                <w:szCs w:val="18"/>
              </w:rPr>
            </w:pPr>
            <w:r w:rsidRPr="004243B7">
              <w:rPr>
                <w:rFonts w:cstheme="minorHAnsi"/>
                <w:i/>
                <w:iCs/>
                <w:color w:val="6D6E71"/>
                <w:sz w:val="18"/>
                <w:szCs w:val="18"/>
              </w:rPr>
              <w:t> </w:t>
            </w:r>
          </w:p>
        </w:tc>
      </w:tr>
      <w:tr w:rsidR="00572F25" w:rsidRPr="004243B7" w14:paraId="3606C986" w14:textId="77777777" w:rsidTr="00140544">
        <w:trPr>
          <w:trHeight w:val="360"/>
        </w:trPr>
        <w:tc>
          <w:tcPr>
            <w:tcW w:w="2835" w:type="dxa"/>
            <w:tcBorders>
              <w:top w:val="nil"/>
              <w:left w:val="nil"/>
              <w:bottom w:val="nil"/>
              <w:right w:val="nil"/>
            </w:tcBorders>
            <w:shd w:val="clear" w:color="000000" w:fill="E4E4E5"/>
            <w:vAlign w:val="center"/>
            <w:hideMark/>
          </w:tcPr>
          <w:p w14:paraId="29DC0AE2" w14:textId="77777777" w:rsidR="00572F25" w:rsidRPr="000B5A43" w:rsidRDefault="00572F25" w:rsidP="00140544">
            <w:pPr>
              <w:spacing w:after="0"/>
              <w:rPr>
                <w:rFonts w:cs="Arial"/>
                <w:color w:val="7E5110"/>
                <w:sz w:val="20"/>
                <w:szCs w:val="20"/>
              </w:rPr>
            </w:pPr>
            <w:r w:rsidRPr="000B5A43">
              <w:rPr>
                <w:rFonts w:cs="Arial"/>
                <w:color w:val="7E5110"/>
                <w:sz w:val="20"/>
                <w:szCs w:val="20"/>
              </w:rPr>
              <w:t>Antimicrobial doses</w:t>
            </w:r>
          </w:p>
        </w:tc>
        <w:tc>
          <w:tcPr>
            <w:tcW w:w="851" w:type="dxa"/>
            <w:tcBorders>
              <w:top w:val="nil"/>
              <w:left w:val="nil"/>
              <w:bottom w:val="nil"/>
              <w:right w:val="nil"/>
            </w:tcBorders>
            <w:shd w:val="clear" w:color="000000" w:fill="E4E4E5"/>
            <w:vAlign w:val="center"/>
            <w:hideMark/>
          </w:tcPr>
          <w:p w14:paraId="799A49E7" w14:textId="77777777" w:rsidR="00572F25" w:rsidRPr="000B5A43" w:rsidRDefault="00572F25" w:rsidP="00140544">
            <w:pPr>
              <w:spacing w:after="0"/>
              <w:jc w:val="center"/>
              <w:rPr>
                <w:rFonts w:cs="Arial"/>
                <w:color w:val="7E5110"/>
                <w:sz w:val="20"/>
                <w:szCs w:val="20"/>
              </w:rPr>
            </w:pPr>
            <w:r w:rsidRPr="000B5A43">
              <w:rPr>
                <w:rFonts w:cstheme="minorHAnsi"/>
                <w:color w:val="7E5110"/>
                <w:sz w:val="20"/>
                <w:szCs w:val="20"/>
              </w:rPr>
              <w:t>9,599</w:t>
            </w:r>
          </w:p>
        </w:tc>
        <w:tc>
          <w:tcPr>
            <w:tcW w:w="921" w:type="dxa"/>
            <w:tcBorders>
              <w:top w:val="nil"/>
              <w:left w:val="nil"/>
              <w:bottom w:val="nil"/>
              <w:right w:val="dashed" w:sz="8" w:space="0" w:color="F0CAB6"/>
            </w:tcBorders>
            <w:shd w:val="clear" w:color="000000" w:fill="E4E4E5"/>
            <w:vAlign w:val="center"/>
            <w:hideMark/>
          </w:tcPr>
          <w:p w14:paraId="2F121FE6" w14:textId="77777777" w:rsidR="00572F25" w:rsidRPr="000B5A43" w:rsidRDefault="00572F25" w:rsidP="00140544">
            <w:pPr>
              <w:spacing w:after="0"/>
              <w:jc w:val="right"/>
              <w:rPr>
                <w:rFonts w:cs="Arial"/>
                <w:color w:val="7E5110"/>
                <w:sz w:val="20"/>
                <w:szCs w:val="20"/>
              </w:rPr>
            </w:pPr>
            <w:r w:rsidRPr="000B5A43">
              <w:rPr>
                <w:rFonts w:cs="Arial"/>
                <w:color w:val="7E5110"/>
                <w:sz w:val="20"/>
                <w:szCs w:val="20"/>
              </w:rPr>
              <w:t>6,909</w:t>
            </w:r>
          </w:p>
        </w:tc>
        <w:tc>
          <w:tcPr>
            <w:tcW w:w="921" w:type="dxa"/>
            <w:tcBorders>
              <w:top w:val="nil"/>
              <w:left w:val="nil"/>
              <w:bottom w:val="nil"/>
              <w:right w:val="nil"/>
            </w:tcBorders>
            <w:shd w:val="clear" w:color="000000" w:fill="E4E4E5"/>
            <w:vAlign w:val="center"/>
            <w:hideMark/>
          </w:tcPr>
          <w:p w14:paraId="655E937E" w14:textId="77777777" w:rsidR="00572F25" w:rsidRPr="000B5A43" w:rsidRDefault="00572F25" w:rsidP="00140544">
            <w:pPr>
              <w:spacing w:after="0"/>
              <w:rPr>
                <w:rFonts w:cs="Arial"/>
                <w:color w:val="7E5110"/>
                <w:sz w:val="20"/>
                <w:szCs w:val="20"/>
              </w:rPr>
            </w:pPr>
            <w:r w:rsidRPr="000B5A43">
              <w:rPr>
                <w:rFonts w:cs="Arial"/>
                <w:color w:val="7E5110"/>
                <w:sz w:val="20"/>
                <w:szCs w:val="20"/>
              </w:rPr>
              <w:t>68.9</w:t>
            </w:r>
          </w:p>
        </w:tc>
        <w:tc>
          <w:tcPr>
            <w:tcW w:w="922" w:type="dxa"/>
            <w:tcBorders>
              <w:top w:val="nil"/>
              <w:left w:val="nil"/>
              <w:bottom w:val="nil"/>
              <w:right w:val="dashed" w:sz="8" w:space="0" w:color="E8B092"/>
            </w:tcBorders>
            <w:shd w:val="clear" w:color="000000" w:fill="E4E4E5"/>
            <w:vAlign w:val="center"/>
            <w:hideMark/>
          </w:tcPr>
          <w:p w14:paraId="784D39E9" w14:textId="77777777" w:rsidR="00572F25" w:rsidRPr="000B5A43" w:rsidRDefault="00572F25" w:rsidP="00140544">
            <w:pPr>
              <w:spacing w:after="0"/>
              <w:jc w:val="right"/>
              <w:rPr>
                <w:rFonts w:cs="Arial"/>
                <w:color w:val="7E5110"/>
                <w:sz w:val="20"/>
                <w:szCs w:val="20"/>
              </w:rPr>
            </w:pPr>
            <w:r w:rsidRPr="000B5A43">
              <w:rPr>
                <w:rFonts w:cs="Arial"/>
                <w:color w:val="7E5110"/>
                <w:sz w:val="20"/>
                <w:szCs w:val="20"/>
              </w:rPr>
              <w:t>2,717</w:t>
            </w:r>
          </w:p>
        </w:tc>
        <w:tc>
          <w:tcPr>
            <w:tcW w:w="921" w:type="dxa"/>
            <w:tcBorders>
              <w:top w:val="nil"/>
              <w:left w:val="nil"/>
              <w:bottom w:val="nil"/>
              <w:right w:val="nil"/>
            </w:tcBorders>
            <w:shd w:val="clear" w:color="000000" w:fill="E4E4E5"/>
            <w:vAlign w:val="center"/>
            <w:hideMark/>
          </w:tcPr>
          <w:p w14:paraId="45B3AA7D" w14:textId="77777777" w:rsidR="00572F25" w:rsidRPr="000B5A43" w:rsidRDefault="00572F25" w:rsidP="00140544">
            <w:pPr>
              <w:spacing w:after="0"/>
              <w:rPr>
                <w:rFonts w:cs="Arial"/>
                <w:color w:val="7E5110"/>
                <w:sz w:val="20"/>
                <w:szCs w:val="20"/>
              </w:rPr>
            </w:pPr>
            <w:r w:rsidRPr="000B5A43">
              <w:rPr>
                <w:rFonts w:cs="Arial"/>
                <w:color w:val="7E5110"/>
                <w:sz w:val="20"/>
                <w:szCs w:val="20"/>
              </w:rPr>
              <w:t>28.3</w:t>
            </w:r>
          </w:p>
        </w:tc>
        <w:tc>
          <w:tcPr>
            <w:tcW w:w="921" w:type="dxa"/>
            <w:tcBorders>
              <w:top w:val="nil"/>
              <w:left w:val="nil"/>
              <w:bottom w:val="nil"/>
              <w:right w:val="dashed" w:sz="8" w:space="0" w:color="E8B092"/>
            </w:tcBorders>
            <w:shd w:val="clear" w:color="000000" w:fill="E4E4E5"/>
            <w:vAlign w:val="center"/>
            <w:hideMark/>
          </w:tcPr>
          <w:p w14:paraId="18A04738" w14:textId="77777777" w:rsidR="00572F25" w:rsidRPr="000B5A43" w:rsidRDefault="00572F25" w:rsidP="00140544">
            <w:pPr>
              <w:spacing w:after="0"/>
              <w:jc w:val="right"/>
              <w:rPr>
                <w:rFonts w:cs="Arial"/>
                <w:color w:val="7E5110"/>
                <w:sz w:val="20"/>
                <w:szCs w:val="20"/>
              </w:rPr>
            </w:pPr>
            <w:r w:rsidRPr="000B5A43">
              <w:rPr>
                <w:rFonts w:cs="Arial"/>
                <w:color w:val="7E5110"/>
                <w:sz w:val="20"/>
                <w:szCs w:val="20"/>
              </w:rPr>
              <w:t>273</w:t>
            </w:r>
          </w:p>
        </w:tc>
        <w:tc>
          <w:tcPr>
            <w:tcW w:w="922" w:type="dxa"/>
            <w:tcBorders>
              <w:top w:val="nil"/>
              <w:left w:val="nil"/>
              <w:bottom w:val="nil"/>
              <w:right w:val="nil"/>
            </w:tcBorders>
            <w:shd w:val="clear" w:color="000000" w:fill="E4E4E5"/>
            <w:vAlign w:val="center"/>
            <w:hideMark/>
          </w:tcPr>
          <w:p w14:paraId="57D8DF99" w14:textId="77777777" w:rsidR="00572F25" w:rsidRPr="000B5A43" w:rsidRDefault="00572F25" w:rsidP="00140544">
            <w:pPr>
              <w:spacing w:after="0"/>
              <w:rPr>
                <w:rFonts w:cs="Arial"/>
                <w:color w:val="7E5110"/>
                <w:sz w:val="20"/>
                <w:szCs w:val="20"/>
              </w:rPr>
            </w:pPr>
            <w:r w:rsidRPr="000B5A43">
              <w:rPr>
                <w:rFonts w:cs="Arial"/>
                <w:color w:val="7E5110"/>
                <w:sz w:val="20"/>
                <w:szCs w:val="20"/>
              </w:rPr>
              <w:t>2.8</w:t>
            </w:r>
          </w:p>
        </w:tc>
      </w:tr>
      <w:tr w:rsidR="00572F25" w:rsidRPr="004243B7" w14:paraId="5C2640BA" w14:textId="77777777" w:rsidTr="00140544">
        <w:trPr>
          <w:trHeight w:val="177"/>
        </w:trPr>
        <w:tc>
          <w:tcPr>
            <w:tcW w:w="2835" w:type="dxa"/>
            <w:tcBorders>
              <w:top w:val="nil"/>
              <w:left w:val="nil"/>
              <w:bottom w:val="nil"/>
              <w:right w:val="nil"/>
            </w:tcBorders>
            <w:shd w:val="clear" w:color="auto" w:fill="auto"/>
            <w:vAlign w:val="center"/>
            <w:hideMark/>
          </w:tcPr>
          <w:p w14:paraId="3D6DE475" w14:textId="77777777" w:rsidR="00572F25" w:rsidRPr="004243B7" w:rsidRDefault="00572F25" w:rsidP="00140544">
            <w:pPr>
              <w:spacing w:after="0"/>
              <w:ind w:firstLineChars="100" w:firstLine="180"/>
              <w:rPr>
                <w:rFonts w:cs="Arial"/>
                <w:color w:val="000000"/>
                <w:sz w:val="18"/>
                <w:szCs w:val="18"/>
              </w:rPr>
            </w:pPr>
            <w:r w:rsidRPr="004243B7">
              <w:rPr>
                <w:rFonts w:cs="Arial"/>
                <w:color w:val="000000"/>
                <w:sz w:val="18"/>
                <w:szCs w:val="18"/>
              </w:rPr>
              <w:t>Initial dose</w:t>
            </w:r>
          </w:p>
        </w:tc>
        <w:tc>
          <w:tcPr>
            <w:tcW w:w="851" w:type="dxa"/>
            <w:tcBorders>
              <w:top w:val="nil"/>
              <w:left w:val="nil"/>
              <w:bottom w:val="nil"/>
              <w:right w:val="nil"/>
            </w:tcBorders>
            <w:shd w:val="clear" w:color="auto" w:fill="auto"/>
            <w:noWrap/>
            <w:vAlign w:val="center"/>
            <w:hideMark/>
          </w:tcPr>
          <w:p w14:paraId="3BE240FC" w14:textId="77777777" w:rsidR="00572F25" w:rsidRPr="004243B7" w:rsidRDefault="00572F25" w:rsidP="00140544">
            <w:pPr>
              <w:spacing w:after="0"/>
              <w:jc w:val="center"/>
              <w:rPr>
                <w:rFonts w:cs="Arial"/>
                <w:color w:val="000000"/>
                <w:sz w:val="18"/>
                <w:szCs w:val="18"/>
              </w:rPr>
            </w:pPr>
            <w:r w:rsidRPr="004243B7">
              <w:rPr>
                <w:rFonts w:cstheme="minorHAnsi"/>
                <w:color w:val="000000"/>
                <w:sz w:val="18"/>
                <w:szCs w:val="18"/>
              </w:rPr>
              <w:t>9,262</w:t>
            </w:r>
          </w:p>
        </w:tc>
        <w:tc>
          <w:tcPr>
            <w:tcW w:w="921" w:type="dxa"/>
            <w:tcBorders>
              <w:top w:val="nil"/>
              <w:left w:val="nil"/>
              <w:bottom w:val="nil"/>
              <w:right w:val="dashed" w:sz="8" w:space="0" w:color="F0CAB6"/>
            </w:tcBorders>
            <w:shd w:val="clear" w:color="auto" w:fill="auto"/>
            <w:noWrap/>
            <w:vAlign w:val="center"/>
            <w:hideMark/>
          </w:tcPr>
          <w:p w14:paraId="71E3CD46" w14:textId="77777777" w:rsidR="00572F25" w:rsidRPr="004243B7" w:rsidRDefault="00572F25" w:rsidP="00140544">
            <w:pPr>
              <w:spacing w:after="0"/>
              <w:jc w:val="right"/>
              <w:rPr>
                <w:rFonts w:cs="Arial"/>
                <w:color w:val="000000"/>
                <w:sz w:val="18"/>
                <w:szCs w:val="18"/>
              </w:rPr>
            </w:pPr>
            <w:r w:rsidRPr="004243B7">
              <w:rPr>
                <w:rFonts w:cs="Arial"/>
                <w:color w:val="000000"/>
                <w:sz w:val="18"/>
                <w:szCs w:val="18"/>
              </w:rPr>
              <w:t>6,395</w:t>
            </w:r>
          </w:p>
        </w:tc>
        <w:tc>
          <w:tcPr>
            <w:tcW w:w="921" w:type="dxa"/>
            <w:tcBorders>
              <w:top w:val="nil"/>
              <w:left w:val="nil"/>
              <w:bottom w:val="nil"/>
              <w:right w:val="dashed" w:sz="8" w:space="0" w:color="F0CAB6"/>
            </w:tcBorders>
            <w:shd w:val="clear" w:color="auto" w:fill="auto"/>
            <w:noWrap/>
            <w:vAlign w:val="center"/>
            <w:hideMark/>
          </w:tcPr>
          <w:p w14:paraId="4B46EC71" w14:textId="77777777" w:rsidR="00572F25" w:rsidRPr="004243B7" w:rsidRDefault="00572F25" w:rsidP="00140544">
            <w:pPr>
              <w:spacing w:after="0"/>
              <w:rPr>
                <w:rFonts w:cs="Arial"/>
                <w:color w:val="000000"/>
                <w:sz w:val="18"/>
                <w:szCs w:val="18"/>
              </w:rPr>
            </w:pPr>
            <w:r w:rsidRPr="004243B7">
              <w:rPr>
                <w:rFonts w:cs="Arial"/>
                <w:color w:val="000000"/>
                <w:sz w:val="18"/>
                <w:szCs w:val="18"/>
              </w:rPr>
              <w:t>69.1</w:t>
            </w:r>
          </w:p>
        </w:tc>
        <w:tc>
          <w:tcPr>
            <w:tcW w:w="922" w:type="dxa"/>
            <w:tcBorders>
              <w:top w:val="nil"/>
              <w:left w:val="nil"/>
              <w:bottom w:val="nil"/>
              <w:right w:val="dashed" w:sz="8" w:space="0" w:color="E8B092"/>
            </w:tcBorders>
            <w:shd w:val="clear" w:color="auto" w:fill="auto"/>
            <w:noWrap/>
            <w:vAlign w:val="center"/>
            <w:hideMark/>
          </w:tcPr>
          <w:p w14:paraId="7AE9882F" w14:textId="77777777" w:rsidR="00572F25" w:rsidRPr="004243B7" w:rsidRDefault="00572F25" w:rsidP="00140544">
            <w:pPr>
              <w:spacing w:after="0"/>
              <w:jc w:val="right"/>
              <w:rPr>
                <w:rFonts w:cs="Arial"/>
                <w:color w:val="000000"/>
                <w:sz w:val="18"/>
                <w:szCs w:val="18"/>
              </w:rPr>
            </w:pPr>
            <w:r w:rsidRPr="004243B7">
              <w:rPr>
                <w:rFonts w:cs="Arial"/>
                <w:color w:val="000000"/>
                <w:sz w:val="18"/>
                <w:szCs w:val="18"/>
              </w:rPr>
              <w:t>2,599</w:t>
            </w:r>
          </w:p>
        </w:tc>
        <w:tc>
          <w:tcPr>
            <w:tcW w:w="921" w:type="dxa"/>
            <w:tcBorders>
              <w:top w:val="nil"/>
              <w:left w:val="nil"/>
              <w:bottom w:val="nil"/>
              <w:right w:val="dashed" w:sz="8" w:space="0" w:color="F0CAB6"/>
            </w:tcBorders>
            <w:shd w:val="clear" w:color="auto" w:fill="auto"/>
            <w:noWrap/>
            <w:vAlign w:val="center"/>
            <w:hideMark/>
          </w:tcPr>
          <w:p w14:paraId="6C1A6ACF" w14:textId="77777777" w:rsidR="00572F25" w:rsidRPr="004243B7" w:rsidRDefault="00572F25" w:rsidP="00140544">
            <w:pPr>
              <w:spacing w:after="0"/>
              <w:rPr>
                <w:rFonts w:cs="Arial"/>
                <w:color w:val="000000"/>
                <w:sz w:val="18"/>
                <w:szCs w:val="18"/>
              </w:rPr>
            </w:pPr>
            <w:r w:rsidRPr="004243B7">
              <w:rPr>
                <w:rFonts w:cs="Arial"/>
                <w:color w:val="000000"/>
                <w:sz w:val="18"/>
                <w:szCs w:val="18"/>
              </w:rPr>
              <w:t>28.1</w:t>
            </w:r>
          </w:p>
        </w:tc>
        <w:tc>
          <w:tcPr>
            <w:tcW w:w="921" w:type="dxa"/>
            <w:tcBorders>
              <w:top w:val="nil"/>
              <w:left w:val="nil"/>
              <w:bottom w:val="nil"/>
              <w:right w:val="dashed" w:sz="8" w:space="0" w:color="E8B092"/>
            </w:tcBorders>
            <w:shd w:val="clear" w:color="auto" w:fill="auto"/>
            <w:noWrap/>
            <w:vAlign w:val="center"/>
            <w:hideMark/>
          </w:tcPr>
          <w:p w14:paraId="4C806B3A" w14:textId="77777777" w:rsidR="00572F25" w:rsidRPr="004243B7" w:rsidRDefault="00572F25" w:rsidP="00140544">
            <w:pPr>
              <w:spacing w:after="0"/>
              <w:jc w:val="right"/>
              <w:rPr>
                <w:rFonts w:cs="Arial"/>
                <w:color w:val="000000"/>
                <w:sz w:val="18"/>
                <w:szCs w:val="18"/>
              </w:rPr>
            </w:pPr>
            <w:r w:rsidRPr="004243B7">
              <w:rPr>
                <w:rFonts w:cs="Arial"/>
                <w:color w:val="000000"/>
                <w:sz w:val="18"/>
                <w:szCs w:val="18"/>
              </w:rPr>
              <w:t>268</w:t>
            </w:r>
          </w:p>
        </w:tc>
        <w:tc>
          <w:tcPr>
            <w:tcW w:w="922" w:type="dxa"/>
            <w:tcBorders>
              <w:top w:val="nil"/>
              <w:left w:val="nil"/>
              <w:bottom w:val="nil"/>
              <w:right w:val="dashed" w:sz="8" w:space="0" w:color="F0CAB6"/>
            </w:tcBorders>
            <w:shd w:val="clear" w:color="auto" w:fill="auto"/>
            <w:noWrap/>
            <w:vAlign w:val="center"/>
            <w:hideMark/>
          </w:tcPr>
          <w:p w14:paraId="759E7CCA" w14:textId="77777777" w:rsidR="00572F25" w:rsidRPr="004243B7" w:rsidRDefault="00572F25" w:rsidP="00140544">
            <w:pPr>
              <w:spacing w:after="0"/>
              <w:rPr>
                <w:rFonts w:cs="Arial"/>
                <w:color w:val="000000"/>
                <w:sz w:val="18"/>
                <w:szCs w:val="18"/>
              </w:rPr>
            </w:pPr>
            <w:r w:rsidRPr="004243B7">
              <w:rPr>
                <w:rFonts w:cs="Arial"/>
                <w:color w:val="000000"/>
                <w:sz w:val="18"/>
                <w:szCs w:val="18"/>
              </w:rPr>
              <w:t>2.9</w:t>
            </w:r>
          </w:p>
        </w:tc>
      </w:tr>
      <w:tr w:rsidR="00572F25" w:rsidRPr="004243B7" w14:paraId="31C24F8C" w14:textId="77777777" w:rsidTr="00140544">
        <w:trPr>
          <w:trHeight w:val="392"/>
        </w:trPr>
        <w:tc>
          <w:tcPr>
            <w:tcW w:w="2835" w:type="dxa"/>
            <w:tcBorders>
              <w:top w:val="nil"/>
              <w:left w:val="nil"/>
              <w:bottom w:val="nil"/>
              <w:right w:val="nil"/>
            </w:tcBorders>
            <w:shd w:val="clear" w:color="auto" w:fill="auto"/>
            <w:vAlign w:val="center"/>
            <w:hideMark/>
          </w:tcPr>
          <w:p w14:paraId="428DF66A" w14:textId="77777777" w:rsidR="00572F25" w:rsidRPr="00822F5E" w:rsidRDefault="00572F25" w:rsidP="00140544">
            <w:pPr>
              <w:spacing w:after="0"/>
              <w:ind w:firstLineChars="200" w:firstLine="360"/>
              <w:rPr>
                <w:rFonts w:ascii="Wingdings 3" w:hAnsi="Wingdings 3" w:cs="Calibri"/>
                <w:sz w:val="18"/>
                <w:szCs w:val="18"/>
              </w:rPr>
            </w:pPr>
            <w:r w:rsidRPr="00822F5E">
              <w:rPr>
                <w:rFonts w:ascii="Wingdings 3" w:hAnsi="Wingdings 3" w:cs="Calibri"/>
                <w:sz w:val="18"/>
                <w:szCs w:val="18"/>
              </w:rPr>
              <w:t></w:t>
            </w:r>
            <w:r w:rsidRPr="00822F5E">
              <w:rPr>
                <w:rFonts w:cs="Arial"/>
                <w:i/>
                <w:iCs/>
                <w:sz w:val="18"/>
                <w:szCs w:val="18"/>
              </w:rPr>
              <w:t xml:space="preserve">   when required</w:t>
            </w:r>
          </w:p>
        </w:tc>
        <w:tc>
          <w:tcPr>
            <w:tcW w:w="851" w:type="dxa"/>
            <w:tcBorders>
              <w:top w:val="nil"/>
              <w:left w:val="nil"/>
              <w:bottom w:val="nil"/>
              <w:right w:val="nil"/>
            </w:tcBorders>
            <w:shd w:val="clear" w:color="auto" w:fill="auto"/>
            <w:noWrap/>
            <w:vAlign w:val="center"/>
            <w:hideMark/>
          </w:tcPr>
          <w:p w14:paraId="5B3307FD" w14:textId="77777777" w:rsidR="00572F25" w:rsidRPr="00822F5E" w:rsidRDefault="00572F25" w:rsidP="00140544">
            <w:pPr>
              <w:spacing w:after="0"/>
              <w:jc w:val="center"/>
              <w:rPr>
                <w:rFonts w:cs="Arial"/>
                <w:i/>
                <w:iCs/>
                <w:sz w:val="18"/>
                <w:szCs w:val="18"/>
              </w:rPr>
            </w:pPr>
            <w:r w:rsidRPr="00822F5E">
              <w:rPr>
                <w:rFonts w:cs="Arial"/>
                <w:i/>
                <w:iCs/>
                <w:sz w:val="18"/>
                <w:szCs w:val="18"/>
              </w:rPr>
              <w:t>8,265</w:t>
            </w:r>
          </w:p>
        </w:tc>
        <w:tc>
          <w:tcPr>
            <w:tcW w:w="921" w:type="dxa"/>
            <w:tcBorders>
              <w:top w:val="nil"/>
              <w:left w:val="nil"/>
              <w:bottom w:val="nil"/>
              <w:right w:val="dashed" w:sz="8" w:space="0" w:color="F0CAB6"/>
            </w:tcBorders>
            <w:shd w:val="clear" w:color="auto" w:fill="auto"/>
            <w:noWrap/>
            <w:vAlign w:val="center"/>
            <w:hideMark/>
          </w:tcPr>
          <w:p w14:paraId="4FC659B0" w14:textId="77777777" w:rsidR="00572F25" w:rsidRPr="00822F5E" w:rsidRDefault="00572F25" w:rsidP="00140544">
            <w:pPr>
              <w:spacing w:after="0"/>
              <w:jc w:val="right"/>
              <w:rPr>
                <w:rFonts w:cs="Arial"/>
                <w:i/>
                <w:iCs/>
                <w:sz w:val="18"/>
                <w:szCs w:val="18"/>
              </w:rPr>
            </w:pPr>
            <w:r w:rsidRPr="00822F5E">
              <w:rPr>
                <w:rFonts w:cs="Arial"/>
                <w:i/>
                <w:iCs/>
                <w:sz w:val="18"/>
                <w:szCs w:val="18"/>
              </w:rPr>
              <w:t>6,395</w:t>
            </w:r>
          </w:p>
        </w:tc>
        <w:tc>
          <w:tcPr>
            <w:tcW w:w="921" w:type="dxa"/>
            <w:tcBorders>
              <w:top w:val="nil"/>
              <w:left w:val="nil"/>
              <w:bottom w:val="nil"/>
              <w:right w:val="dashed" w:sz="8" w:space="0" w:color="F0CAB6"/>
            </w:tcBorders>
            <w:shd w:val="clear" w:color="auto" w:fill="auto"/>
            <w:noWrap/>
            <w:vAlign w:val="center"/>
            <w:hideMark/>
          </w:tcPr>
          <w:p w14:paraId="076B9A8B" w14:textId="77777777" w:rsidR="00572F25" w:rsidRPr="00822F5E" w:rsidRDefault="00572F25" w:rsidP="00140544">
            <w:pPr>
              <w:spacing w:after="0"/>
              <w:rPr>
                <w:rFonts w:cs="Arial"/>
                <w:i/>
                <w:iCs/>
                <w:sz w:val="18"/>
                <w:szCs w:val="18"/>
              </w:rPr>
            </w:pPr>
            <w:r w:rsidRPr="00822F5E">
              <w:rPr>
                <w:rFonts w:cs="Arial"/>
                <w:i/>
                <w:iCs/>
                <w:sz w:val="18"/>
                <w:szCs w:val="18"/>
              </w:rPr>
              <w:t>77.4</w:t>
            </w:r>
          </w:p>
        </w:tc>
        <w:tc>
          <w:tcPr>
            <w:tcW w:w="922" w:type="dxa"/>
            <w:tcBorders>
              <w:top w:val="nil"/>
              <w:left w:val="nil"/>
              <w:bottom w:val="nil"/>
              <w:right w:val="dashed" w:sz="8" w:space="0" w:color="E8B092"/>
            </w:tcBorders>
            <w:shd w:val="clear" w:color="auto" w:fill="auto"/>
            <w:noWrap/>
            <w:vAlign w:val="center"/>
            <w:hideMark/>
          </w:tcPr>
          <w:p w14:paraId="461485A9" w14:textId="77777777" w:rsidR="00572F25" w:rsidRPr="00822F5E" w:rsidRDefault="00572F25" w:rsidP="00140544">
            <w:pPr>
              <w:spacing w:after="0"/>
              <w:jc w:val="right"/>
              <w:rPr>
                <w:rFonts w:cs="Arial"/>
                <w:i/>
                <w:iCs/>
                <w:sz w:val="18"/>
                <w:szCs w:val="18"/>
              </w:rPr>
            </w:pPr>
            <w:r w:rsidRPr="00822F5E">
              <w:rPr>
                <w:rFonts w:cs="Arial"/>
                <w:i/>
                <w:iCs/>
                <w:sz w:val="18"/>
                <w:szCs w:val="18"/>
              </w:rPr>
              <w:t>1,613</w:t>
            </w:r>
          </w:p>
        </w:tc>
        <w:tc>
          <w:tcPr>
            <w:tcW w:w="921" w:type="dxa"/>
            <w:tcBorders>
              <w:top w:val="nil"/>
              <w:left w:val="nil"/>
              <w:bottom w:val="nil"/>
              <w:right w:val="dashed" w:sz="8" w:space="0" w:color="F0CAB6"/>
            </w:tcBorders>
            <w:shd w:val="clear" w:color="auto" w:fill="auto"/>
            <w:noWrap/>
            <w:vAlign w:val="center"/>
            <w:hideMark/>
          </w:tcPr>
          <w:p w14:paraId="1C5882F5" w14:textId="77777777" w:rsidR="00572F25" w:rsidRPr="00045E25" w:rsidRDefault="00572F25" w:rsidP="00140544">
            <w:pPr>
              <w:spacing w:after="0"/>
              <w:rPr>
                <w:rFonts w:cs="Arial"/>
                <w:i/>
                <w:iCs/>
                <w:sz w:val="18"/>
                <w:szCs w:val="18"/>
              </w:rPr>
            </w:pPr>
            <w:r w:rsidRPr="00045E25">
              <w:rPr>
                <w:rFonts w:cs="Arial"/>
                <w:i/>
                <w:iCs/>
                <w:sz w:val="18"/>
                <w:szCs w:val="18"/>
              </w:rPr>
              <w:t>19.5</w:t>
            </w:r>
          </w:p>
        </w:tc>
        <w:tc>
          <w:tcPr>
            <w:tcW w:w="921" w:type="dxa"/>
            <w:tcBorders>
              <w:top w:val="nil"/>
              <w:left w:val="nil"/>
              <w:bottom w:val="nil"/>
              <w:right w:val="dashed" w:sz="8" w:space="0" w:color="E8B092"/>
            </w:tcBorders>
            <w:shd w:val="clear" w:color="auto" w:fill="auto"/>
            <w:noWrap/>
            <w:vAlign w:val="center"/>
            <w:hideMark/>
          </w:tcPr>
          <w:p w14:paraId="0AA4AD53" w14:textId="77777777" w:rsidR="00572F25" w:rsidRPr="00822F5E" w:rsidRDefault="00572F25" w:rsidP="00140544">
            <w:pPr>
              <w:spacing w:after="0"/>
              <w:jc w:val="right"/>
              <w:rPr>
                <w:rFonts w:cs="Arial"/>
                <w:i/>
                <w:iCs/>
                <w:sz w:val="18"/>
                <w:szCs w:val="18"/>
              </w:rPr>
            </w:pPr>
            <w:r w:rsidRPr="00822F5E">
              <w:rPr>
                <w:rFonts w:cs="Arial"/>
                <w:i/>
                <w:iCs/>
                <w:sz w:val="18"/>
                <w:szCs w:val="18"/>
              </w:rPr>
              <w:t>257</w:t>
            </w:r>
          </w:p>
        </w:tc>
        <w:tc>
          <w:tcPr>
            <w:tcW w:w="922" w:type="dxa"/>
            <w:tcBorders>
              <w:top w:val="nil"/>
              <w:left w:val="nil"/>
              <w:bottom w:val="nil"/>
              <w:right w:val="dashed" w:sz="8" w:space="0" w:color="F0CAB6"/>
            </w:tcBorders>
            <w:shd w:val="clear" w:color="auto" w:fill="auto"/>
            <w:noWrap/>
            <w:vAlign w:val="center"/>
            <w:hideMark/>
          </w:tcPr>
          <w:p w14:paraId="6A9A0518" w14:textId="77777777" w:rsidR="00572F25" w:rsidRPr="00045E25" w:rsidRDefault="00572F25" w:rsidP="00140544">
            <w:pPr>
              <w:spacing w:after="0"/>
              <w:rPr>
                <w:rFonts w:cs="Arial"/>
                <w:i/>
                <w:iCs/>
                <w:sz w:val="18"/>
                <w:szCs w:val="18"/>
              </w:rPr>
            </w:pPr>
            <w:r w:rsidRPr="00045E25">
              <w:rPr>
                <w:rFonts w:cs="Arial"/>
                <w:i/>
                <w:iCs/>
                <w:sz w:val="18"/>
                <w:szCs w:val="18"/>
              </w:rPr>
              <w:t>3.1</w:t>
            </w:r>
          </w:p>
        </w:tc>
      </w:tr>
      <w:tr w:rsidR="00572F25" w:rsidRPr="004243B7" w14:paraId="24DB05A5" w14:textId="77777777" w:rsidTr="00140544">
        <w:trPr>
          <w:trHeight w:val="299"/>
        </w:trPr>
        <w:tc>
          <w:tcPr>
            <w:tcW w:w="2835" w:type="dxa"/>
            <w:tcBorders>
              <w:top w:val="nil"/>
              <w:left w:val="nil"/>
              <w:bottom w:val="nil"/>
              <w:right w:val="nil"/>
            </w:tcBorders>
            <w:shd w:val="clear" w:color="auto" w:fill="auto"/>
            <w:vAlign w:val="center"/>
            <w:hideMark/>
          </w:tcPr>
          <w:p w14:paraId="067281EF" w14:textId="77777777" w:rsidR="00572F25" w:rsidRPr="00822F5E" w:rsidRDefault="00572F25" w:rsidP="00140544">
            <w:pPr>
              <w:spacing w:after="0"/>
              <w:ind w:firstLineChars="200" w:firstLine="360"/>
              <w:rPr>
                <w:rFonts w:ascii="Wingdings 3" w:hAnsi="Wingdings 3" w:cs="Calibri"/>
                <w:sz w:val="18"/>
                <w:szCs w:val="18"/>
              </w:rPr>
            </w:pPr>
            <w:r w:rsidRPr="00822F5E">
              <w:rPr>
                <w:rFonts w:ascii="Wingdings 3" w:hAnsi="Wingdings 3" w:cs="Calibri"/>
                <w:sz w:val="18"/>
                <w:szCs w:val="18"/>
              </w:rPr>
              <w:t></w:t>
            </w:r>
            <w:r w:rsidRPr="00822F5E">
              <w:rPr>
                <w:rFonts w:cs="Arial"/>
                <w:sz w:val="18"/>
                <w:szCs w:val="18"/>
              </w:rPr>
              <w:t xml:space="preserve">   </w:t>
            </w:r>
            <w:r w:rsidRPr="00822F5E">
              <w:rPr>
                <w:rFonts w:cs="Arial"/>
                <w:i/>
                <w:iCs/>
                <w:sz w:val="18"/>
                <w:szCs w:val="18"/>
              </w:rPr>
              <w:t>when not required</w:t>
            </w:r>
          </w:p>
        </w:tc>
        <w:tc>
          <w:tcPr>
            <w:tcW w:w="851" w:type="dxa"/>
            <w:tcBorders>
              <w:top w:val="nil"/>
              <w:left w:val="nil"/>
              <w:bottom w:val="nil"/>
              <w:right w:val="nil"/>
            </w:tcBorders>
            <w:shd w:val="clear" w:color="auto" w:fill="auto"/>
            <w:noWrap/>
            <w:vAlign w:val="center"/>
            <w:hideMark/>
          </w:tcPr>
          <w:p w14:paraId="71EF59A8" w14:textId="77777777" w:rsidR="00572F25" w:rsidRPr="00822F5E" w:rsidRDefault="00572F25" w:rsidP="00140544">
            <w:pPr>
              <w:spacing w:after="0"/>
              <w:jc w:val="center"/>
              <w:rPr>
                <w:rFonts w:cs="Arial"/>
                <w:i/>
                <w:iCs/>
                <w:sz w:val="18"/>
                <w:szCs w:val="18"/>
              </w:rPr>
            </w:pPr>
            <w:r w:rsidRPr="00822F5E">
              <w:rPr>
                <w:rFonts w:cs="Arial"/>
                <w:i/>
                <w:iCs/>
                <w:sz w:val="18"/>
                <w:szCs w:val="18"/>
              </w:rPr>
              <w:t>997</w:t>
            </w:r>
          </w:p>
        </w:tc>
        <w:tc>
          <w:tcPr>
            <w:tcW w:w="921" w:type="dxa"/>
            <w:tcBorders>
              <w:top w:val="nil"/>
              <w:left w:val="nil"/>
              <w:bottom w:val="nil"/>
              <w:right w:val="dashed" w:sz="8" w:space="0" w:color="F0CAB6"/>
            </w:tcBorders>
            <w:shd w:val="clear" w:color="auto" w:fill="auto"/>
            <w:noWrap/>
            <w:vAlign w:val="center"/>
            <w:hideMark/>
          </w:tcPr>
          <w:p w14:paraId="064F65D7" w14:textId="77777777" w:rsidR="00572F25" w:rsidRPr="00822F5E" w:rsidRDefault="00572F25" w:rsidP="00140544">
            <w:pPr>
              <w:spacing w:after="0"/>
              <w:jc w:val="right"/>
              <w:rPr>
                <w:rFonts w:cs="Arial"/>
                <w:i/>
                <w:iCs/>
                <w:sz w:val="18"/>
                <w:szCs w:val="18"/>
              </w:rPr>
            </w:pPr>
            <w:r w:rsidRPr="00822F5E">
              <w:rPr>
                <w:rFonts w:cstheme="minorHAnsi"/>
                <w:i/>
                <w:iCs/>
                <w:sz w:val="18"/>
                <w:szCs w:val="18"/>
              </w:rPr>
              <w:t>–</w:t>
            </w:r>
          </w:p>
        </w:tc>
        <w:tc>
          <w:tcPr>
            <w:tcW w:w="921" w:type="dxa"/>
            <w:tcBorders>
              <w:top w:val="nil"/>
              <w:left w:val="nil"/>
              <w:bottom w:val="nil"/>
              <w:right w:val="dashed" w:sz="8" w:space="0" w:color="F0CAB6"/>
            </w:tcBorders>
            <w:shd w:val="clear" w:color="auto" w:fill="auto"/>
            <w:noWrap/>
            <w:vAlign w:val="center"/>
            <w:hideMark/>
          </w:tcPr>
          <w:p w14:paraId="2F029A7C" w14:textId="77777777" w:rsidR="00572F25" w:rsidRPr="00822F5E" w:rsidRDefault="00572F25" w:rsidP="00140544">
            <w:pPr>
              <w:spacing w:after="0"/>
              <w:rPr>
                <w:rFonts w:cs="Arial"/>
                <w:i/>
                <w:iCs/>
                <w:sz w:val="18"/>
                <w:szCs w:val="18"/>
              </w:rPr>
            </w:pPr>
            <w:r w:rsidRPr="00822F5E">
              <w:rPr>
                <w:rFonts w:cstheme="minorHAnsi"/>
                <w:i/>
                <w:iCs/>
                <w:sz w:val="18"/>
                <w:szCs w:val="18"/>
              </w:rPr>
              <w:t>–</w:t>
            </w:r>
          </w:p>
        </w:tc>
        <w:tc>
          <w:tcPr>
            <w:tcW w:w="922" w:type="dxa"/>
            <w:tcBorders>
              <w:top w:val="nil"/>
              <w:left w:val="nil"/>
              <w:bottom w:val="nil"/>
              <w:right w:val="dashed" w:sz="8" w:space="0" w:color="E8B092"/>
            </w:tcBorders>
            <w:shd w:val="clear" w:color="auto" w:fill="auto"/>
            <w:noWrap/>
            <w:vAlign w:val="center"/>
            <w:hideMark/>
          </w:tcPr>
          <w:p w14:paraId="11ED556D" w14:textId="77777777" w:rsidR="00572F25" w:rsidRPr="00822F5E" w:rsidRDefault="00572F25" w:rsidP="00140544">
            <w:pPr>
              <w:spacing w:after="0"/>
              <w:jc w:val="right"/>
              <w:rPr>
                <w:rFonts w:cs="Arial"/>
                <w:i/>
                <w:iCs/>
                <w:sz w:val="18"/>
                <w:szCs w:val="18"/>
              </w:rPr>
            </w:pPr>
            <w:r w:rsidRPr="00822F5E">
              <w:rPr>
                <w:rFonts w:cs="Arial"/>
                <w:i/>
                <w:iCs/>
                <w:sz w:val="18"/>
                <w:szCs w:val="18"/>
              </w:rPr>
              <w:t>986</w:t>
            </w:r>
          </w:p>
        </w:tc>
        <w:tc>
          <w:tcPr>
            <w:tcW w:w="921" w:type="dxa"/>
            <w:tcBorders>
              <w:top w:val="nil"/>
              <w:left w:val="nil"/>
              <w:bottom w:val="nil"/>
              <w:right w:val="dashed" w:sz="8" w:space="0" w:color="F0CAB6"/>
            </w:tcBorders>
            <w:shd w:val="clear" w:color="auto" w:fill="auto"/>
            <w:noWrap/>
            <w:vAlign w:val="center"/>
            <w:hideMark/>
          </w:tcPr>
          <w:p w14:paraId="58F2E9EC" w14:textId="77777777" w:rsidR="00572F25" w:rsidRPr="00045E25" w:rsidRDefault="00572F25" w:rsidP="00140544">
            <w:pPr>
              <w:spacing w:after="0"/>
              <w:rPr>
                <w:rFonts w:cs="Arial"/>
                <w:i/>
                <w:iCs/>
                <w:sz w:val="18"/>
                <w:szCs w:val="18"/>
              </w:rPr>
            </w:pPr>
            <w:r w:rsidRPr="00045E25">
              <w:rPr>
                <w:rFonts w:cs="Arial"/>
                <w:i/>
                <w:iCs/>
                <w:sz w:val="18"/>
                <w:szCs w:val="18"/>
              </w:rPr>
              <w:t>98.9</w:t>
            </w:r>
          </w:p>
        </w:tc>
        <w:tc>
          <w:tcPr>
            <w:tcW w:w="921" w:type="dxa"/>
            <w:tcBorders>
              <w:top w:val="nil"/>
              <w:left w:val="nil"/>
              <w:bottom w:val="nil"/>
              <w:right w:val="dashed" w:sz="8" w:space="0" w:color="E8B092"/>
            </w:tcBorders>
            <w:shd w:val="clear" w:color="auto" w:fill="auto"/>
            <w:noWrap/>
            <w:vAlign w:val="center"/>
            <w:hideMark/>
          </w:tcPr>
          <w:p w14:paraId="7A04ECD4" w14:textId="77777777" w:rsidR="00572F25" w:rsidRPr="00822F5E" w:rsidRDefault="00572F25" w:rsidP="00140544">
            <w:pPr>
              <w:spacing w:after="0"/>
              <w:jc w:val="right"/>
              <w:rPr>
                <w:rFonts w:cs="Arial"/>
                <w:i/>
                <w:iCs/>
                <w:sz w:val="18"/>
                <w:szCs w:val="18"/>
              </w:rPr>
            </w:pPr>
            <w:r w:rsidRPr="00822F5E">
              <w:rPr>
                <w:rFonts w:cs="Arial"/>
                <w:i/>
                <w:iCs/>
                <w:sz w:val="18"/>
                <w:szCs w:val="18"/>
              </w:rPr>
              <w:t>11</w:t>
            </w:r>
          </w:p>
        </w:tc>
        <w:tc>
          <w:tcPr>
            <w:tcW w:w="922" w:type="dxa"/>
            <w:tcBorders>
              <w:top w:val="nil"/>
              <w:left w:val="nil"/>
              <w:bottom w:val="nil"/>
              <w:right w:val="dashed" w:sz="8" w:space="0" w:color="F0CAB6"/>
            </w:tcBorders>
            <w:shd w:val="clear" w:color="auto" w:fill="auto"/>
            <w:noWrap/>
            <w:vAlign w:val="center"/>
            <w:hideMark/>
          </w:tcPr>
          <w:p w14:paraId="29FE8903" w14:textId="77777777" w:rsidR="00572F25" w:rsidRPr="00045E25" w:rsidRDefault="00572F25" w:rsidP="00140544">
            <w:pPr>
              <w:spacing w:after="0"/>
              <w:rPr>
                <w:rFonts w:cs="Arial"/>
                <w:i/>
                <w:iCs/>
                <w:sz w:val="18"/>
                <w:szCs w:val="18"/>
              </w:rPr>
            </w:pPr>
            <w:r w:rsidRPr="00045E25">
              <w:rPr>
                <w:rFonts w:cs="Arial"/>
                <w:i/>
                <w:iCs/>
                <w:sz w:val="18"/>
                <w:szCs w:val="18"/>
              </w:rPr>
              <w:t>1.1</w:t>
            </w:r>
          </w:p>
        </w:tc>
      </w:tr>
      <w:tr w:rsidR="00572F25" w:rsidRPr="004243B7" w14:paraId="41C4649B" w14:textId="77777777" w:rsidTr="00140544">
        <w:trPr>
          <w:trHeight w:val="87"/>
        </w:trPr>
        <w:tc>
          <w:tcPr>
            <w:tcW w:w="2835" w:type="dxa"/>
            <w:tcBorders>
              <w:top w:val="nil"/>
              <w:left w:val="nil"/>
              <w:bottom w:val="nil"/>
              <w:right w:val="nil"/>
            </w:tcBorders>
            <w:shd w:val="clear" w:color="auto" w:fill="auto"/>
            <w:vAlign w:val="center"/>
            <w:hideMark/>
          </w:tcPr>
          <w:p w14:paraId="01743E59" w14:textId="77777777" w:rsidR="00572F25" w:rsidRPr="00822F5E" w:rsidRDefault="00572F25" w:rsidP="00140544">
            <w:pPr>
              <w:spacing w:after="0"/>
              <w:ind w:firstLineChars="100" w:firstLine="180"/>
              <w:rPr>
                <w:rFonts w:cs="Arial"/>
                <w:sz w:val="18"/>
                <w:szCs w:val="18"/>
              </w:rPr>
            </w:pPr>
            <w:r w:rsidRPr="00822F5E">
              <w:rPr>
                <w:rFonts w:cs="Arial"/>
                <w:sz w:val="18"/>
                <w:szCs w:val="18"/>
              </w:rPr>
              <w:t>Repeat dose</w:t>
            </w:r>
          </w:p>
        </w:tc>
        <w:tc>
          <w:tcPr>
            <w:tcW w:w="851" w:type="dxa"/>
            <w:tcBorders>
              <w:top w:val="nil"/>
              <w:left w:val="nil"/>
              <w:bottom w:val="nil"/>
              <w:right w:val="nil"/>
            </w:tcBorders>
            <w:shd w:val="clear" w:color="auto" w:fill="auto"/>
            <w:noWrap/>
            <w:vAlign w:val="center"/>
            <w:hideMark/>
          </w:tcPr>
          <w:p w14:paraId="638880AC" w14:textId="77777777" w:rsidR="00572F25" w:rsidRPr="00822F5E" w:rsidRDefault="00572F25" w:rsidP="00140544">
            <w:pPr>
              <w:spacing w:after="0"/>
              <w:jc w:val="center"/>
              <w:rPr>
                <w:rFonts w:cs="Arial"/>
                <w:sz w:val="18"/>
                <w:szCs w:val="18"/>
              </w:rPr>
            </w:pPr>
            <w:r w:rsidRPr="00822F5E">
              <w:rPr>
                <w:rFonts w:cstheme="minorHAnsi"/>
                <w:sz w:val="18"/>
                <w:szCs w:val="18"/>
              </w:rPr>
              <w:t>337</w:t>
            </w:r>
          </w:p>
        </w:tc>
        <w:tc>
          <w:tcPr>
            <w:tcW w:w="921" w:type="dxa"/>
            <w:tcBorders>
              <w:top w:val="nil"/>
              <w:left w:val="nil"/>
              <w:bottom w:val="nil"/>
              <w:right w:val="dashed" w:sz="8" w:space="0" w:color="F0CAB6"/>
            </w:tcBorders>
            <w:shd w:val="clear" w:color="auto" w:fill="auto"/>
            <w:noWrap/>
            <w:vAlign w:val="center"/>
            <w:hideMark/>
          </w:tcPr>
          <w:p w14:paraId="06BD2400" w14:textId="77777777" w:rsidR="00572F25" w:rsidRPr="00822F5E" w:rsidRDefault="00572F25" w:rsidP="00140544">
            <w:pPr>
              <w:spacing w:after="0"/>
              <w:jc w:val="right"/>
              <w:rPr>
                <w:rFonts w:cs="Arial"/>
                <w:sz w:val="18"/>
                <w:szCs w:val="18"/>
              </w:rPr>
            </w:pPr>
            <w:r w:rsidRPr="00822F5E">
              <w:rPr>
                <w:rFonts w:cs="Arial"/>
                <w:sz w:val="18"/>
                <w:szCs w:val="18"/>
              </w:rPr>
              <w:t>214</w:t>
            </w:r>
          </w:p>
        </w:tc>
        <w:tc>
          <w:tcPr>
            <w:tcW w:w="921" w:type="dxa"/>
            <w:tcBorders>
              <w:top w:val="nil"/>
              <w:left w:val="nil"/>
              <w:bottom w:val="nil"/>
              <w:right w:val="dashed" w:sz="8" w:space="0" w:color="F0CAB6"/>
            </w:tcBorders>
            <w:shd w:val="clear" w:color="auto" w:fill="auto"/>
            <w:noWrap/>
            <w:vAlign w:val="center"/>
            <w:hideMark/>
          </w:tcPr>
          <w:p w14:paraId="211AC6F4" w14:textId="77777777" w:rsidR="00572F25" w:rsidRPr="00822F5E" w:rsidRDefault="00572F25" w:rsidP="00140544">
            <w:pPr>
              <w:spacing w:after="0"/>
              <w:rPr>
                <w:rFonts w:cs="Arial"/>
                <w:sz w:val="18"/>
                <w:szCs w:val="18"/>
              </w:rPr>
            </w:pPr>
            <w:r w:rsidRPr="00822F5E">
              <w:rPr>
                <w:rFonts w:cs="Arial"/>
                <w:sz w:val="18"/>
                <w:szCs w:val="18"/>
              </w:rPr>
              <w:t>63.5</w:t>
            </w:r>
          </w:p>
        </w:tc>
        <w:tc>
          <w:tcPr>
            <w:tcW w:w="922" w:type="dxa"/>
            <w:tcBorders>
              <w:top w:val="nil"/>
              <w:left w:val="nil"/>
              <w:bottom w:val="nil"/>
              <w:right w:val="dashed" w:sz="8" w:space="0" w:color="E8B092"/>
            </w:tcBorders>
            <w:shd w:val="clear" w:color="auto" w:fill="auto"/>
            <w:noWrap/>
            <w:vAlign w:val="center"/>
            <w:hideMark/>
          </w:tcPr>
          <w:p w14:paraId="1B4F45E6" w14:textId="77777777" w:rsidR="00572F25" w:rsidRPr="00822F5E" w:rsidRDefault="00572F25" w:rsidP="00140544">
            <w:pPr>
              <w:spacing w:after="0"/>
              <w:jc w:val="right"/>
              <w:rPr>
                <w:rFonts w:cs="Arial"/>
                <w:sz w:val="18"/>
                <w:szCs w:val="18"/>
              </w:rPr>
            </w:pPr>
            <w:r w:rsidRPr="00822F5E">
              <w:rPr>
                <w:rFonts w:cs="Arial"/>
                <w:sz w:val="18"/>
                <w:szCs w:val="18"/>
              </w:rPr>
              <w:t>118</w:t>
            </w:r>
          </w:p>
        </w:tc>
        <w:tc>
          <w:tcPr>
            <w:tcW w:w="921" w:type="dxa"/>
            <w:tcBorders>
              <w:top w:val="nil"/>
              <w:left w:val="nil"/>
              <w:bottom w:val="nil"/>
              <w:right w:val="dashed" w:sz="8" w:space="0" w:color="F0CAB6"/>
            </w:tcBorders>
            <w:shd w:val="clear" w:color="auto" w:fill="auto"/>
            <w:noWrap/>
            <w:vAlign w:val="center"/>
            <w:hideMark/>
          </w:tcPr>
          <w:p w14:paraId="4B39586E" w14:textId="77777777" w:rsidR="00572F25" w:rsidRPr="00822F5E" w:rsidRDefault="00572F25" w:rsidP="00140544">
            <w:pPr>
              <w:spacing w:after="0"/>
              <w:rPr>
                <w:rFonts w:cs="Arial"/>
                <w:sz w:val="18"/>
                <w:szCs w:val="18"/>
              </w:rPr>
            </w:pPr>
            <w:r w:rsidRPr="00822F5E">
              <w:rPr>
                <w:rFonts w:cs="Arial"/>
                <w:sz w:val="18"/>
                <w:szCs w:val="18"/>
              </w:rPr>
              <w:t>35.0</w:t>
            </w:r>
          </w:p>
        </w:tc>
        <w:tc>
          <w:tcPr>
            <w:tcW w:w="921" w:type="dxa"/>
            <w:tcBorders>
              <w:top w:val="nil"/>
              <w:left w:val="nil"/>
              <w:bottom w:val="nil"/>
              <w:right w:val="dashed" w:sz="8" w:space="0" w:color="E8B092"/>
            </w:tcBorders>
            <w:shd w:val="clear" w:color="auto" w:fill="auto"/>
            <w:noWrap/>
            <w:vAlign w:val="center"/>
            <w:hideMark/>
          </w:tcPr>
          <w:p w14:paraId="72023F90" w14:textId="77777777" w:rsidR="00572F25" w:rsidRPr="00822F5E" w:rsidRDefault="00572F25" w:rsidP="00140544">
            <w:pPr>
              <w:spacing w:after="0"/>
              <w:jc w:val="right"/>
              <w:rPr>
                <w:rFonts w:cs="Arial"/>
                <w:sz w:val="18"/>
                <w:szCs w:val="18"/>
              </w:rPr>
            </w:pPr>
            <w:r w:rsidRPr="00822F5E">
              <w:rPr>
                <w:rFonts w:cs="Arial"/>
                <w:sz w:val="18"/>
                <w:szCs w:val="18"/>
              </w:rPr>
              <w:t>5</w:t>
            </w:r>
          </w:p>
        </w:tc>
        <w:tc>
          <w:tcPr>
            <w:tcW w:w="922" w:type="dxa"/>
            <w:tcBorders>
              <w:top w:val="nil"/>
              <w:left w:val="nil"/>
              <w:bottom w:val="nil"/>
              <w:right w:val="dashed" w:sz="8" w:space="0" w:color="F0CAB6"/>
            </w:tcBorders>
            <w:shd w:val="clear" w:color="auto" w:fill="auto"/>
            <w:noWrap/>
            <w:vAlign w:val="center"/>
            <w:hideMark/>
          </w:tcPr>
          <w:p w14:paraId="5B4D5BB7" w14:textId="77777777" w:rsidR="00572F25" w:rsidRPr="00822F5E" w:rsidRDefault="00572F25" w:rsidP="00140544">
            <w:pPr>
              <w:spacing w:after="0"/>
              <w:rPr>
                <w:rFonts w:cs="Arial"/>
                <w:sz w:val="18"/>
                <w:szCs w:val="18"/>
              </w:rPr>
            </w:pPr>
            <w:r w:rsidRPr="00822F5E">
              <w:rPr>
                <w:rFonts w:cs="Arial"/>
                <w:sz w:val="18"/>
                <w:szCs w:val="18"/>
              </w:rPr>
              <w:t>1.5</w:t>
            </w:r>
          </w:p>
        </w:tc>
      </w:tr>
      <w:tr w:rsidR="00572F25" w:rsidRPr="004243B7" w14:paraId="49180897" w14:textId="77777777" w:rsidTr="00140544">
        <w:trPr>
          <w:trHeight w:val="510"/>
        </w:trPr>
        <w:tc>
          <w:tcPr>
            <w:tcW w:w="2835" w:type="dxa"/>
            <w:tcBorders>
              <w:top w:val="nil"/>
              <w:left w:val="nil"/>
              <w:bottom w:val="nil"/>
              <w:right w:val="nil"/>
            </w:tcBorders>
            <w:shd w:val="clear" w:color="auto" w:fill="auto"/>
            <w:vAlign w:val="center"/>
            <w:hideMark/>
          </w:tcPr>
          <w:p w14:paraId="26546215" w14:textId="77777777" w:rsidR="00572F25" w:rsidRPr="00822F5E" w:rsidRDefault="00572F25" w:rsidP="00140544">
            <w:pPr>
              <w:spacing w:after="0"/>
              <w:ind w:firstLineChars="200" w:firstLine="360"/>
              <w:rPr>
                <w:rFonts w:ascii="Wingdings 3" w:hAnsi="Wingdings 3" w:cs="Calibri"/>
                <w:sz w:val="18"/>
                <w:szCs w:val="18"/>
              </w:rPr>
            </w:pPr>
            <w:r w:rsidRPr="00822F5E">
              <w:rPr>
                <w:rFonts w:ascii="Wingdings 3" w:hAnsi="Wingdings 3" w:cs="Calibri"/>
                <w:sz w:val="18"/>
                <w:szCs w:val="18"/>
              </w:rPr>
              <w:t></w:t>
            </w:r>
            <w:r w:rsidRPr="00822F5E">
              <w:rPr>
                <w:rFonts w:cs="Arial"/>
                <w:i/>
                <w:iCs/>
                <w:sz w:val="18"/>
                <w:szCs w:val="18"/>
              </w:rPr>
              <w:t xml:space="preserve">   when required</w:t>
            </w:r>
          </w:p>
        </w:tc>
        <w:tc>
          <w:tcPr>
            <w:tcW w:w="851" w:type="dxa"/>
            <w:tcBorders>
              <w:top w:val="nil"/>
              <w:left w:val="nil"/>
              <w:bottom w:val="nil"/>
              <w:right w:val="nil"/>
            </w:tcBorders>
            <w:shd w:val="clear" w:color="auto" w:fill="auto"/>
            <w:noWrap/>
            <w:vAlign w:val="center"/>
            <w:hideMark/>
          </w:tcPr>
          <w:p w14:paraId="0E4375F5" w14:textId="77777777" w:rsidR="00572F25" w:rsidRPr="00822F5E" w:rsidRDefault="00572F25" w:rsidP="00140544">
            <w:pPr>
              <w:spacing w:after="0"/>
              <w:jc w:val="center"/>
              <w:rPr>
                <w:rFonts w:cs="Arial"/>
                <w:i/>
                <w:iCs/>
                <w:sz w:val="18"/>
                <w:szCs w:val="18"/>
              </w:rPr>
            </w:pPr>
            <w:r w:rsidRPr="00822F5E">
              <w:rPr>
                <w:rFonts w:cs="Arial"/>
                <w:i/>
                <w:iCs/>
                <w:sz w:val="18"/>
                <w:szCs w:val="18"/>
              </w:rPr>
              <w:t>322</w:t>
            </w:r>
          </w:p>
        </w:tc>
        <w:tc>
          <w:tcPr>
            <w:tcW w:w="921" w:type="dxa"/>
            <w:tcBorders>
              <w:top w:val="nil"/>
              <w:left w:val="nil"/>
              <w:bottom w:val="nil"/>
              <w:right w:val="dashed" w:sz="8" w:space="0" w:color="F0CAB6"/>
            </w:tcBorders>
            <w:shd w:val="clear" w:color="auto" w:fill="auto"/>
            <w:noWrap/>
            <w:vAlign w:val="center"/>
            <w:hideMark/>
          </w:tcPr>
          <w:p w14:paraId="4D10DF91" w14:textId="77777777" w:rsidR="00572F25" w:rsidRPr="00822F5E" w:rsidRDefault="00572F25" w:rsidP="00140544">
            <w:pPr>
              <w:spacing w:after="0"/>
              <w:jc w:val="right"/>
              <w:rPr>
                <w:rFonts w:cs="Arial"/>
                <w:i/>
                <w:iCs/>
                <w:sz w:val="18"/>
                <w:szCs w:val="18"/>
              </w:rPr>
            </w:pPr>
            <w:r w:rsidRPr="00822F5E">
              <w:rPr>
                <w:rFonts w:cs="Arial"/>
                <w:i/>
                <w:iCs/>
                <w:sz w:val="18"/>
                <w:szCs w:val="18"/>
              </w:rPr>
              <w:t>214</w:t>
            </w:r>
          </w:p>
        </w:tc>
        <w:tc>
          <w:tcPr>
            <w:tcW w:w="921" w:type="dxa"/>
            <w:tcBorders>
              <w:top w:val="nil"/>
              <w:left w:val="nil"/>
              <w:bottom w:val="nil"/>
              <w:right w:val="dashed" w:sz="8" w:space="0" w:color="F0CAB6"/>
            </w:tcBorders>
            <w:shd w:val="clear" w:color="auto" w:fill="auto"/>
            <w:noWrap/>
            <w:vAlign w:val="center"/>
            <w:hideMark/>
          </w:tcPr>
          <w:p w14:paraId="1B5D93EC" w14:textId="77777777" w:rsidR="00572F25" w:rsidRPr="00822F5E" w:rsidRDefault="00572F25" w:rsidP="00140544">
            <w:pPr>
              <w:spacing w:after="0"/>
              <w:rPr>
                <w:rFonts w:cs="Arial"/>
                <w:i/>
                <w:iCs/>
                <w:sz w:val="18"/>
                <w:szCs w:val="18"/>
              </w:rPr>
            </w:pPr>
            <w:r w:rsidRPr="00822F5E">
              <w:rPr>
                <w:rFonts w:cs="Arial"/>
                <w:i/>
                <w:iCs/>
                <w:sz w:val="18"/>
                <w:szCs w:val="18"/>
              </w:rPr>
              <w:t>66.5</w:t>
            </w:r>
          </w:p>
        </w:tc>
        <w:tc>
          <w:tcPr>
            <w:tcW w:w="922" w:type="dxa"/>
            <w:tcBorders>
              <w:top w:val="nil"/>
              <w:left w:val="nil"/>
              <w:bottom w:val="nil"/>
              <w:right w:val="dashed" w:sz="8" w:space="0" w:color="E8B092"/>
            </w:tcBorders>
            <w:shd w:val="clear" w:color="auto" w:fill="auto"/>
            <w:noWrap/>
            <w:vAlign w:val="center"/>
            <w:hideMark/>
          </w:tcPr>
          <w:p w14:paraId="70007AD4" w14:textId="77777777" w:rsidR="00572F25" w:rsidRPr="00822F5E" w:rsidRDefault="00572F25" w:rsidP="00140544">
            <w:pPr>
              <w:spacing w:after="0"/>
              <w:jc w:val="right"/>
              <w:rPr>
                <w:rFonts w:cs="Arial"/>
                <w:i/>
                <w:iCs/>
                <w:sz w:val="18"/>
                <w:szCs w:val="18"/>
              </w:rPr>
            </w:pPr>
            <w:r w:rsidRPr="00822F5E">
              <w:rPr>
                <w:rFonts w:cs="Arial"/>
                <w:i/>
                <w:iCs/>
                <w:sz w:val="18"/>
                <w:szCs w:val="18"/>
              </w:rPr>
              <w:t>103</w:t>
            </w:r>
          </w:p>
        </w:tc>
        <w:tc>
          <w:tcPr>
            <w:tcW w:w="921" w:type="dxa"/>
            <w:tcBorders>
              <w:top w:val="nil"/>
              <w:left w:val="nil"/>
              <w:bottom w:val="nil"/>
              <w:right w:val="dashed" w:sz="8" w:space="0" w:color="F0CAB6"/>
            </w:tcBorders>
            <w:shd w:val="clear" w:color="auto" w:fill="auto"/>
            <w:noWrap/>
            <w:vAlign w:val="center"/>
            <w:hideMark/>
          </w:tcPr>
          <w:p w14:paraId="5D751CC3" w14:textId="77777777" w:rsidR="00572F25" w:rsidRPr="00822F5E" w:rsidRDefault="00572F25" w:rsidP="00140544">
            <w:pPr>
              <w:spacing w:after="0"/>
              <w:rPr>
                <w:rFonts w:cs="Arial"/>
                <w:i/>
                <w:iCs/>
                <w:sz w:val="18"/>
                <w:szCs w:val="18"/>
              </w:rPr>
            </w:pPr>
            <w:r w:rsidRPr="00822F5E">
              <w:rPr>
                <w:rFonts w:cs="Arial"/>
                <w:i/>
                <w:iCs/>
                <w:sz w:val="18"/>
                <w:szCs w:val="18"/>
              </w:rPr>
              <w:t>32.0</w:t>
            </w:r>
          </w:p>
        </w:tc>
        <w:tc>
          <w:tcPr>
            <w:tcW w:w="921" w:type="dxa"/>
            <w:tcBorders>
              <w:top w:val="nil"/>
              <w:left w:val="nil"/>
              <w:bottom w:val="nil"/>
              <w:right w:val="dashed" w:sz="8" w:space="0" w:color="E8B092"/>
            </w:tcBorders>
            <w:shd w:val="clear" w:color="auto" w:fill="auto"/>
            <w:noWrap/>
            <w:vAlign w:val="center"/>
            <w:hideMark/>
          </w:tcPr>
          <w:p w14:paraId="70DD4785" w14:textId="77777777" w:rsidR="00572F25" w:rsidRPr="00822F5E" w:rsidRDefault="00572F25" w:rsidP="00140544">
            <w:pPr>
              <w:spacing w:after="0"/>
              <w:jc w:val="right"/>
              <w:rPr>
                <w:rFonts w:cs="Arial"/>
                <w:i/>
                <w:iCs/>
                <w:sz w:val="18"/>
                <w:szCs w:val="18"/>
              </w:rPr>
            </w:pPr>
            <w:r w:rsidRPr="00822F5E">
              <w:rPr>
                <w:rFonts w:cs="Arial"/>
                <w:i/>
                <w:iCs/>
                <w:sz w:val="18"/>
                <w:szCs w:val="18"/>
              </w:rPr>
              <w:t>5</w:t>
            </w:r>
          </w:p>
        </w:tc>
        <w:tc>
          <w:tcPr>
            <w:tcW w:w="922" w:type="dxa"/>
            <w:tcBorders>
              <w:top w:val="nil"/>
              <w:left w:val="nil"/>
              <w:bottom w:val="nil"/>
              <w:right w:val="dashed" w:sz="8" w:space="0" w:color="F0CAB6"/>
            </w:tcBorders>
            <w:shd w:val="clear" w:color="auto" w:fill="auto"/>
            <w:noWrap/>
            <w:vAlign w:val="center"/>
            <w:hideMark/>
          </w:tcPr>
          <w:p w14:paraId="740D9B9F" w14:textId="77777777" w:rsidR="00572F25" w:rsidRPr="00822F5E" w:rsidRDefault="00572F25" w:rsidP="00140544">
            <w:pPr>
              <w:spacing w:after="0"/>
              <w:rPr>
                <w:rFonts w:cs="Arial"/>
                <w:i/>
                <w:iCs/>
                <w:sz w:val="18"/>
                <w:szCs w:val="18"/>
              </w:rPr>
            </w:pPr>
            <w:r w:rsidRPr="00822F5E">
              <w:rPr>
                <w:rFonts w:cs="Arial"/>
                <w:i/>
                <w:iCs/>
                <w:sz w:val="18"/>
                <w:szCs w:val="18"/>
              </w:rPr>
              <w:t>1.6</w:t>
            </w:r>
          </w:p>
        </w:tc>
      </w:tr>
      <w:tr w:rsidR="00572F25" w:rsidRPr="004243B7" w14:paraId="39FCDDAE" w14:textId="77777777" w:rsidTr="00140544">
        <w:trPr>
          <w:trHeight w:val="206"/>
        </w:trPr>
        <w:tc>
          <w:tcPr>
            <w:tcW w:w="2835" w:type="dxa"/>
            <w:tcBorders>
              <w:top w:val="nil"/>
              <w:left w:val="nil"/>
              <w:bottom w:val="nil"/>
              <w:right w:val="nil"/>
            </w:tcBorders>
            <w:shd w:val="clear" w:color="auto" w:fill="auto"/>
            <w:vAlign w:val="center"/>
            <w:hideMark/>
          </w:tcPr>
          <w:p w14:paraId="3A0E5D00" w14:textId="77777777" w:rsidR="00572F25" w:rsidRPr="00822F5E" w:rsidRDefault="00572F25" w:rsidP="00140544">
            <w:pPr>
              <w:spacing w:after="0"/>
              <w:ind w:firstLineChars="200" w:firstLine="360"/>
              <w:rPr>
                <w:rFonts w:ascii="Wingdings 3" w:hAnsi="Wingdings 3" w:cs="Calibri"/>
                <w:sz w:val="18"/>
                <w:szCs w:val="18"/>
              </w:rPr>
            </w:pPr>
            <w:r w:rsidRPr="00822F5E">
              <w:rPr>
                <w:rFonts w:ascii="Wingdings 3" w:hAnsi="Wingdings 3" w:cs="Calibri"/>
                <w:sz w:val="18"/>
                <w:szCs w:val="18"/>
              </w:rPr>
              <w:t></w:t>
            </w:r>
            <w:r w:rsidRPr="00822F5E">
              <w:rPr>
                <w:rFonts w:cs="Arial"/>
                <w:sz w:val="18"/>
                <w:szCs w:val="18"/>
              </w:rPr>
              <w:t xml:space="preserve">   </w:t>
            </w:r>
            <w:r w:rsidRPr="00822F5E">
              <w:rPr>
                <w:rFonts w:cs="Arial"/>
                <w:i/>
                <w:iCs/>
                <w:sz w:val="18"/>
                <w:szCs w:val="18"/>
              </w:rPr>
              <w:t>when not required</w:t>
            </w:r>
          </w:p>
        </w:tc>
        <w:tc>
          <w:tcPr>
            <w:tcW w:w="851" w:type="dxa"/>
            <w:tcBorders>
              <w:top w:val="nil"/>
              <w:left w:val="nil"/>
              <w:bottom w:val="nil"/>
              <w:right w:val="nil"/>
            </w:tcBorders>
            <w:shd w:val="clear" w:color="auto" w:fill="auto"/>
            <w:noWrap/>
            <w:vAlign w:val="center"/>
            <w:hideMark/>
          </w:tcPr>
          <w:p w14:paraId="5412A22A" w14:textId="77777777" w:rsidR="00572F25" w:rsidRPr="00822F5E" w:rsidRDefault="00572F25" w:rsidP="00140544">
            <w:pPr>
              <w:spacing w:after="0"/>
              <w:jc w:val="center"/>
              <w:rPr>
                <w:rFonts w:cs="Arial"/>
                <w:i/>
                <w:iCs/>
                <w:sz w:val="18"/>
                <w:szCs w:val="18"/>
              </w:rPr>
            </w:pPr>
            <w:r w:rsidRPr="00822F5E">
              <w:rPr>
                <w:rFonts w:cs="Arial"/>
                <w:i/>
                <w:iCs/>
                <w:sz w:val="18"/>
                <w:szCs w:val="18"/>
              </w:rPr>
              <w:t>15</w:t>
            </w:r>
          </w:p>
        </w:tc>
        <w:tc>
          <w:tcPr>
            <w:tcW w:w="921" w:type="dxa"/>
            <w:tcBorders>
              <w:top w:val="nil"/>
              <w:left w:val="nil"/>
              <w:bottom w:val="nil"/>
              <w:right w:val="dashed" w:sz="8" w:space="0" w:color="F0CAB6"/>
            </w:tcBorders>
            <w:shd w:val="clear" w:color="auto" w:fill="auto"/>
            <w:noWrap/>
            <w:vAlign w:val="center"/>
            <w:hideMark/>
          </w:tcPr>
          <w:p w14:paraId="69E404F0" w14:textId="77777777" w:rsidR="00572F25" w:rsidRPr="00822F5E" w:rsidRDefault="00572F25" w:rsidP="00140544">
            <w:pPr>
              <w:spacing w:after="0"/>
              <w:jc w:val="right"/>
              <w:rPr>
                <w:rFonts w:cs="Arial"/>
                <w:i/>
                <w:iCs/>
                <w:sz w:val="18"/>
                <w:szCs w:val="18"/>
              </w:rPr>
            </w:pPr>
            <w:r w:rsidRPr="00822F5E">
              <w:rPr>
                <w:rFonts w:cstheme="minorHAnsi"/>
                <w:i/>
                <w:iCs/>
                <w:sz w:val="18"/>
                <w:szCs w:val="18"/>
              </w:rPr>
              <w:t>–</w:t>
            </w:r>
          </w:p>
        </w:tc>
        <w:tc>
          <w:tcPr>
            <w:tcW w:w="921" w:type="dxa"/>
            <w:tcBorders>
              <w:top w:val="nil"/>
              <w:left w:val="nil"/>
              <w:bottom w:val="nil"/>
              <w:right w:val="dashed" w:sz="8" w:space="0" w:color="F0CAB6"/>
            </w:tcBorders>
            <w:shd w:val="clear" w:color="auto" w:fill="auto"/>
            <w:noWrap/>
            <w:vAlign w:val="center"/>
            <w:hideMark/>
          </w:tcPr>
          <w:p w14:paraId="6B9E69AA" w14:textId="77777777" w:rsidR="00572F25" w:rsidRPr="00822F5E" w:rsidRDefault="00572F25" w:rsidP="00140544">
            <w:pPr>
              <w:spacing w:after="0"/>
              <w:rPr>
                <w:rFonts w:cs="Arial"/>
                <w:i/>
                <w:iCs/>
                <w:sz w:val="18"/>
                <w:szCs w:val="18"/>
              </w:rPr>
            </w:pPr>
            <w:r w:rsidRPr="00822F5E">
              <w:rPr>
                <w:rFonts w:cs="Arial"/>
                <w:i/>
                <w:iCs/>
                <w:sz w:val="18"/>
                <w:szCs w:val="18"/>
              </w:rPr>
              <w:t>–</w:t>
            </w:r>
          </w:p>
        </w:tc>
        <w:tc>
          <w:tcPr>
            <w:tcW w:w="922" w:type="dxa"/>
            <w:tcBorders>
              <w:top w:val="nil"/>
              <w:left w:val="nil"/>
              <w:bottom w:val="nil"/>
              <w:right w:val="dashed" w:sz="8" w:space="0" w:color="E8B092"/>
            </w:tcBorders>
            <w:shd w:val="clear" w:color="auto" w:fill="auto"/>
            <w:noWrap/>
            <w:vAlign w:val="center"/>
            <w:hideMark/>
          </w:tcPr>
          <w:p w14:paraId="37488FFA" w14:textId="77777777" w:rsidR="00572F25" w:rsidRPr="00822F5E" w:rsidRDefault="00572F25" w:rsidP="00140544">
            <w:pPr>
              <w:spacing w:after="0"/>
              <w:jc w:val="right"/>
              <w:rPr>
                <w:rFonts w:cs="Arial"/>
                <w:i/>
                <w:iCs/>
                <w:sz w:val="18"/>
                <w:szCs w:val="18"/>
              </w:rPr>
            </w:pPr>
            <w:r w:rsidRPr="00822F5E">
              <w:rPr>
                <w:rFonts w:cs="Arial"/>
                <w:i/>
                <w:iCs/>
                <w:sz w:val="18"/>
                <w:szCs w:val="18"/>
              </w:rPr>
              <w:t>15</w:t>
            </w:r>
          </w:p>
        </w:tc>
        <w:tc>
          <w:tcPr>
            <w:tcW w:w="921" w:type="dxa"/>
            <w:tcBorders>
              <w:top w:val="nil"/>
              <w:left w:val="nil"/>
              <w:bottom w:val="nil"/>
              <w:right w:val="dashed" w:sz="8" w:space="0" w:color="F0CAB6"/>
            </w:tcBorders>
            <w:shd w:val="clear" w:color="auto" w:fill="auto"/>
            <w:noWrap/>
            <w:vAlign w:val="center"/>
            <w:hideMark/>
          </w:tcPr>
          <w:p w14:paraId="75C82EFA" w14:textId="77777777" w:rsidR="00572F25" w:rsidRPr="00822F5E" w:rsidRDefault="00572F25" w:rsidP="00140544">
            <w:pPr>
              <w:spacing w:after="0"/>
              <w:rPr>
                <w:rFonts w:cs="Arial"/>
                <w:i/>
                <w:iCs/>
                <w:sz w:val="18"/>
                <w:szCs w:val="18"/>
              </w:rPr>
            </w:pPr>
            <w:r w:rsidRPr="00822F5E">
              <w:rPr>
                <w:rFonts w:cs="Arial"/>
                <w:i/>
                <w:iCs/>
                <w:sz w:val="18"/>
                <w:szCs w:val="18"/>
              </w:rPr>
              <w:t>100.0</w:t>
            </w:r>
          </w:p>
        </w:tc>
        <w:tc>
          <w:tcPr>
            <w:tcW w:w="921" w:type="dxa"/>
            <w:tcBorders>
              <w:top w:val="nil"/>
              <w:left w:val="nil"/>
              <w:bottom w:val="nil"/>
              <w:right w:val="dashed" w:sz="8" w:space="0" w:color="E8B092"/>
            </w:tcBorders>
            <w:shd w:val="clear" w:color="auto" w:fill="auto"/>
            <w:noWrap/>
            <w:vAlign w:val="center"/>
            <w:hideMark/>
          </w:tcPr>
          <w:p w14:paraId="1BBF1FC3" w14:textId="77777777" w:rsidR="00572F25" w:rsidRPr="00822F5E" w:rsidRDefault="00572F25" w:rsidP="00140544">
            <w:pPr>
              <w:spacing w:after="0"/>
              <w:jc w:val="right"/>
              <w:rPr>
                <w:rFonts w:cs="Arial"/>
                <w:i/>
                <w:iCs/>
                <w:sz w:val="18"/>
                <w:szCs w:val="18"/>
              </w:rPr>
            </w:pPr>
            <w:r w:rsidRPr="00822F5E">
              <w:rPr>
                <w:rFonts w:cstheme="minorHAnsi"/>
                <w:i/>
                <w:iCs/>
                <w:sz w:val="18"/>
                <w:szCs w:val="18"/>
              </w:rPr>
              <w:t>–</w:t>
            </w:r>
          </w:p>
        </w:tc>
        <w:tc>
          <w:tcPr>
            <w:tcW w:w="922" w:type="dxa"/>
            <w:tcBorders>
              <w:top w:val="nil"/>
              <w:left w:val="nil"/>
              <w:bottom w:val="nil"/>
              <w:right w:val="dashed" w:sz="8" w:space="0" w:color="F0CAB6"/>
            </w:tcBorders>
            <w:shd w:val="clear" w:color="auto" w:fill="auto"/>
            <w:noWrap/>
            <w:vAlign w:val="center"/>
            <w:hideMark/>
          </w:tcPr>
          <w:p w14:paraId="0E3247E5" w14:textId="77777777" w:rsidR="00572F25" w:rsidRPr="00822F5E" w:rsidRDefault="00572F25" w:rsidP="00140544">
            <w:pPr>
              <w:spacing w:after="0"/>
              <w:rPr>
                <w:rFonts w:cs="Arial"/>
                <w:i/>
                <w:iCs/>
                <w:sz w:val="18"/>
                <w:szCs w:val="18"/>
              </w:rPr>
            </w:pPr>
            <w:r w:rsidRPr="00822F5E">
              <w:rPr>
                <w:rFonts w:cs="Arial"/>
                <w:i/>
                <w:iCs/>
                <w:sz w:val="18"/>
                <w:szCs w:val="18"/>
              </w:rPr>
              <w:t>–</w:t>
            </w:r>
          </w:p>
        </w:tc>
      </w:tr>
      <w:tr w:rsidR="00572F25" w:rsidRPr="004243B7" w14:paraId="0B04A014" w14:textId="77777777" w:rsidTr="00140544">
        <w:trPr>
          <w:trHeight w:val="421"/>
        </w:trPr>
        <w:tc>
          <w:tcPr>
            <w:tcW w:w="2835" w:type="dxa"/>
            <w:tcBorders>
              <w:top w:val="nil"/>
              <w:left w:val="nil"/>
              <w:bottom w:val="nil"/>
              <w:right w:val="nil"/>
            </w:tcBorders>
            <w:shd w:val="clear" w:color="auto" w:fill="auto"/>
            <w:vAlign w:val="center"/>
            <w:hideMark/>
          </w:tcPr>
          <w:p w14:paraId="34D12C9C" w14:textId="77777777" w:rsidR="00572F25" w:rsidRPr="00822F5E" w:rsidRDefault="00572F25" w:rsidP="00140544">
            <w:pPr>
              <w:spacing w:after="0"/>
              <w:ind w:firstLineChars="200" w:firstLine="360"/>
              <w:rPr>
                <w:rFonts w:ascii="Wingdings 3" w:hAnsi="Wingdings 3" w:cs="Calibri"/>
                <w:sz w:val="18"/>
                <w:szCs w:val="18"/>
              </w:rPr>
            </w:pPr>
            <w:r w:rsidRPr="00822F5E">
              <w:rPr>
                <w:rFonts w:ascii="Wingdings 3" w:hAnsi="Wingdings 3" w:cs="Calibri"/>
                <w:sz w:val="18"/>
                <w:szCs w:val="18"/>
              </w:rPr>
              <w:t></w:t>
            </w:r>
            <w:r w:rsidRPr="00822F5E">
              <w:rPr>
                <w:rFonts w:cs="Arial"/>
                <w:sz w:val="18"/>
                <w:szCs w:val="18"/>
              </w:rPr>
              <w:t xml:space="preserve">   </w:t>
            </w:r>
            <w:r w:rsidRPr="00822F5E">
              <w:rPr>
                <w:rFonts w:cs="Arial"/>
                <w:i/>
                <w:iCs/>
                <w:sz w:val="18"/>
                <w:szCs w:val="18"/>
              </w:rPr>
              <w:t>not given when required</w:t>
            </w:r>
            <w:r w:rsidRPr="00822F5E">
              <w:rPr>
                <w:rFonts w:cs="Arial"/>
                <w:sz w:val="18"/>
                <w:szCs w:val="18"/>
                <w:vertAlign w:val="superscript"/>
              </w:rPr>
              <w:t>†</w:t>
            </w:r>
          </w:p>
        </w:tc>
        <w:tc>
          <w:tcPr>
            <w:tcW w:w="851" w:type="dxa"/>
            <w:tcBorders>
              <w:top w:val="nil"/>
              <w:left w:val="nil"/>
              <w:bottom w:val="nil"/>
              <w:right w:val="nil"/>
            </w:tcBorders>
            <w:shd w:val="clear" w:color="auto" w:fill="auto"/>
            <w:noWrap/>
            <w:vAlign w:val="center"/>
            <w:hideMark/>
          </w:tcPr>
          <w:p w14:paraId="57A932B0" w14:textId="77777777" w:rsidR="00572F25" w:rsidRPr="00822F5E" w:rsidRDefault="00572F25" w:rsidP="00140544">
            <w:pPr>
              <w:spacing w:after="0"/>
              <w:jc w:val="center"/>
              <w:rPr>
                <w:rFonts w:cs="Arial"/>
                <w:i/>
                <w:iCs/>
                <w:sz w:val="18"/>
                <w:szCs w:val="18"/>
              </w:rPr>
            </w:pPr>
            <w:r w:rsidRPr="00822F5E">
              <w:rPr>
                <w:rFonts w:cstheme="minorHAnsi"/>
                <w:i/>
                <w:iCs/>
                <w:sz w:val="18"/>
                <w:szCs w:val="18"/>
              </w:rPr>
              <w:t>36</w:t>
            </w:r>
          </w:p>
        </w:tc>
        <w:tc>
          <w:tcPr>
            <w:tcW w:w="921" w:type="dxa"/>
            <w:tcBorders>
              <w:top w:val="nil"/>
              <w:left w:val="nil"/>
              <w:bottom w:val="nil"/>
              <w:right w:val="dashed" w:sz="8" w:space="0" w:color="F0CAB6"/>
            </w:tcBorders>
            <w:shd w:val="clear" w:color="auto" w:fill="auto"/>
            <w:noWrap/>
            <w:vAlign w:val="center"/>
            <w:hideMark/>
          </w:tcPr>
          <w:p w14:paraId="110A77DC" w14:textId="77777777" w:rsidR="00572F25" w:rsidRPr="00822F5E" w:rsidRDefault="00572F25" w:rsidP="00140544">
            <w:pPr>
              <w:spacing w:after="0"/>
              <w:jc w:val="right"/>
              <w:rPr>
                <w:rFonts w:cs="Arial"/>
                <w:i/>
                <w:iCs/>
                <w:sz w:val="18"/>
                <w:szCs w:val="18"/>
              </w:rPr>
            </w:pPr>
            <w:r w:rsidRPr="00822F5E">
              <w:rPr>
                <w:rFonts w:cstheme="minorHAnsi"/>
                <w:i/>
                <w:iCs/>
                <w:sz w:val="18"/>
                <w:szCs w:val="18"/>
              </w:rPr>
              <w:t>–</w:t>
            </w:r>
          </w:p>
        </w:tc>
        <w:tc>
          <w:tcPr>
            <w:tcW w:w="921" w:type="dxa"/>
            <w:tcBorders>
              <w:top w:val="nil"/>
              <w:left w:val="nil"/>
              <w:bottom w:val="nil"/>
              <w:right w:val="dashed" w:sz="8" w:space="0" w:color="F0CAB6"/>
            </w:tcBorders>
            <w:shd w:val="clear" w:color="auto" w:fill="auto"/>
            <w:noWrap/>
            <w:vAlign w:val="center"/>
            <w:hideMark/>
          </w:tcPr>
          <w:p w14:paraId="59A4F84E" w14:textId="77777777" w:rsidR="00572F25" w:rsidRPr="00822F5E" w:rsidRDefault="00572F25" w:rsidP="00140544">
            <w:pPr>
              <w:spacing w:after="0"/>
              <w:rPr>
                <w:rFonts w:cs="Arial"/>
                <w:i/>
                <w:iCs/>
                <w:sz w:val="18"/>
                <w:szCs w:val="18"/>
              </w:rPr>
            </w:pPr>
            <w:r w:rsidRPr="00822F5E">
              <w:rPr>
                <w:rFonts w:cs="Arial"/>
                <w:i/>
                <w:iCs/>
                <w:sz w:val="18"/>
                <w:szCs w:val="18"/>
              </w:rPr>
              <w:t>–</w:t>
            </w:r>
          </w:p>
        </w:tc>
        <w:tc>
          <w:tcPr>
            <w:tcW w:w="922" w:type="dxa"/>
            <w:tcBorders>
              <w:top w:val="nil"/>
              <w:left w:val="nil"/>
              <w:bottom w:val="nil"/>
              <w:right w:val="dashed" w:sz="8" w:space="0" w:color="E8B092"/>
            </w:tcBorders>
            <w:shd w:val="clear" w:color="auto" w:fill="auto"/>
            <w:noWrap/>
            <w:vAlign w:val="center"/>
            <w:hideMark/>
          </w:tcPr>
          <w:p w14:paraId="28D6A9D2" w14:textId="77777777" w:rsidR="00572F25" w:rsidRPr="00822F5E" w:rsidRDefault="00572F25" w:rsidP="00140544">
            <w:pPr>
              <w:spacing w:after="0"/>
              <w:jc w:val="right"/>
              <w:rPr>
                <w:rFonts w:cs="Arial"/>
                <w:i/>
                <w:iCs/>
                <w:sz w:val="18"/>
                <w:szCs w:val="18"/>
              </w:rPr>
            </w:pPr>
            <w:r w:rsidRPr="00822F5E">
              <w:rPr>
                <w:rFonts w:cs="Arial"/>
                <w:i/>
                <w:iCs/>
                <w:sz w:val="18"/>
                <w:szCs w:val="18"/>
              </w:rPr>
              <w:t>36</w:t>
            </w:r>
          </w:p>
        </w:tc>
        <w:tc>
          <w:tcPr>
            <w:tcW w:w="921" w:type="dxa"/>
            <w:tcBorders>
              <w:top w:val="nil"/>
              <w:left w:val="nil"/>
              <w:bottom w:val="nil"/>
              <w:right w:val="dashed" w:sz="8" w:space="0" w:color="F0CAB6"/>
            </w:tcBorders>
            <w:shd w:val="clear" w:color="auto" w:fill="auto"/>
            <w:noWrap/>
            <w:vAlign w:val="center"/>
            <w:hideMark/>
          </w:tcPr>
          <w:p w14:paraId="4E3D9CD4" w14:textId="77777777" w:rsidR="00572F25" w:rsidRPr="00822F5E" w:rsidRDefault="00572F25" w:rsidP="00140544">
            <w:pPr>
              <w:spacing w:after="0"/>
              <w:rPr>
                <w:rFonts w:cs="Arial"/>
                <w:i/>
                <w:iCs/>
                <w:sz w:val="18"/>
                <w:szCs w:val="18"/>
              </w:rPr>
            </w:pPr>
            <w:r w:rsidRPr="00822F5E">
              <w:rPr>
                <w:rFonts w:cs="Arial"/>
                <w:i/>
                <w:iCs/>
                <w:sz w:val="18"/>
                <w:szCs w:val="18"/>
              </w:rPr>
              <w:t>100.0</w:t>
            </w:r>
          </w:p>
        </w:tc>
        <w:tc>
          <w:tcPr>
            <w:tcW w:w="921" w:type="dxa"/>
            <w:tcBorders>
              <w:top w:val="nil"/>
              <w:left w:val="nil"/>
              <w:bottom w:val="nil"/>
              <w:right w:val="dashed" w:sz="8" w:space="0" w:color="E8B092"/>
            </w:tcBorders>
            <w:shd w:val="clear" w:color="auto" w:fill="auto"/>
            <w:noWrap/>
            <w:vAlign w:val="center"/>
            <w:hideMark/>
          </w:tcPr>
          <w:p w14:paraId="2CB64C0E" w14:textId="77777777" w:rsidR="00572F25" w:rsidRPr="00822F5E" w:rsidRDefault="00572F25" w:rsidP="00140544">
            <w:pPr>
              <w:spacing w:after="0"/>
              <w:jc w:val="right"/>
              <w:rPr>
                <w:rFonts w:cs="Arial"/>
                <w:i/>
                <w:iCs/>
                <w:sz w:val="18"/>
                <w:szCs w:val="18"/>
              </w:rPr>
            </w:pPr>
            <w:r w:rsidRPr="00822F5E">
              <w:rPr>
                <w:rFonts w:cstheme="minorHAnsi"/>
                <w:i/>
                <w:iCs/>
                <w:sz w:val="18"/>
                <w:szCs w:val="18"/>
              </w:rPr>
              <w:t>–</w:t>
            </w:r>
          </w:p>
        </w:tc>
        <w:tc>
          <w:tcPr>
            <w:tcW w:w="922" w:type="dxa"/>
            <w:tcBorders>
              <w:top w:val="nil"/>
              <w:left w:val="nil"/>
              <w:bottom w:val="nil"/>
              <w:right w:val="dashed" w:sz="8" w:space="0" w:color="F0CAB6"/>
            </w:tcBorders>
            <w:shd w:val="clear" w:color="auto" w:fill="auto"/>
            <w:noWrap/>
            <w:vAlign w:val="center"/>
            <w:hideMark/>
          </w:tcPr>
          <w:p w14:paraId="68908329" w14:textId="77777777" w:rsidR="00572F25" w:rsidRPr="00822F5E" w:rsidRDefault="00572F25" w:rsidP="00140544">
            <w:pPr>
              <w:spacing w:after="0"/>
              <w:rPr>
                <w:rFonts w:cs="Arial"/>
                <w:i/>
                <w:iCs/>
                <w:sz w:val="18"/>
                <w:szCs w:val="18"/>
              </w:rPr>
            </w:pPr>
            <w:r w:rsidRPr="00822F5E">
              <w:rPr>
                <w:rFonts w:cs="Arial"/>
                <w:i/>
                <w:iCs/>
                <w:sz w:val="18"/>
                <w:szCs w:val="18"/>
              </w:rPr>
              <w:t>–</w:t>
            </w:r>
          </w:p>
        </w:tc>
      </w:tr>
    </w:tbl>
    <w:bookmarkEnd w:id="107"/>
    <w:p w14:paraId="4B7DCD1F" w14:textId="77777777" w:rsidR="00572F25" w:rsidRPr="00045E25" w:rsidRDefault="00572F25" w:rsidP="00572F25">
      <w:pPr>
        <w:pStyle w:val="Notes"/>
      </w:pPr>
      <w:r w:rsidRPr="004243B7">
        <w:rPr>
          <w:rFonts w:cs="Arial"/>
          <w:szCs w:val="20"/>
        </w:rPr>
        <w:t>*</w:t>
      </w:r>
      <w:r>
        <w:rPr>
          <w:rFonts w:cs="Arial"/>
          <w:szCs w:val="20"/>
        </w:rPr>
        <w:t xml:space="preserve"> </w:t>
      </w:r>
      <w:r w:rsidRPr="00045E25">
        <w:t>The overall appropriateness of prescribing for a surgical episode was determined by taking the lowest ranked assessment of the individual doses, including all episodes where antimicrobials were prescribed as well as</w:t>
      </w:r>
      <w:r>
        <w:t xml:space="preserve"> those</w:t>
      </w:r>
      <w:r w:rsidRPr="00045E25">
        <w:t xml:space="preserve"> whe</w:t>
      </w:r>
      <w:r>
        <w:t>re</w:t>
      </w:r>
      <w:r w:rsidRPr="00045E25">
        <w:t xml:space="preserve"> none were prescribed. </w:t>
      </w:r>
    </w:p>
    <w:p w14:paraId="3432FE65" w14:textId="77777777" w:rsidR="00572F25" w:rsidRPr="00045E25" w:rsidRDefault="00572F25" w:rsidP="00572F25">
      <w:pPr>
        <w:pStyle w:val="Notes"/>
      </w:pPr>
      <w:r w:rsidRPr="00C30831">
        <w:rPr>
          <w:vertAlign w:val="superscript"/>
        </w:rPr>
        <w:t xml:space="preserve">† </w:t>
      </w:r>
      <w:r w:rsidRPr="00C30831">
        <w:t>Excluded from total antimicrobial doses, as these are doses that were not given.</w:t>
      </w:r>
    </w:p>
    <w:p w14:paraId="23564441" w14:textId="77777777" w:rsidR="00572F25" w:rsidRDefault="00572F25" w:rsidP="00572F25">
      <w:pPr>
        <w:pStyle w:val="Heading5"/>
        <w:ind w:left="1008" w:hanging="1008"/>
        <w:jc w:val="both"/>
      </w:pPr>
      <w:r w:rsidRPr="00AA5E96">
        <w:t xml:space="preserve">Reasons for </w:t>
      </w:r>
      <w:r w:rsidRPr="00A67589">
        <w:t>inappropriate procedural prescribing</w:t>
      </w:r>
    </w:p>
    <w:p w14:paraId="3F854A1B" w14:textId="77777777" w:rsidR="00572F25" w:rsidRDefault="00572F25" w:rsidP="00572F25">
      <w:pPr>
        <w:rPr>
          <w:rFonts w:cs="Arial"/>
        </w:rPr>
      </w:pPr>
      <w:r>
        <w:rPr>
          <w:rFonts w:cs="Arial"/>
        </w:rPr>
        <w:t>There were 2,717 procedural doses deemed inappropriate. Of these, 1,001</w:t>
      </w:r>
      <w:r w:rsidRPr="005D764D">
        <w:rPr>
          <w:rFonts w:cs="Arial"/>
        </w:rPr>
        <w:t xml:space="preserve"> (</w:t>
      </w:r>
      <w:r>
        <w:rPr>
          <w:rFonts w:cs="Arial"/>
        </w:rPr>
        <w:t>36.8%</w:t>
      </w:r>
      <w:r w:rsidRPr="005D764D">
        <w:rPr>
          <w:rFonts w:cs="Arial"/>
        </w:rPr>
        <w:t>)</w:t>
      </w:r>
      <w:r>
        <w:rPr>
          <w:rFonts w:cs="Arial"/>
        </w:rPr>
        <w:t xml:space="preserve">, </w:t>
      </w:r>
      <w:r w:rsidRPr="005D764D">
        <w:rPr>
          <w:rFonts w:cs="Arial"/>
        </w:rPr>
        <w:t>were deemed not required</w:t>
      </w:r>
      <w:r>
        <w:rPr>
          <w:rFonts w:cs="Arial"/>
        </w:rPr>
        <w:t xml:space="preserve">. </w:t>
      </w:r>
      <w:r w:rsidRPr="005D764D">
        <w:rPr>
          <w:rFonts w:cs="Arial"/>
        </w:rPr>
        <w:t>For procedural doses, where antimicrobials were recommended by guidelines (n=8,587), 20.0%</w:t>
      </w:r>
      <w:r>
        <w:rPr>
          <w:rFonts w:cs="Arial"/>
        </w:rPr>
        <w:t xml:space="preserve"> (n=1,716)</w:t>
      </w:r>
      <w:r w:rsidRPr="005D764D">
        <w:rPr>
          <w:rFonts w:cs="Arial"/>
        </w:rPr>
        <w:t xml:space="preserve"> were deemed inappropriate. </w:t>
      </w:r>
    </w:p>
    <w:p w14:paraId="7778B523" w14:textId="77777777" w:rsidR="00572F25" w:rsidRPr="00BE4E1C" w:rsidRDefault="00572F25" w:rsidP="00572F25">
      <w:pPr>
        <w:rPr>
          <w:rFonts w:cs="Arial"/>
        </w:rPr>
      </w:pPr>
      <w:r w:rsidRPr="00EA0014">
        <w:rPr>
          <w:rFonts w:cs="Arial"/>
        </w:rPr>
        <w:t xml:space="preserve">The most common reasons for this inappropriate prescribing were incorrect timing, </w:t>
      </w:r>
      <w:r>
        <w:rPr>
          <w:rFonts w:cs="Arial"/>
        </w:rPr>
        <w:t>‘</w:t>
      </w:r>
      <w:r w:rsidRPr="00EA0014">
        <w:rPr>
          <w:rFonts w:cs="Arial"/>
        </w:rPr>
        <w:t>spectrum too broad</w:t>
      </w:r>
      <w:r>
        <w:rPr>
          <w:rFonts w:cs="Arial"/>
        </w:rPr>
        <w:t>’</w:t>
      </w:r>
      <w:r w:rsidRPr="00EA0014">
        <w:rPr>
          <w:rFonts w:cs="Arial"/>
        </w:rPr>
        <w:t xml:space="preserve"> and incorrect dosing (50.2%, 22.4% and 19.5% respectively) (Figure 7).</w:t>
      </w:r>
    </w:p>
    <w:p w14:paraId="6CC9FCEB" w14:textId="77777777" w:rsidR="00572F25" w:rsidRDefault="00572F25" w:rsidP="00572F25">
      <w:pPr>
        <w:pStyle w:val="Captions"/>
      </w:pPr>
      <w:r w:rsidRPr="00C23DFC">
        <w:lastRenderedPageBreak/>
        <w:t>Figure 7:</w:t>
      </w:r>
      <w:r w:rsidRPr="00C23DFC">
        <w:tab/>
        <w:t>Reasons for inappropriateness</w:t>
      </w:r>
      <w:r>
        <w:t>*</w:t>
      </w:r>
      <w:r w:rsidRPr="00C23DFC">
        <w:t>, by percentage of required procedural antimicrobial doses</w:t>
      </w:r>
      <w:r w:rsidRPr="004243B7">
        <w:rPr>
          <w:sz w:val="18"/>
          <w:szCs w:val="18"/>
          <w:vertAlign w:val="superscript"/>
        </w:rPr>
        <w:t>†</w:t>
      </w:r>
      <w:r w:rsidRPr="00C23DFC">
        <w:t xml:space="preserve">, Surgical </w:t>
      </w:r>
      <w:r>
        <w:t xml:space="preserve">NAPS contributor facilities, </w:t>
      </w:r>
      <w:proofErr w:type="gramStart"/>
      <w:r>
        <w:t>2021</w:t>
      </w:r>
      <w:proofErr w:type="gramEnd"/>
      <w:r w:rsidRPr="00C23DFC">
        <w:t xml:space="preserve"> </w:t>
      </w:r>
    </w:p>
    <w:p w14:paraId="723875C0" w14:textId="7B0A447A" w:rsidR="00C05F79" w:rsidRDefault="00C05F79" w:rsidP="00572F25">
      <w:pPr>
        <w:pStyle w:val="FigureTitle"/>
        <w:ind w:left="1134" w:hanging="1134"/>
        <w:rPr>
          <w:sz w:val="18"/>
          <w:vertAlign w:val="superscript"/>
        </w:rPr>
      </w:pPr>
      <w:r w:rsidRPr="00942749">
        <w:rPr>
          <w:noProof/>
        </w:rPr>
        <w:drawing>
          <wp:inline distT="0" distB="0" distL="0" distR="0" wp14:anchorId="53F1F4BB" wp14:editId="68044C2F">
            <wp:extent cx="5814060" cy="2886075"/>
            <wp:effectExtent l="0" t="0" r="2540" b="0"/>
            <wp:docPr id="311862806" name="Chart 3" descr="This is a bar graph showing the level of inappropriate prescribing of required procedural antimicrobial doses reported to the 2021 Surgical NAPS, and the reason they were deemed inappropriate, as a percentage of total required procedural doses.   "/>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EB64FB5" w14:textId="77777777" w:rsidR="00572F25" w:rsidRPr="009F6156" w:rsidRDefault="00572F25" w:rsidP="00572F25">
      <w:pPr>
        <w:pStyle w:val="Notes"/>
      </w:pPr>
      <w:r w:rsidRPr="00045E25">
        <w:rPr>
          <w:szCs w:val="20"/>
        </w:rPr>
        <w:t>*</w:t>
      </w:r>
      <w:r>
        <w:rPr>
          <w:szCs w:val="20"/>
        </w:rPr>
        <w:t xml:space="preserve"> </w:t>
      </w:r>
      <w:r w:rsidRPr="00045E25">
        <w:rPr>
          <w:szCs w:val="20"/>
        </w:rPr>
        <w:t xml:space="preserve">For appropriateness definitions, refer </w:t>
      </w:r>
      <w:r w:rsidRPr="00045E25">
        <w:t xml:space="preserve">to </w:t>
      </w:r>
      <w:hyperlink w:anchor="_Appendix_7:_Surgical" w:history="1">
        <w:r w:rsidRPr="000B5A43">
          <w:rPr>
            <w:rStyle w:val="FollowedHyperlink"/>
            <w:color w:val="70480E"/>
          </w:rPr>
          <w:t>Appendix 7</w:t>
        </w:r>
      </w:hyperlink>
      <w:r w:rsidRPr="000B5A43">
        <w:rPr>
          <w:color w:val="70480E"/>
        </w:rPr>
        <w:t>.</w:t>
      </w:r>
    </w:p>
    <w:p w14:paraId="231C94D8" w14:textId="77777777" w:rsidR="00572F25" w:rsidRPr="00045E25" w:rsidRDefault="00572F25" w:rsidP="00572F25">
      <w:pPr>
        <w:pStyle w:val="Notes"/>
      </w:pPr>
      <w:r w:rsidRPr="00715005">
        <w:rPr>
          <w:vertAlign w:val="superscript"/>
        </w:rPr>
        <w:t>†</w:t>
      </w:r>
      <w:r w:rsidRPr="00045E25">
        <w:t xml:space="preserve"> n=1,716 antimicrobial doses</w:t>
      </w:r>
      <w:r>
        <w:t>.</w:t>
      </w:r>
    </w:p>
    <w:p w14:paraId="1A86DDE4" w14:textId="77777777" w:rsidR="00572F25" w:rsidRPr="005F36DC" w:rsidRDefault="00572F25" w:rsidP="00572F25">
      <w:pPr>
        <w:pStyle w:val="Heading5"/>
        <w:ind w:left="1008" w:hanging="1008"/>
      </w:pPr>
      <w:r w:rsidRPr="005F36DC">
        <w:t xml:space="preserve">Timing of administration </w:t>
      </w:r>
    </w:p>
    <w:p w14:paraId="42FB28E1" w14:textId="77777777" w:rsidR="00572F25" w:rsidRDefault="00572F25" w:rsidP="00572F25">
      <w:pPr>
        <w:rPr>
          <w:rFonts w:cs="Arial"/>
        </w:rPr>
      </w:pPr>
      <w:r w:rsidRPr="005F36DC">
        <w:rPr>
          <w:rFonts w:cs="Arial"/>
        </w:rPr>
        <w:t xml:space="preserve">Incorrect </w:t>
      </w:r>
      <w:r w:rsidRPr="00A67589">
        <w:rPr>
          <w:rFonts w:cs="Arial"/>
        </w:rPr>
        <w:t xml:space="preserve">timing was the reason for </w:t>
      </w:r>
      <w:r>
        <w:rPr>
          <w:rFonts w:cs="Arial"/>
        </w:rPr>
        <w:t>50.2</w:t>
      </w:r>
      <w:r w:rsidRPr="00A67589">
        <w:rPr>
          <w:rFonts w:cs="Arial"/>
        </w:rPr>
        <w:t xml:space="preserve">% of required procedural doses being deemed inappropriate (Figure 7). </w:t>
      </w:r>
    </w:p>
    <w:p w14:paraId="385C0A4B" w14:textId="77777777" w:rsidR="00572F25" w:rsidRPr="00A67589" w:rsidRDefault="00572F25" w:rsidP="00572F25">
      <w:pPr>
        <w:rPr>
          <w:rFonts w:cs="Arial"/>
        </w:rPr>
      </w:pPr>
      <w:r w:rsidRPr="00A67589">
        <w:rPr>
          <w:rFonts w:cs="Arial"/>
        </w:rPr>
        <w:t xml:space="preserve">As </w:t>
      </w:r>
      <w:r>
        <w:rPr>
          <w:rFonts w:cs="Arial"/>
        </w:rPr>
        <w:t>9.1</w:t>
      </w:r>
      <w:r w:rsidRPr="00A67589">
        <w:rPr>
          <w:rFonts w:cs="Arial"/>
        </w:rPr>
        <w:t xml:space="preserve">% of procedural doses did not have a recorded administration time, when these were excluded, incorrect timing accounted for </w:t>
      </w:r>
      <w:r>
        <w:rPr>
          <w:rFonts w:cs="Arial"/>
        </w:rPr>
        <w:t>9.9</w:t>
      </w:r>
      <w:r w:rsidRPr="00A67589">
        <w:rPr>
          <w:rFonts w:cs="Arial"/>
        </w:rPr>
        <w:t xml:space="preserve">% of all required procedural doses. </w:t>
      </w:r>
      <w:r>
        <w:rPr>
          <w:rFonts w:cs="Arial"/>
        </w:rPr>
        <w:t xml:space="preserve"> </w:t>
      </w:r>
    </w:p>
    <w:p w14:paraId="3E03AED2" w14:textId="77777777" w:rsidR="00572F25" w:rsidRDefault="00572F25" w:rsidP="00572F25">
      <w:r w:rsidRPr="0069682D">
        <w:t>Given the small improvement in appropriateness of procedural prescribing over time</w:t>
      </w:r>
      <w:r>
        <w:t xml:space="preserve"> (Figure A4.2)</w:t>
      </w:r>
      <w:r w:rsidRPr="0069682D">
        <w:t>, a</w:t>
      </w:r>
      <w:r w:rsidRPr="0038565A">
        <w:t xml:space="preserve"> greater</w:t>
      </w:r>
      <w:r w:rsidRPr="0069682D">
        <w:t xml:space="preserve"> focus on practical and effective interventions is needed to sustain and enhance these </w:t>
      </w:r>
      <w:r w:rsidRPr="0038565A">
        <w:t>improvements</w:t>
      </w:r>
      <w:r w:rsidRPr="0069682D">
        <w:t xml:space="preserve">. </w:t>
      </w:r>
      <w:r>
        <w:t>S</w:t>
      </w:r>
      <w:r w:rsidRPr="0038565A">
        <w:t xml:space="preserve">imple </w:t>
      </w:r>
      <w:r w:rsidRPr="001F20EC">
        <w:t>AMS</w:t>
      </w:r>
      <w:r w:rsidRPr="0038565A">
        <w:t xml:space="preserve"> interventions</w:t>
      </w:r>
      <w:r>
        <w:t>,</w:t>
      </w:r>
      <w:r w:rsidRPr="0038565A">
        <w:t xml:space="preserve"> with the focus on improving documentation and timing of incision and antimicrobial administration</w:t>
      </w:r>
      <w:r>
        <w:t>,</w:t>
      </w:r>
      <w:r w:rsidRPr="0038565A">
        <w:t xml:space="preserve"> require consisten</w:t>
      </w:r>
      <w:r>
        <w:t>t implementation</w:t>
      </w:r>
      <w:r w:rsidRPr="0038565A">
        <w:t xml:space="preserve"> and organisational support from health services to support their sustainability. Such mea</w:t>
      </w:r>
      <w:r>
        <w:t>sures</w:t>
      </w:r>
      <w:r w:rsidRPr="0069682D">
        <w:t xml:space="preserve"> could lead to </w:t>
      </w:r>
      <w:r>
        <w:t>reductions</w:t>
      </w:r>
      <w:r w:rsidRPr="0069682D">
        <w:t xml:space="preserve"> in surgical site infections and </w:t>
      </w:r>
      <w:r>
        <w:t>in</w:t>
      </w:r>
      <w:r w:rsidRPr="0069682D">
        <w:t xml:space="preserve"> complications from antimicrobial use. These interventions do not require complex </w:t>
      </w:r>
      <w:r>
        <w:t>AMS</w:t>
      </w:r>
      <w:r w:rsidRPr="0069682D">
        <w:t xml:space="preserve"> or infectious diseases advice, so </w:t>
      </w:r>
      <w:r>
        <w:t xml:space="preserve">they </w:t>
      </w:r>
      <w:r w:rsidRPr="0069682D">
        <w:t>should be feasible to implement rapidly for most health service organisations that perform surgical procedures</w:t>
      </w:r>
      <w:r w:rsidRPr="0038565A">
        <w:t xml:space="preserve">. </w:t>
      </w:r>
      <w:r>
        <w:t xml:space="preserve"> </w:t>
      </w:r>
    </w:p>
    <w:p w14:paraId="2E568462" w14:textId="77777777" w:rsidR="00572F25" w:rsidRPr="00A0072F" w:rsidRDefault="00572F25" w:rsidP="00572F25">
      <w:r>
        <w:t xml:space="preserve">Further clarity from current guidelines may be required to support optimal prescribing and guideline adoption, particularly in relation to the need for intra-operative re-dosing; the timing of post-procedural doses, if indicated; and the </w:t>
      </w:r>
      <w:r w:rsidRPr="0038565A">
        <w:t>inclusion of prophylaxis recommendations for specific surgical procedures (i.e.,</w:t>
      </w:r>
      <w:r>
        <w:t xml:space="preserve"> the</w:t>
      </w:r>
      <w:r w:rsidRPr="0038565A">
        <w:t xml:space="preserve"> </w:t>
      </w:r>
      <w:proofErr w:type="gramStart"/>
      <w:r w:rsidRPr="0038565A">
        <w:t>most commonly performed</w:t>
      </w:r>
      <w:proofErr w:type="gramEnd"/>
      <w:r w:rsidRPr="0038565A">
        <w:t xml:space="preserve">). To support Surgical NAPS end users, the NCAS developed the ‘Timing and duration of surgical prophylaxis </w:t>
      </w:r>
      <w:r>
        <w:t>r</w:t>
      </w:r>
      <w:r w:rsidRPr="0038565A">
        <w:t>ecommendations 2020’ resource</w:t>
      </w:r>
      <w:r>
        <w:t>,</w:t>
      </w:r>
      <w:r w:rsidRPr="0038565A">
        <w:t xml:space="preserve"> which includes clinically relevant cases that examine complex surgical antimicrobial use</w:t>
      </w:r>
      <w:r>
        <w:t xml:space="preserve"> –</w:t>
      </w:r>
      <w:r w:rsidRPr="0038565A">
        <w:t xml:space="preserve"> </w:t>
      </w:r>
      <w:r w:rsidRPr="001F20EC">
        <w:t>i.e.,</w:t>
      </w:r>
      <w:r w:rsidRPr="0038565A">
        <w:t xml:space="preserve"> patients also receiving existing antimicrobials and intra-operative</w:t>
      </w:r>
      <w:r>
        <w:t xml:space="preserve"> re-dosing.</w:t>
      </w:r>
      <w:r>
        <w:rPr>
          <w:vertAlign w:val="superscript"/>
        </w:rPr>
        <w:t>11</w:t>
      </w:r>
      <w:r>
        <w:t xml:space="preserve"> </w:t>
      </w:r>
    </w:p>
    <w:p w14:paraId="48217220" w14:textId="77777777" w:rsidR="00572F25" w:rsidRPr="00C23DFC" w:rsidRDefault="00572F25" w:rsidP="00572F25">
      <w:pPr>
        <w:pStyle w:val="Heading4"/>
        <w:ind w:left="864" w:hanging="864"/>
      </w:pPr>
      <w:r>
        <w:lastRenderedPageBreak/>
        <w:t>Post-procedural prescribing</w:t>
      </w:r>
    </w:p>
    <w:p w14:paraId="46241D40" w14:textId="77777777" w:rsidR="00572F25" w:rsidRPr="00AF3C89" w:rsidRDefault="00572F25" w:rsidP="00572F25">
      <w:r w:rsidRPr="00A674B2">
        <w:rPr>
          <w:rFonts w:cs="Arial"/>
        </w:rPr>
        <w:t>Post</w:t>
      </w:r>
      <w:r>
        <w:rPr>
          <w:rFonts w:cs="Arial"/>
        </w:rPr>
        <w:t>-</w:t>
      </w:r>
      <w:r w:rsidRPr="00A674B2">
        <w:rPr>
          <w:rFonts w:cs="Arial"/>
        </w:rPr>
        <w:t xml:space="preserve">procedural prophylaxis was deemed inappropriate in 23.9% of the 10,927 surgical episodes audited (Table 3). </w:t>
      </w:r>
      <w:r>
        <w:rPr>
          <w:rFonts w:cs="Arial"/>
        </w:rPr>
        <w:t>T</w:t>
      </w:r>
      <w:r w:rsidRPr="00A674B2">
        <w:rPr>
          <w:rFonts w:cs="Arial"/>
        </w:rPr>
        <w:t>he 55.2% of episodes where no post</w:t>
      </w:r>
      <w:r>
        <w:rPr>
          <w:rFonts w:cs="Arial"/>
        </w:rPr>
        <w:t>-</w:t>
      </w:r>
      <w:r w:rsidRPr="00A674B2">
        <w:rPr>
          <w:rFonts w:cs="Arial"/>
        </w:rPr>
        <w:t xml:space="preserve">procedural antimicrobials were </w:t>
      </w:r>
      <w:r w:rsidRPr="00775E45">
        <w:rPr>
          <w:rFonts w:cs="Arial"/>
        </w:rPr>
        <w:t>prescribed</w:t>
      </w:r>
      <w:r>
        <w:rPr>
          <w:rFonts w:cs="Arial"/>
        </w:rPr>
        <w:t xml:space="preserve"> were</w:t>
      </w:r>
      <w:r w:rsidRPr="00775E45">
        <w:rPr>
          <w:rFonts w:cs="Arial"/>
        </w:rPr>
        <w:t xml:space="preserve"> mostly deemed appropriate (98.0%). Of the surgical episodes that had at least one post</w:t>
      </w:r>
      <w:r>
        <w:rPr>
          <w:rFonts w:cs="Arial"/>
        </w:rPr>
        <w:t>-</w:t>
      </w:r>
      <w:r w:rsidRPr="00775E45">
        <w:rPr>
          <w:rFonts w:cs="Arial"/>
        </w:rPr>
        <w:t>procedural antimicrobial prescribed for prophylaxis, 59.</w:t>
      </w:r>
      <w:r>
        <w:rPr>
          <w:rFonts w:cs="Arial"/>
        </w:rPr>
        <w:t>7</w:t>
      </w:r>
      <w:r w:rsidRPr="00775E45">
        <w:rPr>
          <w:rFonts w:cs="Arial"/>
        </w:rPr>
        <w:t xml:space="preserve">% were deemed inappropriate. Antimicrobials were prescribed when not required for 12.1% (n=1,325) of episodes (Table 3). </w:t>
      </w:r>
      <w:r w:rsidRPr="00775E45">
        <w:t xml:space="preserve">Additional </w:t>
      </w:r>
      <w:r w:rsidRPr="00AF3C89">
        <w:t xml:space="preserve">analyses can be found in </w:t>
      </w:r>
      <w:hyperlink w:anchor="_Appendix_3:_Additional" w:history="1">
        <w:r w:rsidRPr="00AF3C89">
          <w:rPr>
            <w:rStyle w:val="Hyperlink"/>
          </w:rPr>
          <w:t>Appendix 3</w:t>
        </w:r>
      </w:hyperlink>
      <w:r w:rsidRPr="00AF3C89">
        <w:t>.</w:t>
      </w:r>
    </w:p>
    <w:p w14:paraId="7283021B" w14:textId="77777777" w:rsidR="00572F25" w:rsidRPr="00775E45" w:rsidRDefault="00572F25" w:rsidP="00572F25">
      <w:pPr>
        <w:rPr>
          <w:rFonts w:cs="Arial"/>
        </w:rPr>
      </w:pPr>
      <w:r w:rsidRPr="00AF3C89">
        <w:rPr>
          <w:rFonts w:cs="Arial"/>
        </w:rPr>
        <w:t>Almost half of post</w:t>
      </w:r>
      <w:r>
        <w:rPr>
          <w:rFonts w:cs="Arial"/>
        </w:rPr>
        <w:t>-</w:t>
      </w:r>
      <w:r w:rsidRPr="00AF3C89">
        <w:rPr>
          <w:rFonts w:cs="Arial"/>
        </w:rPr>
        <w:t>procedural antimicrobial prophylaxis prescriptions were deemed inadequate (46.7%), with 35.5% being assessed as optimal (Figure A2.5). Post</w:t>
      </w:r>
      <w:r>
        <w:rPr>
          <w:rFonts w:cs="Arial"/>
        </w:rPr>
        <w:t>-</w:t>
      </w:r>
      <w:r w:rsidRPr="00775E45">
        <w:rPr>
          <w:rFonts w:cs="Arial"/>
        </w:rPr>
        <w:t xml:space="preserve">procedural prophylaxis was deemed inappropriate </w:t>
      </w:r>
      <w:r>
        <w:rPr>
          <w:rFonts w:cs="Arial"/>
        </w:rPr>
        <w:t>for</w:t>
      </w:r>
      <w:r w:rsidRPr="00775E45">
        <w:rPr>
          <w:rFonts w:cs="Arial"/>
        </w:rPr>
        <w:t xml:space="preserve"> 60.5% of prescriptions, when the non</w:t>
      </w:r>
      <w:r>
        <w:rPr>
          <w:rFonts w:cs="Arial"/>
        </w:rPr>
        <w:t>-</w:t>
      </w:r>
      <w:r w:rsidRPr="00775E45">
        <w:rPr>
          <w:rFonts w:cs="Arial"/>
        </w:rPr>
        <w:t>assessable prescriptions were excluded.</w:t>
      </w:r>
    </w:p>
    <w:p w14:paraId="26F4A831" w14:textId="77777777" w:rsidR="00572F25" w:rsidRPr="00720C31" w:rsidRDefault="00572F25" w:rsidP="00572F25">
      <w:pPr>
        <w:pStyle w:val="Captions"/>
      </w:pPr>
      <w:r w:rsidRPr="003C1B11">
        <w:t>Table 3:</w:t>
      </w:r>
      <w:r w:rsidRPr="003C1B11">
        <w:tab/>
      </w:r>
      <w:r w:rsidRPr="00720C31">
        <w:t>Appropriateness* of post-procedural prophylactic prescribing of antimicrobials for surgical episodes and antimicrobial prescriptions</w:t>
      </w:r>
      <w:r w:rsidRPr="00045E25">
        <w:rPr>
          <w:vertAlign w:val="superscript"/>
        </w:rPr>
        <w:t>#</w:t>
      </w:r>
      <w:r w:rsidRPr="00720C31">
        <w:t>, Surgical NAPS contributor facilities, 2021</w:t>
      </w:r>
    </w:p>
    <w:tbl>
      <w:tblPr>
        <w:tblW w:w="9387" w:type="dxa"/>
        <w:tblLayout w:type="fixed"/>
        <w:tblLook w:val="04A0" w:firstRow="1" w:lastRow="0" w:firstColumn="1" w:lastColumn="0" w:noHBand="0" w:noVBand="1"/>
      </w:tblPr>
      <w:tblGrid>
        <w:gridCol w:w="2552"/>
        <w:gridCol w:w="992"/>
        <w:gridCol w:w="973"/>
        <w:gridCol w:w="974"/>
        <w:gridCol w:w="974"/>
        <w:gridCol w:w="974"/>
        <w:gridCol w:w="974"/>
        <w:gridCol w:w="974"/>
      </w:tblGrid>
      <w:tr w:rsidR="00572F25" w:rsidRPr="00A674B2" w14:paraId="7A989DBB" w14:textId="77777777" w:rsidTr="00140544">
        <w:trPr>
          <w:trHeight w:val="420"/>
        </w:trPr>
        <w:tc>
          <w:tcPr>
            <w:tcW w:w="2552" w:type="dxa"/>
            <w:vMerge w:val="restart"/>
            <w:tcBorders>
              <w:top w:val="single" w:sz="8" w:space="0" w:color="auto"/>
              <w:left w:val="single" w:sz="8" w:space="0" w:color="auto"/>
              <w:bottom w:val="nil"/>
              <w:right w:val="nil"/>
            </w:tcBorders>
            <w:shd w:val="clear" w:color="000000" w:fill="6DB2AD"/>
            <w:vAlign w:val="center"/>
            <w:hideMark/>
          </w:tcPr>
          <w:p w14:paraId="12E52650" w14:textId="77777777" w:rsidR="00572F25" w:rsidRPr="000B5A43" w:rsidRDefault="00572F25" w:rsidP="00140544">
            <w:pPr>
              <w:spacing w:after="0"/>
              <w:rPr>
                <w:rFonts w:cs="Arial"/>
                <w:color w:val="auto"/>
                <w:sz w:val="20"/>
                <w:szCs w:val="20"/>
              </w:rPr>
            </w:pPr>
            <w:r w:rsidRPr="000B5A43">
              <w:rPr>
                <w:rFonts w:cs="Arial"/>
                <w:color w:val="auto"/>
                <w:sz w:val="20"/>
                <w:szCs w:val="20"/>
              </w:rPr>
              <w:t>Post-procedural prophylaxis</w:t>
            </w:r>
          </w:p>
        </w:tc>
        <w:tc>
          <w:tcPr>
            <w:tcW w:w="992" w:type="dxa"/>
            <w:tcBorders>
              <w:top w:val="single" w:sz="8" w:space="0" w:color="auto"/>
              <w:left w:val="nil"/>
              <w:bottom w:val="nil"/>
              <w:right w:val="nil"/>
            </w:tcBorders>
            <w:shd w:val="clear" w:color="000000" w:fill="6DB2AD"/>
            <w:vAlign w:val="center"/>
            <w:hideMark/>
          </w:tcPr>
          <w:p w14:paraId="7BFB7B9D" w14:textId="77777777" w:rsidR="00572F25" w:rsidRPr="000B5A43" w:rsidRDefault="00572F25" w:rsidP="00140544">
            <w:pPr>
              <w:spacing w:after="0"/>
              <w:jc w:val="center"/>
              <w:rPr>
                <w:rFonts w:cs="Arial"/>
                <w:color w:val="auto"/>
                <w:sz w:val="20"/>
                <w:szCs w:val="20"/>
              </w:rPr>
            </w:pPr>
            <w:r w:rsidRPr="000B5A43">
              <w:rPr>
                <w:rFonts w:cs="Arial"/>
                <w:color w:val="auto"/>
                <w:sz w:val="20"/>
                <w:szCs w:val="20"/>
              </w:rPr>
              <w:t>Total</w:t>
            </w:r>
          </w:p>
        </w:tc>
        <w:tc>
          <w:tcPr>
            <w:tcW w:w="1947" w:type="dxa"/>
            <w:gridSpan w:val="2"/>
            <w:tcBorders>
              <w:top w:val="single" w:sz="8" w:space="0" w:color="auto"/>
              <w:left w:val="nil"/>
              <w:bottom w:val="nil"/>
              <w:right w:val="nil"/>
            </w:tcBorders>
            <w:shd w:val="clear" w:color="000000" w:fill="6DB2AD"/>
            <w:vAlign w:val="center"/>
            <w:hideMark/>
          </w:tcPr>
          <w:p w14:paraId="79C22AD8" w14:textId="77777777" w:rsidR="00572F25" w:rsidRPr="000B5A43" w:rsidRDefault="00572F25" w:rsidP="00140544">
            <w:pPr>
              <w:spacing w:after="0"/>
              <w:jc w:val="center"/>
              <w:rPr>
                <w:rFonts w:cs="Arial"/>
                <w:color w:val="auto"/>
                <w:sz w:val="20"/>
                <w:szCs w:val="20"/>
              </w:rPr>
            </w:pPr>
            <w:r w:rsidRPr="000B5A43">
              <w:rPr>
                <w:rFonts w:cs="Arial"/>
                <w:color w:val="auto"/>
                <w:sz w:val="20"/>
                <w:szCs w:val="20"/>
              </w:rPr>
              <w:t>Appropriate</w:t>
            </w:r>
          </w:p>
        </w:tc>
        <w:tc>
          <w:tcPr>
            <w:tcW w:w="1948" w:type="dxa"/>
            <w:gridSpan w:val="2"/>
            <w:tcBorders>
              <w:top w:val="single" w:sz="8" w:space="0" w:color="auto"/>
              <w:left w:val="nil"/>
              <w:bottom w:val="nil"/>
              <w:right w:val="nil"/>
            </w:tcBorders>
            <w:shd w:val="clear" w:color="000000" w:fill="6DB2AD"/>
            <w:vAlign w:val="center"/>
            <w:hideMark/>
          </w:tcPr>
          <w:p w14:paraId="28F2A791" w14:textId="77777777" w:rsidR="00572F25" w:rsidRPr="000B5A43" w:rsidRDefault="00572F25" w:rsidP="00140544">
            <w:pPr>
              <w:spacing w:after="0"/>
              <w:jc w:val="center"/>
              <w:rPr>
                <w:rFonts w:cs="Arial"/>
                <w:color w:val="auto"/>
                <w:sz w:val="20"/>
                <w:szCs w:val="20"/>
              </w:rPr>
            </w:pPr>
            <w:r w:rsidRPr="000B5A43">
              <w:rPr>
                <w:rFonts w:cs="Arial"/>
                <w:color w:val="auto"/>
                <w:sz w:val="20"/>
                <w:szCs w:val="20"/>
              </w:rPr>
              <w:t>Inappropriate</w:t>
            </w:r>
          </w:p>
        </w:tc>
        <w:tc>
          <w:tcPr>
            <w:tcW w:w="1948" w:type="dxa"/>
            <w:gridSpan w:val="2"/>
            <w:tcBorders>
              <w:top w:val="single" w:sz="8" w:space="0" w:color="auto"/>
              <w:left w:val="nil"/>
              <w:bottom w:val="nil"/>
              <w:right w:val="single" w:sz="8" w:space="0" w:color="000000"/>
            </w:tcBorders>
            <w:shd w:val="clear" w:color="000000" w:fill="6DB2AD"/>
            <w:vAlign w:val="center"/>
            <w:hideMark/>
          </w:tcPr>
          <w:p w14:paraId="00132C56" w14:textId="77777777" w:rsidR="00572F25" w:rsidRPr="000B5A43" w:rsidRDefault="00572F25" w:rsidP="00140544">
            <w:pPr>
              <w:spacing w:after="0"/>
              <w:jc w:val="center"/>
              <w:rPr>
                <w:rFonts w:cs="Arial"/>
                <w:color w:val="auto"/>
                <w:sz w:val="20"/>
                <w:szCs w:val="20"/>
              </w:rPr>
            </w:pPr>
            <w:r w:rsidRPr="000B5A43">
              <w:rPr>
                <w:rFonts w:cs="Arial"/>
                <w:color w:val="auto"/>
                <w:sz w:val="20"/>
                <w:szCs w:val="20"/>
              </w:rPr>
              <w:t>Not assessable</w:t>
            </w:r>
          </w:p>
        </w:tc>
      </w:tr>
      <w:tr w:rsidR="00572F25" w:rsidRPr="00A674B2" w14:paraId="5F6B2772" w14:textId="77777777" w:rsidTr="00140544">
        <w:trPr>
          <w:trHeight w:val="300"/>
        </w:trPr>
        <w:tc>
          <w:tcPr>
            <w:tcW w:w="2552" w:type="dxa"/>
            <w:vMerge/>
            <w:tcBorders>
              <w:top w:val="single" w:sz="8" w:space="0" w:color="auto"/>
              <w:left w:val="single" w:sz="8" w:space="0" w:color="auto"/>
              <w:bottom w:val="nil"/>
              <w:right w:val="nil"/>
            </w:tcBorders>
            <w:vAlign w:val="center"/>
            <w:hideMark/>
          </w:tcPr>
          <w:p w14:paraId="4BE7FB81" w14:textId="77777777" w:rsidR="00572F25" w:rsidRPr="000B5A43" w:rsidRDefault="00572F25" w:rsidP="00140544">
            <w:pPr>
              <w:spacing w:after="0"/>
              <w:rPr>
                <w:rFonts w:cs="Arial"/>
                <w:color w:val="auto"/>
                <w:sz w:val="20"/>
                <w:szCs w:val="20"/>
              </w:rPr>
            </w:pPr>
          </w:p>
        </w:tc>
        <w:tc>
          <w:tcPr>
            <w:tcW w:w="992" w:type="dxa"/>
            <w:tcBorders>
              <w:top w:val="nil"/>
              <w:left w:val="nil"/>
              <w:bottom w:val="nil"/>
              <w:right w:val="nil"/>
            </w:tcBorders>
            <w:shd w:val="clear" w:color="000000" w:fill="6DB2AD"/>
            <w:vAlign w:val="center"/>
            <w:hideMark/>
          </w:tcPr>
          <w:p w14:paraId="1DA872FC" w14:textId="77777777" w:rsidR="00572F25" w:rsidRPr="000B5A43" w:rsidRDefault="00572F25" w:rsidP="00140544">
            <w:pPr>
              <w:spacing w:after="0"/>
              <w:jc w:val="center"/>
              <w:rPr>
                <w:rFonts w:cs="Arial"/>
                <w:color w:val="auto"/>
                <w:sz w:val="20"/>
                <w:szCs w:val="20"/>
              </w:rPr>
            </w:pPr>
            <w:r w:rsidRPr="000B5A43">
              <w:rPr>
                <w:rFonts w:cs="Arial"/>
                <w:color w:val="auto"/>
                <w:sz w:val="20"/>
                <w:szCs w:val="20"/>
              </w:rPr>
              <w:t>(n)</w:t>
            </w:r>
          </w:p>
        </w:tc>
        <w:tc>
          <w:tcPr>
            <w:tcW w:w="1947" w:type="dxa"/>
            <w:gridSpan w:val="2"/>
            <w:tcBorders>
              <w:top w:val="nil"/>
              <w:left w:val="nil"/>
              <w:bottom w:val="nil"/>
              <w:right w:val="nil"/>
            </w:tcBorders>
            <w:shd w:val="clear" w:color="000000" w:fill="6DB2AD"/>
            <w:vAlign w:val="center"/>
            <w:hideMark/>
          </w:tcPr>
          <w:p w14:paraId="624FEF55" w14:textId="77777777" w:rsidR="00572F25" w:rsidRPr="000B5A43" w:rsidRDefault="00572F25" w:rsidP="00140544">
            <w:pPr>
              <w:spacing w:after="0"/>
              <w:jc w:val="center"/>
              <w:rPr>
                <w:rFonts w:cs="Arial"/>
                <w:color w:val="auto"/>
                <w:sz w:val="20"/>
                <w:szCs w:val="20"/>
              </w:rPr>
            </w:pPr>
            <w:r w:rsidRPr="000B5A43">
              <w:rPr>
                <w:rFonts w:cs="Arial"/>
                <w:color w:val="auto"/>
                <w:sz w:val="20"/>
                <w:szCs w:val="20"/>
              </w:rPr>
              <w:t>(n) (%)</w:t>
            </w:r>
          </w:p>
        </w:tc>
        <w:tc>
          <w:tcPr>
            <w:tcW w:w="1948" w:type="dxa"/>
            <w:gridSpan w:val="2"/>
            <w:tcBorders>
              <w:top w:val="nil"/>
              <w:left w:val="nil"/>
              <w:bottom w:val="nil"/>
              <w:right w:val="nil"/>
            </w:tcBorders>
            <w:shd w:val="clear" w:color="000000" w:fill="6DB2AD"/>
            <w:vAlign w:val="center"/>
            <w:hideMark/>
          </w:tcPr>
          <w:p w14:paraId="2F9D7C27" w14:textId="77777777" w:rsidR="00572F25" w:rsidRPr="000B5A43" w:rsidRDefault="00572F25" w:rsidP="00140544">
            <w:pPr>
              <w:spacing w:after="0"/>
              <w:jc w:val="center"/>
              <w:rPr>
                <w:rFonts w:cs="Arial"/>
                <w:color w:val="auto"/>
                <w:sz w:val="20"/>
                <w:szCs w:val="20"/>
              </w:rPr>
            </w:pPr>
            <w:r w:rsidRPr="000B5A43">
              <w:rPr>
                <w:rFonts w:cs="Arial"/>
                <w:color w:val="auto"/>
                <w:sz w:val="20"/>
                <w:szCs w:val="20"/>
              </w:rPr>
              <w:t>(n) (%)</w:t>
            </w:r>
          </w:p>
        </w:tc>
        <w:tc>
          <w:tcPr>
            <w:tcW w:w="1948" w:type="dxa"/>
            <w:gridSpan w:val="2"/>
            <w:tcBorders>
              <w:top w:val="nil"/>
              <w:left w:val="nil"/>
              <w:bottom w:val="nil"/>
              <w:right w:val="single" w:sz="8" w:space="0" w:color="000000"/>
            </w:tcBorders>
            <w:shd w:val="clear" w:color="000000" w:fill="6DB2AD"/>
            <w:vAlign w:val="center"/>
            <w:hideMark/>
          </w:tcPr>
          <w:p w14:paraId="47B0A9B4" w14:textId="77777777" w:rsidR="00572F25" w:rsidRPr="000B5A43" w:rsidRDefault="00572F25" w:rsidP="00140544">
            <w:pPr>
              <w:spacing w:after="0"/>
              <w:jc w:val="center"/>
              <w:rPr>
                <w:rFonts w:cs="Arial"/>
                <w:color w:val="auto"/>
                <w:sz w:val="20"/>
                <w:szCs w:val="20"/>
              </w:rPr>
            </w:pPr>
            <w:r w:rsidRPr="000B5A43">
              <w:rPr>
                <w:rFonts w:cs="Arial"/>
                <w:color w:val="auto"/>
                <w:sz w:val="20"/>
                <w:szCs w:val="20"/>
              </w:rPr>
              <w:t>(n) (%)</w:t>
            </w:r>
          </w:p>
        </w:tc>
      </w:tr>
      <w:tr w:rsidR="00572F25" w:rsidRPr="00A674B2" w14:paraId="4851E6FE" w14:textId="77777777" w:rsidTr="00140544">
        <w:trPr>
          <w:trHeight w:val="360"/>
        </w:trPr>
        <w:tc>
          <w:tcPr>
            <w:tcW w:w="2552" w:type="dxa"/>
            <w:tcBorders>
              <w:top w:val="nil"/>
              <w:left w:val="single" w:sz="8" w:space="0" w:color="auto"/>
              <w:bottom w:val="nil"/>
              <w:right w:val="nil"/>
            </w:tcBorders>
            <w:shd w:val="clear" w:color="000000" w:fill="E4E4E5"/>
            <w:vAlign w:val="center"/>
            <w:hideMark/>
          </w:tcPr>
          <w:p w14:paraId="2CD51E13" w14:textId="77777777" w:rsidR="00572F25" w:rsidRPr="000B5A43" w:rsidRDefault="00572F25" w:rsidP="00140544">
            <w:pPr>
              <w:spacing w:after="0"/>
              <w:rPr>
                <w:rFonts w:cs="Arial"/>
                <w:color w:val="2F5B57"/>
                <w:sz w:val="20"/>
                <w:szCs w:val="20"/>
              </w:rPr>
            </w:pPr>
            <w:r w:rsidRPr="000B5A43">
              <w:rPr>
                <w:rFonts w:cs="Arial"/>
                <w:color w:val="2F5B57"/>
                <w:sz w:val="20"/>
                <w:szCs w:val="20"/>
              </w:rPr>
              <w:t>Surgical episodes</w:t>
            </w:r>
          </w:p>
        </w:tc>
        <w:tc>
          <w:tcPr>
            <w:tcW w:w="992" w:type="dxa"/>
            <w:tcBorders>
              <w:top w:val="nil"/>
              <w:left w:val="nil"/>
              <w:bottom w:val="nil"/>
              <w:right w:val="nil"/>
            </w:tcBorders>
            <w:shd w:val="clear" w:color="000000" w:fill="E4E4E5"/>
            <w:vAlign w:val="center"/>
            <w:hideMark/>
          </w:tcPr>
          <w:p w14:paraId="06EF9AB1" w14:textId="77777777" w:rsidR="00572F25" w:rsidRPr="000B5A43" w:rsidRDefault="00572F25" w:rsidP="00140544">
            <w:pPr>
              <w:spacing w:after="0"/>
              <w:jc w:val="center"/>
              <w:rPr>
                <w:rFonts w:cs="Arial"/>
                <w:color w:val="2F5B57"/>
                <w:sz w:val="20"/>
                <w:szCs w:val="20"/>
              </w:rPr>
            </w:pPr>
            <w:r w:rsidRPr="000B5A43">
              <w:rPr>
                <w:rFonts w:cs="Arial"/>
                <w:color w:val="2F5B57"/>
                <w:sz w:val="20"/>
                <w:szCs w:val="20"/>
              </w:rPr>
              <w:t>10,927</w:t>
            </w:r>
          </w:p>
        </w:tc>
        <w:tc>
          <w:tcPr>
            <w:tcW w:w="973" w:type="dxa"/>
            <w:tcBorders>
              <w:top w:val="nil"/>
              <w:left w:val="nil"/>
              <w:bottom w:val="nil"/>
              <w:right w:val="dashed" w:sz="8" w:space="0" w:color="6DB2AD"/>
            </w:tcBorders>
            <w:shd w:val="clear" w:color="000000" w:fill="E4E4E5"/>
            <w:vAlign w:val="center"/>
            <w:hideMark/>
          </w:tcPr>
          <w:p w14:paraId="310E3F56" w14:textId="77777777" w:rsidR="00572F25" w:rsidRPr="000B5A43" w:rsidRDefault="00572F25" w:rsidP="00140544">
            <w:pPr>
              <w:spacing w:after="0"/>
              <w:jc w:val="right"/>
              <w:rPr>
                <w:rFonts w:cs="Arial"/>
                <w:color w:val="2F5B57"/>
                <w:sz w:val="20"/>
                <w:szCs w:val="20"/>
              </w:rPr>
            </w:pPr>
            <w:r w:rsidRPr="000B5A43">
              <w:rPr>
                <w:rFonts w:cs="Arial"/>
                <w:color w:val="2F5B57"/>
                <w:sz w:val="20"/>
                <w:szCs w:val="20"/>
              </w:rPr>
              <w:t>7,965</w:t>
            </w:r>
          </w:p>
        </w:tc>
        <w:tc>
          <w:tcPr>
            <w:tcW w:w="974" w:type="dxa"/>
            <w:tcBorders>
              <w:top w:val="nil"/>
              <w:left w:val="nil"/>
              <w:bottom w:val="nil"/>
              <w:right w:val="nil"/>
            </w:tcBorders>
            <w:shd w:val="clear" w:color="000000" w:fill="E4E4E5"/>
            <w:vAlign w:val="center"/>
            <w:hideMark/>
          </w:tcPr>
          <w:p w14:paraId="0AA08137" w14:textId="77777777" w:rsidR="00572F25" w:rsidRPr="000B5A43" w:rsidRDefault="00572F25" w:rsidP="00140544">
            <w:pPr>
              <w:spacing w:after="0"/>
              <w:rPr>
                <w:rFonts w:cs="Arial"/>
                <w:color w:val="2F5B57"/>
                <w:sz w:val="20"/>
                <w:szCs w:val="20"/>
              </w:rPr>
            </w:pPr>
            <w:r w:rsidRPr="000B5A43">
              <w:rPr>
                <w:rFonts w:cs="Arial"/>
                <w:color w:val="2F5B57"/>
                <w:sz w:val="20"/>
                <w:szCs w:val="20"/>
              </w:rPr>
              <w:t>72.9</w:t>
            </w:r>
          </w:p>
        </w:tc>
        <w:tc>
          <w:tcPr>
            <w:tcW w:w="974" w:type="dxa"/>
            <w:tcBorders>
              <w:top w:val="nil"/>
              <w:left w:val="nil"/>
              <w:bottom w:val="nil"/>
              <w:right w:val="dashed" w:sz="8" w:space="0" w:color="6DB2AD"/>
            </w:tcBorders>
            <w:shd w:val="clear" w:color="000000" w:fill="E4E4E5"/>
            <w:vAlign w:val="center"/>
            <w:hideMark/>
          </w:tcPr>
          <w:p w14:paraId="4A89CC95" w14:textId="77777777" w:rsidR="00572F25" w:rsidRPr="000B5A43" w:rsidRDefault="00572F25" w:rsidP="00140544">
            <w:pPr>
              <w:spacing w:after="0"/>
              <w:jc w:val="right"/>
              <w:rPr>
                <w:rFonts w:cs="Arial"/>
                <w:color w:val="2F5B57"/>
                <w:sz w:val="20"/>
                <w:szCs w:val="20"/>
              </w:rPr>
            </w:pPr>
            <w:r w:rsidRPr="000B5A43">
              <w:rPr>
                <w:rFonts w:cs="Arial"/>
                <w:color w:val="2F5B57"/>
                <w:sz w:val="20"/>
                <w:szCs w:val="20"/>
              </w:rPr>
              <w:t>2,616</w:t>
            </w:r>
          </w:p>
        </w:tc>
        <w:tc>
          <w:tcPr>
            <w:tcW w:w="974" w:type="dxa"/>
            <w:tcBorders>
              <w:top w:val="nil"/>
              <w:left w:val="nil"/>
              <w:bottom w:val="nil"/>
              <w:right w:val="nil"/>
            </w:tcBorders>
            <w:shd w:val="clear" w:color="000000" w:fill="E4E4E5"/>
            <w:vAlign w:val="center"/>
            <w:hideMark/>
          </w:tcPr>
          <w:p w14:paraId="237A5369" w14:textId="77777777" w:rsidR="00572F25" w:rsidRPr="000B5A43" w:rsidRDefault="00572F25" w:rsidP="00140544">
            <w:pPr>
              <w:spacing w:after="0"/>
              <w:rPr>
                <w:rFonts w:cs="Arial"/>
                <w:color w:val="2F5B57"/>
                <w:sz w:val="20"/>
                <w:szCs w:val="20"/>
              </w:rPr>
            </w:pPr>
            <w:r w:rsidRPr="000B5A43">
              <w:rPr>
                <w:rFonts w:cs="Arial"/>
                <w:color w:val="2F5B57"/>
                <w:sz w:val="20"/>
                <w:szCs w:val="20"/>
              </w:rPr>
              <w:t>23.9</w:t>
            </w:r>
          </w:p>
        </w:tc>
        <w:tc>
          <w:tcPr>
            <w:tcW w:w="974" w:type="dxa"/>
            <w:tcBorders>
              <w:top w:val="nil"/>
              <w:left w:val="nil"/>
              <w:bottom w:val="nil"/>
              <w:right w:val="dashed" w:sz="8" w:space="0" w:color="6DB2AD"/>
            </w:tcBorders>
            <w:shd w:val="clear" w:color="000000" w:fill="E4E4E5"/>
            <w:noWrap/>
            <w:vAlign w:val="center"/>
            <w:hideMark/>
          </w:tcPr>
          <w:p w14:paraId="26DEB079" w14:textId="77777777" w:rsidR="00572F25" w:rsidRPr="000B5A43" w:rsidRDefault="00572F25" w:rsidP="00140544">
            <w:pPr>
              <w:spacing w:after="0"/>
              <w:jc w:val="right"/>
              <w:rPr>
                <w:rFonts w:cs="Arial"/>
                <w:color w:val="2F5B57"/>
                <w:sz w:val="20"/>
                <w:szCs w:val="20"/>
              </w:rPr>
            </w:pPr>
            <w:r w:rsidRPr="000B5A43">
              <w:rPr>
                <w:rFonts w:cs="Arial"/>
                <w:color w:val="2F5B57"/>
                <w:sz w:val="20"/>
                <w:szCs w:val="20"/>
              </w:rPr>
              <w:t>222</w:t>
            </w:r>
          </w:p>
        </w:tc>
        <w:tc>
          <w:tcPr>
            <w:tcW w:w="974" w:type="dxa"/>
            <w:tcBorders>
              <w:top w:val="nil"/>
              <w:left w:val="nil"/>
              <w:bottom w:val="nil"/>
              <w:right w:val="single" w:sz="8" w:space="0" w:color="auto"/>
            </w:tcBorders>
            <w:shd w:val="clear" w:color="000000" w:fill="E4E4E5"/>
            <w:vAlign w:val="center"/>
            <w:hideMark/>
          </w:tcPr>
          <w:p w14:paraId="4824D6D1" w14:textId="77777777" w:rsidR="00572F25" w:rsidRPr="000B5A43" w:rsidRDefault="00572F25" w:rsidP="00140544">
            <w:pPr>
              <w:spacing w:after="0"/>
              <w:rPr>
                <w:rFonts w:cs="Arial"/>
                <w:color w:val="2F5B57"/>
                <w:sz w:val="20"/>
                <w:szCs w:val="20"/>
              </w:rPr>
            </w:pPr>
            <w:r w:rsidRPr="000B5A43">
              <w:rPr>
                <w:rFonts w:cs="Arial"/>
                <w:color w:val="2F5B57"/>
                <w:sz w:val="20"/>
                <w:szCs w:val="20"/>
              </w:rPr>
              <w:t>2</w:t>
            </w:r>
          </w:p>
        </w:tc>
      </w:tr>
      <w:tr w:rsidR="00572F25" w:rsidRPr="00A674B2" w14:paraId="74914BF0" w14:textId="77777777" w:rsidTr="00140544">
        <w:trPr>
          <w:trHeight w:val="360"/>
        </w:trPr>
        <w:tc>
          <w:tcPr>
            <w:tcW w:w="2552" w:type="dxa"/>
            <w:tcBorders>
              <w:top w:val="nil"/>
              <w:left w:val="single" w:sz="8" w:space="0" w:color="auto"/>
              <w:bottom w:val="nil"/>
              <w:right w:val="nil"/>
            </w:tcBorders>
            <w:shd w:val="clear" w:color="auto" w:fill="auto"/>
            <w:vAlign w:val="center"/>
            <w:hideMark/>
          </w:tcPr>
          <w:p w14:paraId="09177AAA" w14:textId="77777777" w:rsidR="00572F25" w:rsidRPr="00822F5E" w:rsidRDefault="00572F25" w:rsidP="00140544">
            <w:pPr>
              <w:spacing w:after="0"/>
              <w:ind w:firstLineChars="100" w:firstLine="180"/>
              <w:rPr>
                <w:rFonts w:cs="Arial"/>
                <w:sz w:val="18"/>
                <w:szCs w:val="18"/>
              </w:rPr>
            </w:pPr>
            <w:r w:rsidRPr="00822F5E">
              <w:rPr>
                <w:rFonts w:cs="Arial"/>
                <w:sz w:val="18"/>
                <w:szCs w:val="18"/>
              </w:rPr>
              <w:t>Antimicrobial prescribed</w:t>
            </w:r>
          </w:p>
        </w:tc>
        <w:tc>
          <w:tcPr>
            <w:tcW w:w="992" w:type="dxa"/>
            <w:tcBorders>
              <w:top w:val="nil"/>
              <w:left w:val="nil"/>
              <w:bottom w:val="nil"/>
              <w:right w:val="nil"/>
            </w:tcBorders>
            <w:shd w:val="clear" w:color="auto" w:fill="auto"/>
            <w:vAlign w:val="center"/>
            <w:hideMark/>
          </w:tcPr>
          <w:p w14:paraId="64C97DCF" w14:textId="77777777" w:rsidR="00572F25" w:rsidRPr="00822F5E" w:rsidRDefault="00572F25" w:rsidP="00140544">
            <w:pPr>
              <w:spacing w:after="0"/>
              <w:jc w:val="center"/>
              <w:rPr>
                <w:rFonts w:cs="Arial"/>
                <w:sz w:val="18"/>
                <w:szCs w:val="18"/>
              </w:rPr>
            </w:pPr>
            <w:r w:rsidRPr="00822F5E">
              <w:rPr>
                <w:rFonts w:cs="Arial"/>
                <w:sz w:val="18"/>
                <w:szCs w:val="18"/>
              </w:rPr>
              <w:t>3,978</w:t>
            </w:r>
          </w:p>
        </w:tc>
        <w:tc>
          <w:tcPr>
            <w:tcW w:w="973" w:type="dxa"/>
            <w:tcBorders>
              <w:top w:val="nil"/>
              <w:left w:val="nil"/>
              <w:bottom w:val="nil"/>
              <w:right w:val="dashed" w:sz="8" w:space="0" w:color="6DB2AD"/>
            </w:tcBorders>
            <w:shd w:val="clear" w:color="auto" w:fill="auto"/>
            <w:noWrap/>
            <w:vAlign w:val="center"/>
            <w:hideMark/>
          </w:tcPr>
          <w:p w14:paraId="20EC54EE" w14:textId="77777777" w:rsidR="00572F25" w:rsidRPr="00822F5E" w:rsidRDefault="00572F25" w:rsidP="00140544">
            <w:pPr>
              <w:spacing w:after="0"/>
              <w:jc w:val="right"/>
              <w:rPr>
                <w:rFonts w:cs="Arial"/>
                <w:sz w:val="18"/>
                <w:szCs w:val="18"/>
              </w:rPr>
            </w:pPr>
            <w:r w:rsidRPr="00822F5E">
              <w:rPr>
                <w:rFonts w:cs="Arial"/>
                <w:sz w:val="18"/>
                <w:szCs w:val="18"/>
              </w:rPr>
              <w:t>1,566</w:t>
            </w:r>
          </w:p>
        </w:tc>
        <w:tc>
          <w:tcPr>
            <w:tcW w:w="974" w:type="dxa"/>
            <w:tcBorders>
              <w:top w:val="nil"/>
              <w:left w:val="nil"/>
              <w:bottom w:val="nil"/>
              <w:right w:val="nil"/>
            </w:tcBorders>
            <w:shd w:val="clear" w:color="auto" w:fill="auto"/>
            <w:vAlign w:val="center"/>
            <w:hideMark/>
          </w:tcPr>
          <w:p w14:paraId="2582E310" w14:textId="77777777" w:rsidR="00572F25" w:rsidRPr="00822F5E" w:rsidRDefault="00572F25" w:rsidP="00140544">
            <w:pPr>
              <w:spacing w:after="0"/>
              <w:rPr>
                <w:rFonts w:cs="Arial"/>
                <w:sz w:val="18"/>
                <w:szCs w:val="18"/>
              </w:rPr>
            </w:pPr>
            <w:r w:rsidRPr="00822F5E">
              <w:rPr>
                <w:rFonts w:cs="Arial"/>
                <w:sz w:val="18"/>
                <w:szCs w:val="18"/>
              </w:rPr>
              <w:t>39.4</w:t>
            </w:r>
          </w:p>
        </w:tc>
        <w:tc>
          <w:tcPr>
            <w:tcW w:w="974" w:type="dxa"/>
            <w:tcBorders>
              <w:top w:val="nil"/>
              <w:left w:val="nil"/>
              <w:bottom w:val="nil"/>
              <w:right w:val="dashed" w:sz="8" w:space="0" w:color="6DB2AD"/>
            </w:tcBorders>
            <w:shd w:val="clear" w:color="auto" w:fill="auto"/>
            <w:noWrap/>
            <w:vAlign w:val="center"/>
            <w:hideMark/>
          </w:tcPr>
          <w:p w14:paraId="294DA3EC" w14:textId="77777777" w:rsidR="00572F25" w:rsidRPr="00822F5E" w:rsidRDefault="00572F25" w:rsidP="00140544">
            <w:pPr>
              <w:spacing w:after="0"/>
              <w:jc w:val="right"/>
              <w:rPr>
                <w:rFonts w:cs="Arial"/>
                <w:sz w:val="18"/>
                <w:szCs w:val="18"/>
              </w:rPr>
            </w:pPr>
            <w:r w:rsidRPr="00822F5E">
              <w:rPr>
                <w:rFonts w:cs="Arial"/>
                <w:sz w:val="18"/>
                <w:szCs w:val="18"/>
              </w:rPr>
              <w:t>2,358</w:t>
            </w:r>
          </w:p>
        </w:tc>
        <w:tc>
          <w:tcPr>
            <w:tcW w:w="974" w:type="dxa"/>
            <w:tcBorders>
              <w:top w:val="nil"/>
              <w:left w:val="nil"/>
              <w:bottom w:val="nil"/>
              <w:right w:val="nil"/>
            </w:tcBorders>
            <w:shd w:val="clear" w:color="auto" w:fill="auto"/>
            <w:vAlign w:val="center"/>
            <w:hideMark/>
          </w:tcPr>
          <w:p w14:paraId="229656AC" w14:textId="77777777" w:rsidR="00572F25" w:rsidRPr="00822F5E" w:rsidRDefault="00572F25" w:rsidP="00140544">
            <w:pPr>
              <w:spacing w:after="0"/>
              <w:rPr>
                <w:rFonts w:cs="Arial"/>
                <w:sz w:val="18"/>
                <w:szCs w:val="18"/>
              </w:rPr>
            </w:pPr>
            <w:r w:rsidRPr="00822F5E">
              <w:rPr>
                <w:rFonts w:cs="Arial"/>
                <w:sz w:val="18"/>
                <w:szCs w:val="18"/>
              </w:rPr>
              <w:t>59.3</w:t>
            </w:r>
          </w:p>
        </w:tc>
        <w:tc>
          <w:tcPr>
            <w:tcW w:w="974" w:type="dxa"/>
            <w:tcBorders>
              <w:top w:val="nil"/>
              <w:left w:val="nil"/>
              <w:bottom w:val="nil"/>
              <w:right w:val="dashed" w:sz="8" w:space="0" w:color="6DB2AD"/>
            </w:tcBorders>
            <w:shd w:val="clear" w:color="auto" w:fill="auto"/>
            <w:noWrap/>
            <w:vAlign w:val="center"/>
            <w:hideMark/>
          </w:tcPr>
          <w:p w14:paraId="7C87D853" w14:textId="77777777" w:rsidR="00572F25" w:rsidRPr="00822F5E" w:rsidRDefault="00572F25" w:rsidP="00140544">
            <w:pPr>
              <w:spacing w:after="0"/>
              <w:jc w:val="right"/>
              <w:rPr>
                <w:rFonts w:cs="Arial"/>
                <w:sz w:val="18"/>
                <w:szCs w:val="18"/>
              </w:rPr>
            </w:pPr>
            <w:r w:rsidRPr="00822F5E">
              <w:rPr>
                <w:rFonts w:cs="Arial"/>
                <w:sz w:val="18"/>
                <w:szCs w:val="18"/>
              </w:rPr>
              <w:t>54</w:t>
            </w:r>
          </w:p>
        </w:tc>
        <w:tc>
          <w:tcPr>
            <w:tcW w:w="974" w:type="dxa"/>
            <w:tcBorders>
              <w:top w:val="nil"/>
              <w:left w:val="nil"/>
              <w:bottom w:val="nil"/>
              <w:right w:val="single" w:sz="8" w:space="0" w:color="auto"/>
            </w:tcBorders>
            <w:shd w:val="clear" w:color="auto" w:fill="auto"/>
            <w:vAlign w:val="center"/>
            <w:hideMark/>
          </w:tcPr>
          <w:p w14:paraId="0282F22D" w14:textId="77777777" w:rsidR="00572F25" w:rsidRPr="00822F5E" w:rsidRDefault="00572F25" w:rsidP="00140544">
            <w:pPr>
              <w:spacing w:after="0"/>
              <w:rPr>
                <w:rFonts w:cs="Arial"/>
                <w:sz w:val="18"/>
                <w:szCs w:val="18"/>
              </w:rPr>
            </w:pPr>
            <w:r w:rsidRPr="00822F5E">
              <w:rPr>
                <w:rFonts w:cs="Arial"/>
                <w:sz w:val="18"/>
                <w:szCs w:val="18"/>
              </w:rPr>
              <w:t>1.4</w:t>
            </w:r>
          </w:p>
        </w:tc>
      </w:tr>
      <w:tr w:rsidR="00572F25" w:rsidRPr="00A674B2" w14:paraId="4FC52A4E" w14:textId="77777777" w:rsidTr="00140544">
        <w:trPr>
          <w:trHeight w:val="360"/>
        </w:trPr>
        <w:tc>
          <w:tcPr>
            <w:tcW w:w="2552" w:type="dxa"/>
            <w:tcBorders>
              <w:top w:val="nil"/>
              <w:left w:val="single" w:sz="8" w:space="0" w:color="auto"/>
              <w:bottom w:val="nil"/>
              <w:right w:val="nil"/>
            </w:tcBorders>
            <w:shd w:val="clear" w:color="auto" w:fill="auto"/>
            <w:vAlign w:val="center"/>
            <w:hideMark/>
          </w:tcPr>
          <w:p w14:paraId="051B1ABF" w14:textId="77777777" w:rsidR="00572F25" w:rsidRPr="00822F5E" w:rsidRDefault="00572F25" w:rsidP="00140544">
            <w:pPr>
              <w:spacing w:after="0"/>
              <w:ind w:firstLineChars="200" w:firstLine="360"/>
              <w:rPr>
                <w:rFonts w:ascii="Wingdings 3" w:hAnsi="Wingdings 3" w:cs="Calibri"/>
                <w:sz w:val="18"/>
                <w:szCs w:val="18"/>
              </w:rPr>
            </w:pPr>
            <w:r w:rsidRPr="00822F5E">
              <w:rPr>
                <w:rFonts w:ascii="Wingdings 3" w:hAnsi="Wingdings 3" w:cs="Calibri"/>
                <w:sz w:val="18"/>
                <w:szCs w:val="18"/>
              </w:rPr>
              <w:t></w:t>
            </w:r>
            <w:r w:rsidRPr="00822F5E">
              <w:rPr>
                <w:rFonts w:cs="Arial"/>
                <w:i/>
                <w:iCs/>
                <w:sz w:val="18"/>
                <w:szCs w:val="18"/>
              </w:rPr>
              <w:t xml:space="preserve">   when required</w:t>
            </w:r>
          </w:p>
        </w:tc>
        <w:tc>
          <w:tcPr>
            <w:tcW w:w="992" w:type="dxa"/>
            <w:tcBorders>
              <w:top w:val="nil"/>
              <w:left w:val="nil"/>
              <w:bottom w:val="nil"/>
              <w:right w:val="nil"/>
            </w:tcBorders>
            <w:shd w:val="clear" w:color="auto" w:fill="auto"/>
            <w:vAlign w:val="center"/>
            <w:hideMark/>
          </w:tcPr>
          <w:p w14:paraId="7BDDD2CC" w14:textId="77777777" w:rsidR="00572F25" w:rsidRPr="00822F5E" w:rsidRDefault="00572F25" w:rsidP="00140544">
            <w:pPr>
              <w:spacing w:after="0"/>
              <w:jc w:val="center"/>
              <w:rPr>
                <w:rFonts w:cs="Arial"/>
                <w:i/>
                <w:iCs/>
                <w:sz w:val="18"/>
                <w:szCs w:val="18"/>
              </w:rPr>
            </w:pPr>
            <w:r w:rsidRPr="00822F5E">
              <w:rPr>
                <w:rFonts w:cs="Arial"/>
                <w:i/>
                <w:iCs/>
                <w:sz w:val="18"/>
                <w:szCs w:val="18"/>
              </w:rPr>
              <w:t>2,744</w:t>
            </w:r>
          </w:p>
        </w:tc>
        <w:tc>
          <w:tcPr>
            <w:tcW w:w="973" w:type="dxa"/>
            <w:tcBorders>
              <w:top w:val="nil"/>
              <w:left w:val="nil"/>
              <w:bottom w:val="nil"/>
              <w:right w:val="dashed" w:sz="8" w:space="0" w:color="6DB2AD"/>
            </w:tcBorders>
            <w:shd w:val="clear" w:color="auto" w:fill="auto"/>
            <w:noWrap/>
            <w:vAlign w:val="center"/>
            <w:hideMark/>
          </w:tcPr>
          <w:p w14:paraId="07ECCBE8" w14:textId="77777777" w:rsidR="00572F25" w:rsidRPr="00822F5E" w:rsidRDefault="00572F25" w:rsidP="00140544">
            <w:pPr>
              <w:spacing w:after="0"/>
              <w:jc w:val="right"/>
              <w:rPr>
                <w:rFonts w:cs="Arial"/>
                <w:i/>
                <w:iCs/>
                <w:sz w:val="18"/>
                <w:szCs w:val="18"/>
              </w:rPr>
            </w:pPr>
            <w:r w:rsidRPr="00822F5E">
              <w:rPr>
                <w:rFonts w:cs="Arial"/>
                <w:i/>
                <w:iCs/>
                <w:sz w:val="18"/>
                <w:szCs w:val="18"/>
              </w:rPr>
              <w:t>1,565</w:t>
            </w:r>
          </w:p>
        </w:tc>
        <w:tc>
          <w:tcPr>
            <w:tcW w:w="974" w:type="dxa"/>
            <w:tcBorders>
              <w:top w:val="nil"/>
              <w:left w:val="nil"/>
              <w:bottom w:val="nil"/>
              <w:right w:val="nil"/>
            </w:tcBorders>
            <w:shd w:val="clear" w:color="auto" w:fill="auto"/>
            <w:vAlign w:val="center"/>
            <w:hideMark/>
          </w:tcPr>
          <w:p w14:paraId="2257370F" w14:textId="77777777" w:rsidR="00572F25" w:rsidRPr="00822F5E" w:rsidRDefault="00572F25" w:rsidP="00140544">
            <w:pPr>
              <w:spacing w:after="0"/>
              <w:rPr>
                <w:rFonts w:cs="Arial"/>
                <w:i/>
                <w:iCs/>
                <w:sz w:val="18"/>
                <w:szCs w:val="18"/>
              </w:rPr>
            </w:pPr>
            <w:r w:rsidRPr="00822F5E">
              <w:rPr>
                <w:rFonts w:cs="Arial"/>
                <w:i/>
                <w:iCs/>
                <w:sz w:val="18"/>
                <w:szCs w:val="18"/>
              </w:rPr>
              <w:t>57.0</w:t>
            </w:r>
          </w:p>
        </w:tc>
        <w:tc>
          <w:tcPr>
            <w:tcW w:w="974" w:type="dxa"/>
            <w:tcBorders>
              <w:top w:val="nil"/>
              <w:left w:val="nil"/>
              <w:bottom w:val="nil"/>
              <w:right w:val="dashed" w:sz="8" w:space="0" w:color="6DB2AD"/>
            </w:tcBorders>
            <w:shd w:val="clear" w:color="auto" w:fill="auto"/>
            <w:noWrap/>
            <w:vAlign w:val="center"/>
            <w:hideMark/>
          </w:tcPr>
          <w:p w14:paraId="06E801A3" w14:textId="77777777" w:rsidR="00572F25" w:rsidRPr="00822F5E" w:rsidRDefault="00572F25" w:rsidP="00140544">
            <w:pPr>
              <w:spacing w:after="0"/>
              <w:jc w:val="right"/>
              <w:rPr>
                <w:rFonts w:cs="Arial"/>
                <w:i/>
                <w:iCs/>
                <w:sz w:val="18"/>
                <w:szCs w:val="18"/>
              </w:rPr>
            </w:pPr>
            <w:r w:rsidRPr="00822F5E">
              <w:rPr>
                <w:rFonts w:cs="Arial"/>
                <w:i/>
                <w:iCs/>
                <w:sz w:val="18"/>
                <w:szCs w:val="18"/>
              </w:rPr>
              <w:t>1,147</w:t>
            </w:r>
          </w:p>
        </w:tc>
        <w:tc>
          <w:tcPr>
            <w:tcW w:w="974" w:type="dxa"/>
            <w:tcBorders>
              <w:top w:val="nil"/>
              <w:left w:val="nil"/>
              <w:bottom w:val="nil"/>
              <w:right w:val="nil"/>
            </w:tcBorders>
            <w:shd w:val="clear" w:color="auto" w:fill="auto"/>
            <w:vAlign w:val="center"/>
            <w:hideMark/>
          </w:tcPr>
          <w:p w14:paraId="0D936CC3" w14:textId="77777777" w:rsidR="00572F25" w:rsidRPr="00822F5E" w:rsidRDefault="00572F25" w:rsidP="00140544">
            <w:pPr>
              <w:spacing w:after="0"/>
              <w:rPr>
                <w:rFonts w:cs="Arial"/>
                <w:i/>
                <w:iCs/>
                <w:sz w:val="18"/>
                <w:szCs w:val="18"/>
              </w:rPr>
            </w:pPr>
            <w:r w:rsidRPr="00822F5E">
              <w:rPr>
                <w:rFonts w:cs="Arial"/>
                <w:i/>
                <w:iCs/>
                <w:sz w:val="18"/>
                <w:szCs w:val="18"/>
              </w:rPr>
              <w:t>41.8</w:t>
            </w:r>
          </w:p>
        </w:tc>
        <w:tc>
          <w:tcPr>
            <w:tcW w:w="974" w:type="dxa"/>
            <w:tcBorders>
              <w:top w:val="nil"/>
              <w:left w:val="nil"/>
              <w:bottom w:val="nil"/>
              <w:right w:val="dashed" w:sz="8" w:space="0" w:color="6DB2AD"/>
            </w:tcBorders>
            <w:shd w:val="clear" w:color="auto" w:fill="auto"/>
            <w:noWrap/>
            <w:vAlign w:val="center"/>
            <w:hideMark/>
          </w:tcPr>
          <w:p w14:paraId="6BC01E33" w14:textId="77777777" w:rsidR="00572F25" w:rsidRPr="00822F5E" w:rsidRDefault="00572F25" w:rsidP="00140544">
            <w:pPr>
              <w:spacing w:after="0"/>
              <w:jc w:val="right"/>
              <w:rPr>
                <w:rFonts w:cs="Arial"/>
                <w:i/>
                <w:iCs/>
                <w:sz w:val="18"/>
                <w:szCs w:val="18"/>
              </w:rPr>
            </w:pPr>
            <w:r w:rsidRPr="00822F5E">
              <w:rPr>
                <w:rFonts w:cs="Arial"/>
                <w:i/>
                <w:iCs/>
                <w:sz w:val="18"/>
                <w:szCs w:val="18"/>
              </w:rPr>
              <w:t>32</w:t>
            </w:r>
          </w:p>
        </w:tc>
        <w:tc>
          <w:tcPr>
            <w:tcW w:w="974" w:type="dxa"/>
            <w:tcBorders>
              <w:top w:val="nil"/>
              <w:left w:val="nil"/>
              <w:bottom w:val="nil"/>
              <w:right w:val="single" w:sz="8" w:space="0" w:color="auto"/>
            </w:tcBorders>
            <w:shd w:val="clear" w:color="auto" w:fill="auto"/>
            <w:vAlign w:val="center"/>
            <w:hideMark/>
          </w:tcPr>
          <w:p w14:paraId="44536E8F" w14:textId="77777777" w:rsidR="00572F25" w:rsidRPr="00822F5E" w:rsidRDefault="00572F25" w:rsidP="00140544">
            <w:pPr>
              <w:spacing w:after="0"/>
              <w:rPr>
                <w:rFonts w:cs="Arial"/>
                <w:i/>
                <w:iCs/>
                <w:sz w:val="18"/>
                <w:szCs w:val="18"/>
              </w:rPr>
            </w:pPr>
            <w:r w:rsidRPr="00822F5E">
              <w:rPr>
                <w:rFonts w:cs="Arial"/>
                <w:i/>
                <w:iCs/>
                <w:sz w:val="18"/>
                <w:szCs w:val="18"/>
              </w:rPr>
              <w:t>1.1</w:t>
            </w:r>
          </w:p>
        </w:tc>
      </w:tr>
      <w:tr w:rsidR="00572F25" w:rsidRPr="00A674B2" w14:paraId="52A8651B" w14:textId="77777777" w:rsidTr="00140544">
        <w:trPr>
          <w:trHeight w:val="360"/>
        </w:trPr>
        <w:tc>
          <w:tcPr>
            <w:tcW w:w="2552" w:type="dxa"/>
            <w:tcBorders>
              <w:top w:val="nil"/>
              <w:left w:val="single" w:sz="8" w:space="0" w:color="auto"/>
              <w:bottom w:val="nil"/>
              <w:right w:val="nil"/>
            </w:tcBorders>
            <w:shd w:val="clear" w:color="auto" w:fill="auto"/>
            <w:vAlign w:val="center"/>
            <w:hideMark/>
          </w:tcPr>
          <w:p w14:paraId="59F4E1AE" w14:textId="77777777" w:rsidR="00572F25" w:rsidRPr="00822F5E" w:rsidRDefault="00572F25" w:rsidP="00140544">
            <w:pPr>
              <w:spacing w:after="0"/>
              <w:ind w:firstLineChars="200" w:firstLine="360"/>
              <w:rPr>
                <w:rFonts w:ascii="Wingdings 3" w:hAnsi="Wingdings 3" w:cs="Calibri"/>
                <w:sz w:val="18"/>
                <w:szCs w:val="18"/>
              </w:rPr>
            </w:pPr>
            <w:r w:rsidRPr="00822F5E">
              <w:rPr>
                <w:rFonts w:ascii="Wingdings 3" w:hAnsi="Wingdings 3" w:cs="Calibri"/>
                <w:sz w:val="18"/>
                <w:szCs w:val="18"/>
              </w:rPr>
              <w:t></w:t>
            </w:r>
            <w:r w:rsidRPr="00822F5E">
              <w:rPr>
                <w:rFonts w:cs="Arial"/>
                <w:i/>
                <w:iCs/>
                <w:sz w:val="18"/>
                <w:szCs w:val="18"/>
              </w:rPr>
              <w:t xml:space="preserve">   when not required</w:t>
            </w:r>
          </w:p>
        </w:tc>
        <w:tc>
          <w:tcPr>
            <w:tcW w:w="992" w:type="dxa"/>
            <w:tcBorders>
              <w:top w:val="nil"/>
              <w:left w:val="nil"/>
              <w:bottom w:val="nil"/>
              <w:right w:val="nil"/>
            </w:tcBorders>
            <w:shd w:val="clear" w:color="auto" w:fill="auto"/>
            <w:vAlign w:val="center"/>
            <w:hideMark/>
          </w:tcPr>
          <w:p w14:paraId="2282A6E8" w14:textId="77777777" w:rsidR="00572F25" w:rsidRPr="00822F5E" w:rsidRDefault="00572F25" w:rsidP="00140544">
            <w:pPr>
              <w:spacing w:after="0"/>
              <w:jc w:val="center"/>
              <w:rPr>
                <w:rFonts w:cs="Arial"/>
                <w:i/>
                <w:iCs/>
                <w:sz w:val="18"/>
                <w:szCs w:val="18"/>
              </w:rPr>
            </w:pPr>
            <w:r w:rsidRPr="00822F5E">
              <w:rPr>
                <w:rFonts w:cs="Arial"/>
                <w:i/>
                <w:iCs/>
                <w:sz w:val="18"/>
                <w:szCs w:val="18"/>
              </w:rPr>
              <w:t>1,325</w:t>
            </w:r>
          </w:p>
        </w:tc>
        <w:tc>
          <w:tcPr>
            <w:tcW w:w="973" w:type="dxa"/>
            <w:tcBorders>
              <w:top w:val="nil"/>
              <w:left w:val="nil"/>
              <w:bottom w:val="nil"/>
              <w:right w:val="dashed" w:sz="8" w:space="0" w:color="6DB2AD"/>
            </w:tcBorders>
            <w:shd w:val="clear" w:color="auto" w:fill="auto"/>
            <w:noWrap/>
            <w:vAlign w:val="center"/>
            <w:hideMark/>
          </w:tcPr>
          <w:p w14:paraId="0949CBD4" w14:textId="77777777" w:rsidR="00572F25" w:rsidRPr="00822F5E" w:rsidRDefault="00572F25" w:rsidP="00140544">
            <w:pPr>
              <w:spacing w:after="0"/>
              <w:jc w:val="right"/>
              <w:rPr>
                <w:rFonts w:cs="Arial"/>
                <w:i/>
                <w:iCs/>
                <w:sz w:val="18"/>
                <w:szCs w:val="18"/>
              </w:rPr>
            </w:pPr>
            <w:r w:rsidRPr="00822F5E">
              <w:rPr>
                <w:rFonts w:cs="Arial"/>
                <w:i/>
                <w:iCs/>
                <w:sz w:val="18"/>
                <w:szCs w:val="18"/>
              </w:rPr>
              <w:t>3</w:t>
            </w:r>
          </w:p>
        </w:tc>
        <w:tc>
          <w:tcPr>
            <w:tcW w:w="974" w:type="dxa"/>
            <w:tcBorders>
              <w:top w:val="nil"/>
              <w:left w:val="nil"/>
              <w:bottom w:val="nil"/>
              <w:right w:val="nil"/>
            </w:tcBorders>
            <w:shd w:val="clear" w:color="auto" w:fill="auto"/>
            <w:vAlign w:val="center"/>
            <w:hideMark/>
          </w:tcPr>
          <w:p w14:paraId="6F1D4AAC" w14:textId="77777777" w:rsidR="00572F25" w:rsidRPr="00822F5E" w:rsidRDefault="00572F25" w:rsidP="00140544">
            <w:pPr>
              <w:spacing w:after="0"/>
              <w:rPr>
                <w:rFonts w:cs="Arial"/>
                <w:i/>
                <w:iCs/>
                <w:sz w:val="18"/>
                <w:szCs w:val="18"/>
              </w:rPr>
            </w:pPr>
            <w:r w:rsidRPr="00822F5E">
              <w:rPr>
                <w:rFonts w:cs="Arial"/>
                <w:i/>
                <w:iCs/>
                <w:sz w:val="18"/>
                <w:szCs w:val="18"/>
              </w:rPr>
              <w:t>0.2</w:t>
            </w:r>
          </w:p>
        </w:tc>
        <w:tc>
          <w:tcPr>
            <w:tcW w:w="974" w:type="dxa"/>
            <w:tcBorders>
              <w:top w:val="nil"/>
              <w:left w:val="nil"/>
              <w:bottom w:val="nil"/>
              <w:right w:val="dashed" w:sz="8" w:space="0" w:color="6DB2AD"/>
            </w:tcBorders>
            <w:shd w:val="clear" w:color="auto" w:fill="auto"/>
            <w:noWrap/>
            <w:vAlign w:val="center"/>
            <w:hideMark/>
          </w:tcPr>
          <w:p w14:paraId="51C68D56" w14:textId="77777777" w:rsidR="00572F25" w:rsidRPr="00822F5E" w:rsidRDefault="00572F25" w:rsidP="00140544">
            <w:pPr>
              <w:spacing w:after="0"/>
              <w:jc w:val="right"/>
              <w:rPr>
                <w:rFonts w:cs="Arial"/>
                <w:i/>
                <w:iCs/>
                <w:sz w:val="18"/>
                <w:szCs w:val="18"/>
              </w:rPr>
            </w:pPr>
            <w:r w:rsidRPr="00822F5E">
              <w:rPr>
                <w:rFonts w:cs="Arial"/>
                <w:i/>
                <w:iCs/>
                <w:sz w:val="18"/>
                <w:szCs w:val="18"/>
              </w:rPr>
              <w:t>1,300</w:t>
            </w:r>
          </w:p>
        </w:tc>
        <w:tc>
          <w:tcPr>
            <w:tcW w:w="974" w:type="dxa"/>
            <w:tcBorders>
              <w:top w:val="nil"/>
              <w:left w:val="nil"/>
              <w:bottom w:val="nil"/>
              <w:right w:val="nil"/>
            </w:tcBorders>
            <w:shd w:val="clear" w:color="auto" w:fill="auto"/>
            <w:vAlign w:val="center"/>
            <w:hideMark/>
          </w:tcPr>
          <w:p w14:paraId="492908F7" w14:textId="77777777" w:rsidR="00572F25" w:rsidRPr="00822F5E" w:rsidRDefault="00572F25" w:rsidP="00140544">
            <w:pPr>
              <w:spacing w:after="0"/>
              <w:rPr>
                <w:rFonts w:cs="Arial"/>
                <w:i/>
                <w:iCs/>
                <w:sz w:val="18"/>
                <w:szCs w:val="18"/>
              </w:rPr>
            </w:pPr>
            <w:r w:rsidRPr="00822F5E">
              <w:rPr>
                <w:rFonts w:cs="Arial"/>
                <w:i/>
                <w:iCs/>
                <w:sz w:val="18"/>
                <w:szCs w:val="18"/>
              </w:rPr>
              <w:t>98.1</w:t>
            </w:r>
          </w:p>
        </w:tc>
        <w:tc>
          <w:tcPr>
            <w:tcW w:w="974" w:type="dxa"/>
            <w:tcBorders>
              <w:top w:val="nil"/>
              <w:left w:val="nil"/>
              <w:bottom w:val="nil"/>
              <w:right w:val="dashed" w:sz="8" w:space="0" w:color="6DB2AD"/>
            </w:tcBorders>
            <w:shd w:val="clear" w:color="auto" w:fill="auto"/>
            <w:noWrap/>
            <w:vAlign w:val="center"/>
            <w:hideMark/>
          </w:tcPr>
          <w:p w14:paraId="4649B4B6" w14:textId="77777777" w:rsidR="00572F25" w:rsidRPr="00822F5E" w:rsidRDefault="00572F25" w:rsidP="00140544">
            <w:pPr>
              <w:spacing w:after="0"/>
              <w:jc w:val="right"/>
              <w:rPr>
                <w:rFonts w:cs="Arial"/>
                <w:i/>
                <w:iCs/>
                <w:sz w:val="18"/>
                <w:szCs w:val="18"/>
              </w:rPr>
            </w:pPr>
            <w:r w:rsidRPr="00822F5E">
              <w:rPr>
                <w:rFonts w:cs="Arial"/>
                <w:i/>
                <w:iCs/>
                <w:sz w:val="18"/>
                <w:szCs w:val="18"/>
              </w:rPr>
              <w:t>22</w:t>
            </w:r>
          </w:p>
        </w:tc>
        <w:tc>
          <w:tcPr>
            <w:tcW w:w="974" w:type="dxa"/>
            <w:tcBorders>
              <w:top w:val="nil"/>
              <w:left w:val="nil"/>
              <w:bottom w:val="nil"/>
              <w:right w:val="single" w:sz="8" w:space="0" w:color="auto"/>
            </w:tcBorders>
            <w:shd w:val="clear" w:color="auto" w:fill="auto"/>
            <w:vAlign w:val="center"/>
            <w:hideMark/>
          </w:tcPr>
          <w:p w14:paraId="14A680D0" w14:textId="77777777" w:rsidR="00572F25" w:rsidRPr="00822F5E" w:rsidRDefault="00572F25" w:rsidP="00140544">
            <w:pPr>
              <w:spacing w:after="0"/>
              <w:rPr>
                <w:rFonts w:cs="Arial"/>
                <w:i/>
                <w:iCs/>
                <w:sz w:val="18"/>
                <w:szCs w:val="18"/>
              </w:rPr>
            </w:pPr>
            <w:r w:rsidRPr="00822F5E">
              <w:rPr>
                <w:rFonts w:cs="Arial"/>
                <w:i/>
                <w:iCs/>
                <w:sz w:val="18"/>
                <w:szCs w:val="18"/>
              </w:rPr>
              <w:t>1.7</w:t>
            </w:r>
          </w:p>
        </w:tc>
      </w:tr>
      <w:tr w:rsidR="00572F25" w:rsidRPr="00A674B2" w14:paraId="1117ED84" w14:textId="77777777" w:rsidTr="00140544">
        <w:trPr>
          <w:trHeight w:val="360"/>
        </w:trPr>
        <w:tc>
          <w:tcPr>
            <w:tcW w:w="2552" w:type="dxa"/>
            <w:tcBorders>
              <w:top w:val="nil"/>
              <w:left w:val="single" w:sz="8" w:space="0" w:color="auto"/>
              <w:bottom w:val="nil"/>
              <w:right w:val="nil"/>
            </w:tcBorders>
            <w:shd w:val="clear" w:color="auto" w:fill="auto"/>
            <w:vAlign w:val="center"/>
            <w:hideMark/>
          </w:tcPr>
          <w:p w14:paraId="213BA9D5" w14:textId="77777777" w:rsidR="00572F25" w:rsidRDefault="00572F25" w:rsidP="00140544">
            <w:pPr>
              <w:spacing w:after="0"/>
              <w:ind w:firstLineChars="100" w:firstLine="180"/>
              <w:rPr>
                <w:rFonts w:cs="Arial"/>
                <w:sz w:val="18"/>
                <w:szCs w:val="18"/>
              </w:rPr>
            </w:pPr>
            <w:r w:rsidRPr="00822F5E">
              <w:rPr>
                <w:rFonts w:cs="Arial"/>
                <w:sz w:val="18"/>
                <w:szCs w:val="18"/>
              </w:rPr>
              <w:t xml:space="preserve">No antimicrobial </w:t>
            </w:r>
            <w:r>
              <w:rPr>
                <w:rFonts w:cs="Arial"/>
                <w:sz w:val="18"/>
                <w:szCs w:val="18"/>
              </w:rPr>
              <w:t xml:space="preserve">  </w:t>
            </w:r>
          </w:p>
          <w:p w14:paraId="08EF0EDF" w14:textId="77777777" w:rsidR="00572F25" w:rsidRPr="00822F5E" w:rsidRDefault="00572F25" w:rsidP="00140544">
            <w:pPr>
              <w:spacing w:after="0"/>
              <w:ind w:firstLineChars="100" w:firstLine="180"/>
              <w:rPr>
                <w:rFonts w:cs="Arial"/>
                <w:sz w:val="18"/>
                <w:szCs w:val="18"/>
              </w:rPr>
            </w:pPr>
            <w:r w:rsidRPr="00822F5E">
              <w:rPr>
                <w:rFonts w:cs="Arial"/>
                <w:sz w:val="18"/>
                <w:szCs w:val="18"/>
              </w:rPr>
              <w:t xml:space="preserve">prescribed </w:t>
            </w:r>
          </w:p>
        </w:tc>
        <w:tc>
          <w:tcPr>
            <w:tcW w:w="992" w:type="dxa"/>
            <w:tcBorders>
              <w:top w:val="nil"/>
              <w:left w:val="nil"/>
              <w:bottom w:val="nil"/>
              <w:right w:val="nil"/>
            </w:tcBorders>
            <w:shd w:val="clear" w:color="auto" w:fill="auto"/>
            <w:vAlign w:val="center"/>
            <w:hideMark/>
          </w:tcPr>
          <w:p w14:paraId="561A4738" w14:textId="77777777" w:rsidR="00572F25" w:rsidRPr="00822F5E" w:rsidRDefault="00572F25" w:rsidP="00140544">
            <w:pPr>
              <w:spacing w:after="0"/>
              <w:jc w:val="center"/>
              <w:rPr>
                <w:rFonts w:cs="Arial"/>
                <w:sz w:val="18"/>
                <w:szCs w:val="18"/>
              </w:rPr>
            </w:pPr>
            <w:r w:rsidRPr="00822F5E">
              <w:rPr>
                <w:rFonts w:cs="Arial"/>
                <w:sz w:val="18"/>
                <w:szCs w:val="18"/>
              </w:rPr>
              <w:t>6,030</w:t>
            </w:r>
          </w:p>
        </w:tc>
        <w:tc>
          <w:tcPr>
            <w:tcW w:w="973" w:type="dxa"/>
            <w:tcBorders>
              <w:top w:val="nil"/>
              <w:left w:val="nil"/>
              <w:bottom w:val="nil"/>
              <w:right w:val="dashed" w:sz="8" w:space="0" w:color="6DB2AD"/>
            </w:tcBorders>
            <w:shd w:val="clear" w:color="auto" w:fill="auto"/>
            <w:noWrap/>
            <w:vAlign w:val="center"/>
            <w:hideMark/>
          </w:tcPr>
          <w:p w14:paraId="492B10C0" w14:textId="77777777" w:rsidR="00572F25" w:rsidRPr="00822F5E" w:rsidRDefault="00572F25" w:rsidP="00140544">
            <w:pPr>
              <w:spacing w:after="0"/>
              <w:jc w:val="right"/>
              <w:rPr>
                <w:rFonts w:cs="Arial"/>
                <w:sz w:val="18"/>
                <w:szCs w:val="18"/>
              </w:rPr>
            </w:pPr>
            <w:r w:rsidRPr="00822F5E">
              <w:rPr>
                <w:rFonts w:cs="Arial"/>
                <w:sz w:val="18"/>
                <w:szCs w:val="18"/>
              </w:rPr>
              <w:t>5,909</w:t>
            </w:r>
          </w:p>
        </w:tc>
        <w:tc>
          <w:tcPr>
            <w:tcW w:w="974" w:type="dxa"/>
            <w:tcBorders>
              <w:top w:val="nil"/>
              <w:left w:val="nil"/>
              <w:bottom w:val="nil"/>
              <w:right w:val="nil"/>
            </w:tcBorders>
            <w:shd w:val="clear" w:color="auto" w:fill="auto"/>
            <w:vAlign w:val="center"/>
            <w:hideMark/>
          </w:tcPr>
          <w:p w14:paraId="142E74B0" w14:textId="77777777" w:rsidR="00572F25" w:rsidRPr="00822F5E" w:rsidRDefault="00572F25" w:rsidP="00140544">
            <w:pPr>
              <w:spacing w:after="0"/>
              <w:rPr>
                <w:rFonts w:cs="Arial"/>
                <w:sz w:val="18"/>
                <w:szCs w:val="18"/>
              </w:rPr>
            </w:pPr>
            <w:r w:rsidRPr="00822F5E">
              <w:rPr>
                <w:rFonts w:cs="Arial"/>
                <w:sz w:val="18"/>
                <w:szCs w:val="18"/>
              </w:rPr>
              <w:t>98.0</w:t>
            </w:r>
          </w:p>
        </w:tc>
        <w:tc>
          <w:tcPr>
            <w:tcW w:w="974" w:type="dxa"/>
            <w:tcBorders>
              <w:top w:val="nil"/>
              <w:left w:val="nil"/>
              <w:bottom w:val="nil"/>
              <w:right w:val="dashed" w:sz="8" w:space="0" w:color="6DB2AD"/>
            </w:tcBorders>
            <w:shd w:val="clear" w:color="auto" w:fill="auto"/>
            <w:noWrap/>
            <w:vAlign w:val="center"/>
            <w:hideMark/>
          </w:tcPr>
          <w:p w14:paraId="553F3CBB" w14:textId="77777777" w:rsidR="00572F25" w:rsidRPr="00822F5E" w:rsidRDefault="00572F25" w:rsidP="00140544">
            <w:pPr>
              <w:spacing w:after="0"/>
              <w:jc w:val="right"/>
              <w:rPr>
                <w:rFonts w:cs="Arial"/>
                <w:sz w:val="18"/>
                <w:szCs w:val="18"/>
              </w:rPr>
            </w:pPr>
            <w:r w:rsidRPr="00822F5E">
              <w:rPr>
                <w:rFonts w:cs="Arial"/>
                <w:sz w:val="18"/>
                <w:szCs w:val="18"/>
              </w:rPr>
              <w:t>34</w:t>
            </w:r>
          </w:p>
        </w:tc>
        <w:tc>
          <w:tcPr>
            <w:tcW w:w="974" w:type="dxa"/>
            <w:tcBorders>
              <w:top w:val="nil"/>
              <w:left w:val="nil"/>
              <w:bottom w:val="nil"/>
              <w:right w:val="nil"/>
            </w:tcBorders>
            <w:shd w:val="clear" w:color="auto" w:fill="auto"/>
            <w:vAlign w:val="center"/>
            <w:hideMark/>
          </w:tcPr>
          <w:p w14:paraId="7609C5FF" w14:textId="77777777" w:rsidR="00572F25" w:rsidRPr="00822F5E" w:rsidRDefault="00572F25" w:rsidP="00140544">
            <w:pPr>
              <w:spacing w:after="0"/>
              <w:rPr>
                <w:rFonts w:cs="Arial"/>
                <w:sz w:val="18"/>
                <w:szCs w:val="18"/>
              </w:rPr>
            </w:pPr>
            <w:r w:rsidRPr="00822F5E">
              <w:rPr>
                <w:rFonts w:cs="Arial"/>
                <w:sz w:val="18"/>
                <w:szCs w:val="18"/>
              </w:rPr>
              <w:t>0.6</w:t>
            </w:r>
          </w:p>
        </w:tc>
        <w:tc>
          <w:tcPr>
            <w:tcW w:w="974" w:type="dxa"/>
            <w:tcBorders>
              <w:top w:val="nil"/>
              <w:left w:val="nil"/>
              <w:bottom w:val="nil"/>
              <w:right w:val="dashed" w:sz="8" w:space="0" w:color="6DB2AD"/>
            </w:tcBorders>
            <w:shd w:val="clear" w:color="auto" w:fill="auto"/>
            <w:noWrap/>
            <w:vAlign w:val="center"/>
            <w:hideMark/>
          </w:tcPr>
          <w:p w14:paraId="6FFDAF56" w14:textId="77777777" w:rsidR="00572F25" w:rsidRPr="00822F5E" w:rsidRDefault="00572F25" w:rsidP="00140544">
            <w:pPr>
              <w:spacing w:after="0"/>
              <w:jc w:val="right"/>
              <w:rPr>
                <w:rFonts w:cs="Arial"/>
                <w:sz w:val="18"/>
                <w:szCs w:val="18"/>
              </w:rPr>
            </w:pPr>
            <w:r w:rsidRPr="00822F5E">
              <w:rPr>
                <w:rFonts w:cs="Arial"/>
                <w:sz w:val="18"/>
                <w:szCs w:val="18"/>
              </w:rPr>
              <w:t>87</w:t>
            </w:r>
          </w:p>
        </w:tc>
        <w:tc>
          <w:tcPr>
            <w:tcW w:w="974" w:type="dxa"/>
            <w:tcBorders>
              <w:top w:val="nil"/>
              <w:left w:val="nil"/>
              <w:bottom w:val="nil"/>
              <w:right w:val="single" w:sz="8" w:space="0" w:color="auto"/>
            </w:tcBorders>
            <w:shd w:val="clear" w:color="auto" w:fill="auto"/>
            <w:vAlign w:val="center"/>
            <w:hideMark/>
          </w:tcPr>
          <w:p w14:paraId="723C5F10" w14:textId="77777777" w:rsidR="00572F25" w:rsidRPr="00822F5E" w:rsidRDefault="00572F25" w:rsidP="00140544">
            <w:pPr>
              <w:spacing w:after="0"/>
              <w:rPr>
                <w:rFonts w:cs="Arial"/>
                <w:sz w:val="18"/>
                <w:szCs w:val="18"/>
              </w:rPr>
            </w:pPr>
            <w:r w:rsidRPr="00822F5E">
              <w:rPr>
                <w:rFonts w:cs="Arial"/>
                <w:sz w:val="18"/>
                <w:szCs w:val="18"/>
              </w:rPr>
              <w:t>1.4</w:t>
            </w:r>
          </w:p>
        </w:tc>
      </w:tr>
      <w:tr w:rsidR="00572F25" w:rsidRPr="00A674B2" w14:paraId="63324DF3" w14:textId="77777777" w:rsidTr="00140544">
        <w:trPr>
          <w:trHeight w:val="360"/>
        </w:trPr>
        <w:tc>
          <w:tcPr>
            <w:tcW w:w="2552" w:type="dxa"/>
            <w:tcBorders>
              <w:top w:val="nil"/>
              <w:left w:val="single" w:sz="8" w:space="0" w:color="auto"/>
              <w:bottom w:val="nil"/>
              <w:right w:val="nil"/>
            </w:tcBorders>
            <w:shd w:val="clear" w:color="auto" w:fill="auto"/>
            <w:vAlign w:val="center"/>
            <w:hideMark/>
          </w:tcPr>
          <w:p w14:paraId="5DFF8870" w14:textId="77777777" w:rsidR="00572F25" w:rsidRPr="0014502E" w:rsidRDefault="00572F25" w:rsidP="00140544">
            <w:pPr>
              <w:spacing w:after="0"/>
              <w:ind w:firstLineChars="200" w:firstLine="360"/>
              <w:rPr>
                <w:rFonts w:ascii="Wingdings 3" w:hAnsi="Wingdings 3" w:cs="Calibri"/>
                <w:sz w:val="18"/>
                <w:szCs w:val="18"/>
              </w:rPr>
            </w:pPr>
            <w:r w:rsidRPr="0014502E">
              <w:rPr>
                <w:rFonts w:ascii="Wingdings 3" w:hAnsi="Wingdings 3" w:cs="Calibri"/>
                <w:sz w:val="18"/>
                <w:szCs w:val="18"/>
              </w:rPr>
              <w:t>9</w:t>
            </w:r>
            <w:r w:rsidRPr="0014502E">
              <w:rPr>
                <w:rFonts w:cs="Arial"/>
                <w:i/>
                <w:iCs/>
                <w:sz w:val="18"/>
                <w:szCs w:val="18"/>
              </w:rPr>
              <w:t xml:space="preserve">   when required</w:t>
            </w:r>
          </w:p>
        </w:tc>
        <w:tc>
          <w:tcPr>
            <w:tcW w:w="992" w:type="dxa"/>
            <w:tcBorders>
              <w:top w:val="nil"/>
              <w:left w:val="nil"/>
              <w:bottom w:val="nil"/>
              <w:right w:val="nil"/>
            </w:tcBorders>
            <w:shd w:val="clear" w:color="auto" w:fill="auto"/>
            <w:vAlign w:val="center"/>
            <w:hideMark/>
          </w:tcPr>
          <w:p w14:paraId="2F222654" w14:textId="77777777" w:rsidR="00572F25" w:rsidRPr="0014502E" w:rsidRDefault="00572F25" w:rsidP="00140544">
            <w:pPr>
              <w:spacing w:after="0"/>
              <w:jc w:val="center"/>
              <w:rPr>
                <w:rFonts w:cs="Arial"/>
                <w:i/>
                <w:iCs/>
                <w:sz w:val="18"/>
                <w:szCs w:val="18"/>
              </w:rPr>
            </w:pPr>
            <w:r w:rsidRPr="0014502E">
              <w:rPr>
                <w:rFonts w:cs="Arial"/>
                <w:i/>
                <w:iCs/>
                <w:sz w:val="18"/>
                <w:szCs w:val="18"/>
              </w:rPr>
              <w:t>28</w:t>
            </w:r>
          </w:p>
        </w:tc>
        <w:tc>
          <w:tcPr>
            <w:tcW w:w="973" w:type="dxa"/>
            <w:tcBorders>
              <w:top w:val="nil"/>
              <w:left w:val="nil"/>
              <w:bottom w:val="nil"/>
              <w:right w:val="dashed" w:sz="8" w:space="0" w:color="6DB2AD"/>
            </w:tcBorders>
            <w:shd w:val="clear" w:color="auto" w:fill="auto"/>
            <w:noWrap/>
            <w:vAlign w:val="center"/>
            <w:hideMark/>
          </w:tcPr>
          <w:p w14:paraId="4C251EBC" w14:textId="77777777" w:rsidR="00572F25" w:rsidRPr="0014502E" w:rsidRDefault="00572F25" w:rsidP="00140544">
            <w:pPr>
              <w:spacing w:after="0"/>
              <w:jc w:val="right"/>
              <w:rPr>
                <w:rFonts w:cs="Arial"/>
                <w:i/>
                <w:iCs/>
                <w:sz w:val="18"/>
                <w:szCs w:val="18"/>
              </w:rPr>
            </w:pPr>
            <w:r w:rsidRPr="0014502E">
              <w:rPr>
                <w:rFonts w:cs="Arial"/>
                <w:i/>
                <w:iCs/>
                <w:sz w:val="18"/>
                <w:szCs w:val="18"/>
              </w:rPr>
              <w:t>13</w:t>
            </w:r>
          </w:p>
        </w:tc>
        <w:tc>
          <w:tcPr>
            <w:tcW w:w="974" w:type="dxa"/>
            <w:tcBorders>
              <w:top w:val="nil"/>
              <w:left w:val="nil"/>
              <w:bottom w:val="nil"/>
              <w:right w:val="nil"/>
            </w:tcBorders>
            <w:shd w:val="clear" w:color="auto" w:fill="auto"/>
            <w:vAlign w:val="center"/>
            <w:hideMark/>
          </w:tcPr>
          <w:p w14:paraId="4718F14E" w14:textId="77777777" w:rsidR="00572F25" w:rsidRPr="0014502E" w:rsidRDefault="00572F25" w:rsidP="00140544">
            <w:pPr>
              <w:spacing w:after="0"/>
              <w:rPr>
                <w:rFonts w:cs="Arial"/>
                <w:i/>
                <w:iCs/>
                <w:sz w:val="18"/>
                <w:szCs w:val="18"/>
              </w:rPr>
            </w:pPr>
            <w:r w:rsidRPr="0014502E">
              <w:rPr>
                <w:rFonts w:cs="Arial"/>
                <w:i/>
                <w:iCs/>
                <w:sz w:val="18"/>
                <w:szCs w:val="18"/>
              </w:rPr>
              <w:t>46.4</w:t>
            </w:r>
          </w:p>
        </w:tc>
        <w:tc>
          <w:tcPr>
            <w:tcW w:w="974" w:type="dxa"/>
            <w:tcBorders>
              <w:top w:val="nil"/>
              <w:left w:val="nil"/>
              <w:bottom w:val="nil"/>
              <w:right w:val="dashed" w:sz="8" w:space="0" w:color="6DB2AD"/>
            </w:tcBorders>
            <w:shd w:val="clear" w:color="auto" w:fill="auto"/>
            <w:noWrap/>
            <w:vAlign w:val="center"/>
            <w:hideMark/>
          </w:tcPr>
          <w:p w14:paraId="22EE2377" w14:textId="77777777" w:rsidR="00572F25" w:rsidRPr="0014502E" w:rsidRDefault="00572F25" w:rsidP="00140544">
            <w:pPr>
              <w:spacing w:after="0"/>
              <w:jc w:val="right"/>
              <w:rPr>
                <w:rFonts w:cs="Arial"/>
                <w:i/>
                <w:iCs/>
                <w:sz w:val="18"/>
                <w:szCs w:val="18"/>
              </w:rPr>
            </w:pPr>
            <w:r w:rsidRPr="0014502E">
              <w:rPr>
                <w:rFonts w:cs="Arial"/>
                <w:i/>
                <w:iCs/>
                <w:sz w:val="18"/>
                <w:szCs w:val="18"/>
              </w:rPr>
              <w:t>11</w:t>
            </w:r>
          </w:p>
        </w:tc>
        <w:tc>
          <w:tcPr>
            <w:tcW w:w="974" w:type="dxa"/>
            <w:tcBorders>
              <w:top w:val="nil"/>
              <w:left w:val="nil"/>
              <w:bottom w:val="nil"/>
              <w:right w:val="nil"/>
            </w:tcBorders>
            <w:shd w:val="clear" w:color="auto" w:fill="auto"/>
            <w:vAlign w:val="center"/>
            <w:hideMark/>
          </w:tcPr>
          <w:p w14:paraId="24D355D0" w14:textId="77777777" w:rsidR="00572F25" w:rsidRPr="0014502E" w:rsidRDefault="00572F25" w:rsidP="00140544">
            <w:pPr>
              <w:spacing w:after="0"/>
              <w:rPr>
                <w:rFonts w:cs="Arial"/>
                <w:i/>
                <w:iCs/>
                <w:sz w:val="18"/>
                <w:szCs w:val="18"/>
              </w:rPr>
            </w:pPr>
            <w:r w:rsidRPr="0014502E">
              <w:rPr>
                <w:rFonts w:cs="Arial"/>
                <w:i/>
                <w:iCs/>
                <w:sz w:val="18"/>
                <w:szCs w:val="18"/>
              </w:rPr>
              <w:t>39.3</w:t>
            </w:r>
          </w:p>
        </w:tc>
        <w:tc>
          <w:tcPr>
            <w:tcW w:w="974" w:type="dxa"/>
            <w:tcBorders>
              <w:top w:val="nil"/>
              <w:left w:val="nil"/>
              <w:bottom w:val="nil"/>
              <w:right w:val="dashed" w:sz="8" w:space="0" w:color="6DB2AD"/>
            </w:tcBorders>
            <w:shd w:val="clear" w:color="auto" w:fill="auto"/>
            <w:noWrap/>
            <w:vAlign w:val="center"/>
            <w:hideMark/>
          </w:tcPr>
          <w:p w14:paraId="5A8FCE46" w14:textId="77777777" w:rsidR="00572F25" w:rsidRPr="0014502E" w:rsidRDefault="00572F25" w:rsidP="00140544">
            <w:pPr>
              <w:spacing w:after="0"/>
              <w:jc w:val="right"/>
              <w:rPr>
                <w:rFonts w:cs="Arial"/>
                <w:i/>
                <w:iCs/>
                <w:sz w:val="18"/>
                <w:szCs w:val="18"/>
              </w:rPr>
            </w:pPr>
            <w:r w:rsidRPr="0014502E">
              <w:rPr>
                <w:rFonts w:cs="Arial"/>
                <w:i/>
                <w:iCs/>
                <w:sz w:val="18"/>
                <w:szCs w:val="18"/>
              </w:rPr>
              <w:t>4</w:t>
            </w:r>
          </w:p>
        </w:tc>
        <w:tc>
          <w:tcPr>
            <w:tcW w:w="974" w:type="dxa"/>
            <w:tcBorders>
              <w:top w:val="nil"/>
              <w:left w:val="nil"/>
              <w:bottom w:val="nil"/>
              <w:right w:val="single" w:sz="8" w:space="0" w:color="auto"/>
            </w:tcBorders>
            <w:shd w:val="clear" w:color="auto" w:fill="auto"/>
            <w:vAlign w:val="center"/>
            <w:hideMark/>
          </w:tcPr>
          <w:p w14:paraId="59E938BB" w14:textId="77777777" w:rsidR="00572F25" w:rsidRPr="0014502E" w:rsidRDefault="00572F25" w:rsidP="00140544">
            <w:pPr>
              <w:spacing w:after="0"/>
              <w:rPr>
                <w:rFonts w:cs="Arial"/>
                <w:i/>
                <w:iCs/>
                <w:sz w:val="18"/>
                <w:szCs w:val="18"/>
              </w:rPr>
            </w:pPr>
            <w:r w:rsidRPr="0014502E">
              <w:rPr>
                <w:rFonts w:cs="Arial"/>
                <w:i/>
                <w:iCs/>
                <w:sz w:val="18"/>
                <w:szCs w:val="18"/>
              </w:rPr>
              <w:t>14.3</w:t>
            </w:r>
          </w:p>
        </w:tc>
      </w:tr>
      <w:tr w:rsidR="00572F25" w:rsidRPr="00A674B2" w14:paraId="232DF6F8" w14:textId="77777777" w:rsidTr="00140544">
        <w:trPr>
          <w:trHeight w:val="360"/>
        </w:trPr>
        <w:tc>
          <w:tcPr>
            <w:tcW w:w="2552" w:type="dxa"/>
            <w:tcBorders>
              <w:top w:val="nil"/>
              <w:left w:val="single" w:sz="8" w:space="0" w:color="auto"/>
              <w:bottom w:val="nil"/>
              <w:right w:val="nil"/>
            </w:tcBorders>
            <w:shd w:val="clear" w:color="auto" w:fill="auto"/>
            <w:vAlign w:val="center"/>
            <w:hideMark/>
          </w:tcPr>
          <w:p w14:paraId="1BE55253" w14:textId="77777777" w:rsidR="00572F25" w:rsidRPr="0014502E" w:rsidRDefault="00572F25" w:rsidP="00140544">
            <w:pPr>
              <w:spacing w:after="0"/>
              <w:ind w:firstLineChars="200" w:firstLine="360"/>
              <w:rPr>
                <w:rFonts w:ascii="Wingdings 3" w:hAnsi="Wingdings 3" w:cs="Calibri"/>
                <w:sz w:val="18"/>
                <w:szCs w:val="18"/>
              </w:rPr>
            </w:pPr>
            <w:r w:rsidRPr="0014502E">
              <w:rPr>
                <w:rFonts w:ascii="Wingdings 3" w:hAnsi="Wingdings 3" w:cs="Calibri"/>
                <w:sz w:val="18"/>
                <w:szCs w:val="18"/>
              </w:rPr>
              <w:t>9</w:t>
            </w:r>
            <w:r w:rsidRPr="0014502E">
              <w:rPr>
                <w:rFonts w:cs="Arial"/>
                <w:i/>
                <w:iCs/>
                <w:sz w:val="18"/>
                <w:szCs w:val="18"/>
              </w:rPr>
              <w:t xml:space="preserve">   when not required</w:t>
            </w:r>
          </w:p>
        </w:tc>
        <w:tc>
          <w:tcPr>
            <w:tcW w:w="992" w:type="dxa"/>
            <w:tcBorders>
              <w:top w:val="nil"/>
              <w:left w:val="nil"/>
              <w:bottom w:val="nil"/>
              <w:right w:val="nil"/>
            </w:tcBorders>
            <w:shd w:val="clear" w:color="auto" w:fill="auto"/>
            <w:vAlign w:val="center"/>
            <w:hideMark/>
          </w:tcPr>
          <w:p w14:paraId="4793F4F9" w14:textId="77777777" w:rsidR="00572F25" w:rsidRPr="0014502E" w:rsidRDefault="00572F25" w:rsidP="00140544">
            <w:pPr>
              <w:spacing w:after="0"/>
              <w:jc w:val="center"/>
              <w:rPr>
                <w:rFonts w:cs="Arial"/>
                <w:i/>
                <w:iCs/>
                <w:sz w:val="18"/>
                <w:szCs w:val="18"/>
              </w:rPr>
            </w:pPr>
            <w:r w:rsidRPr="0014502E">
              <w:rPr>
                <w:rFonts w:cs="Arial"/>
                <w:i/>
                <w:iCs/>
                <w:sz w:val="18"/>
                <w:szCs w:val="18"/>
              </w:rPr>
              <w:t>6002</w:t>
            </w:r>
          </w:p>
        </w:tc>
        <w:tc>
          <w:tcPr>
            <w:tcW w:w="973" w:type="dxa"/>
            <w:tcBorders>
              <w:top w:val="nil"/>
              <w:left w:val="nil"/>
              <w:bottom w:val="nil"/>
              <w:right w:val="dashed" w:sz="8" w:space="0" w:color="6DB2AD"/>
            </w:tcBorders>
            <w:shd w:val="clear" w:color="auto" w:fill="auto"/>
            <w:noWrap/>
            <w:vAlign w:val="center"/>
            <w:hideMark/>
          </w:tcPr>
          <w:p w14:paraId="1229BE7D" w14:textId="77777777" w:rsidR="00572F25" w:rsidRPr="0014502E" w:rsidRDefault="00572F25" w:rsidP="00140544">
            <w:pPr>
              <w:spacing w:after="0"/>
              <w:jc w:val="right"/>
              <w:rPr>
                <w:rFonts w:cs="Arial"/>
                <w:i/>
                <w:iCs/>
                <w:sz w:val="18"/>
                <w:szCs w:val="18"/>
              </w:rPr>
            </w:pPr>
            <w:r w:rsidRPr="0014502E">
              <w:rPr>
                <w:rFonts w:cs="Arial"/>
                <w:i/>
                <w:iCs/>
                <w:sz w:val="18"/>
                <w:szCs w:val="18"/>
              </w:rPr>
              <w:t>5896</w:t>
            </w:r>
          </w:p>
        </w:tc>
        <w:tc>
          <w:tcPr>
            <w:tcW w:w="974" w:type="dxa"/>
            <w:tcBorders>
              <w:top w:val="nil"/>
              <w:left w:val="nil"/>
              <w:bottom w:val="nil"/>
              <w:right w:val="nil"/>
            </w:tcBorders>
            <w:shd w:val="clear" w:color="auto" w:fill="auto"/>
            <w:vAlign w:val="center"/>
            <w:hideMark/>
          </w:tcPr>
          <w:p w14:paraId="667D8691" w14:textId="77777777" w:rsidR="00572F25" w:rsidRPr="0014502E" w:rsidRDefault="00572F25" w:rsidP="00140544">
            <w:pPr>
              <w:spacing w:after="0"/>
              <w:rPr>
                <w:rFonts w:cs="Arial"/>
                <w:i/>
                <w:iCs/>
                <w:sz w:val="18"/>
                <w:szCs w:val="18"/>
              </w:rPr>
            </w:pPr>
            <w:r w:rsidRPr="0014502E">
              <w:rPr>
                <w:rFonts w:cs="Arial"/>
                <w:i/>
                <w:iCs/>
                <w:sz w:val="18"/>
                <w:szCs w:val="18"/>
              </w:rPr>
              <w:t>98.2</w:t>
            </w:r>
          </w:p>
        </w:tc>
        <w:tc>
          <w:tcPr>
            <w:tcW w:w="974" w:type="dxa"/>
            <w:tcBorders>
              <w:top w:val="nil"/>
              <w:left w:val="nil"/>
              <w:bottom w:val="nil"/>
              <w:right w:val="dashed" w:sz="8" w:space="0" w:color="6DB2AD"/>
            </w:tcBorders>
            <w:shd w:val="clear" w:color="auto" w:fill="auto"/>
            <w:noWrap/>
            <w:vAlign w:val="center"/>
            <w:hideMark/>
          </w:tcPr>
          <w:p w14:paraId="78A05B9D" w14:textId="77777777" w:rsidR="00572F25" w:rsidRPr="0014502E" w:rsidRDefault="00572F25" w:rsidP="00140544">
            <w:pPr>
              <w:spacing w:after="0"/>
              <w:jc w:val="right"/>
              <w:rPr>
                <w:rFonts w:cs="Arial"/>
                <w:i/>
                <w:iCs/>
                <w:sz w:val="18"/>
                <w:szCs w:val="18"/>
              </w:rPr>
            </w:pPr>
            <w:r w:rsidRPr="0014502E">
              <w:rPr>
                <w:rFonts w:cs="Arial"/>
                <w:i/>
                <w:iCs/>
                <w:sz w:val="18"/>
                <w:szCs w:val="18"/>
              </w:rPr>
              <w:t>23</w:t>
            </w:r>
          </w:p>
        </w:tc>
        <w:tc>
          <w:tcPr>
            <w:tcW w:w="974" w:type="dxa"/>
            <w:tcBorders>
              <w:top w:val="nil"/>
              <w:left w:val="nil"/>
              <w:bottom w:val="nil"/>
              <w:right w:val="nil"/>
            </w:tcBorders>
            <w:shd w:val="clear" w:color="auto" w:fill="auto"/>
            <w:vAlign w:val="center"/>
            <w:hideMark/>
          </w:tcPr>
          <w:p w14:paraId="3AE7884D" w14:textId="77777777" w:rsidR="00572F25" w:rsidRPr="0014502E" w:rsidRDefault="00572F25" w:rsidP="00140544">
            <w:pPr>
              <w:spacing w:after="0"/>
              <w:rPr>
                <w:rFonts w:cs="Arial"/>
                <w:i/>
                <w:iCs/>
                <w:sz w:val="18"/>
                <w:szCs w:val="18"/>
              </w:rPr>
            </w:pPr>
            <w:r w:rsidRPr="0014502E">
              <w:rPr>
                <w:rFonts w:cs="Arial"/>
                <w:i/>
                <w:iCs/>
                <w:sz w:val="18"/>
                <w:szCs w:val="18"/>
              </w:rPr>
              <w:t>0.4</w:t>
            </w:r>
          </w:p>
        </w:tc>
        <w:tc>
          <w:tcPr>
            <w:tcW w:w="974" w:type="dxa"/>
            <w:tcBorders>
              <w:top w:val="nil"/>
              <w:left w:val="nil"/>
              <w:bottom w:val="nil"/>
              <w:right w:val="dashed" w:sz="8" w:space="0" w:color="6DB2AD"/>
            </w:tcBorders>
            <w:shd w:val="clear" w:color="auto" w:fill="auto"/>
            <w:noWrap/>
            <w:vAlign w:val="center"/>
            <w:hideMark/>
          </w:tcPr>
          <w:p w14:paraId="5F64CBF6" w14:textId="77777777" w:rsidR="00572F25" w:rsidRPr="0014502E" w:rsidRDefault="00572F25" w:rsidP="00140544">
            <w:pPr>
              <w:spacing w:after="0"/>
              <w:jc w:val="right"/>
              <w:rPr>
                <w:rFonts w:cs="Arial"/>
                <w:i/>
                <w:iCs/>
                <w:sz w:val="18"/>
                <w:szCs w:val="18"/>
              </w:rPr>
            </w:pPr>
            <w:r w:rsidRPr="0014502E">
              <w:rPr>
                <w:rFonts w:cs="Arial"/>
                <w:i/>
                <w:iCs/>
                <w:sz w:val="18"/>
                <w:szCs w:val="18"/>
              </w:rPr>
              <w:t>83</w:t>
            </w:r>
          </w:p>
        </w:tc>
        <w:tc>
          <w:tcPr>
            <w:tcW w:w="974" w:type="dxa"/>
            <w:tcBorders>
              <w:top w:val="nil"/>
              <w:left w:val="nil"/>
              <w:bottom w:val="nil"/>
              <w:right w:val="single" w:sz="8" w:space="0" w:color="auto"/>
            </w:tcBorders>
            <w:shd w:val="clear" w:color="auto" w:fill="auto"/>
            <w:vAlign w:val="center"/>
            <w:hideMark/>
          </w:tcPr>
          <w:p w14:paraId="38F17BFA" w14:textId="77777777" w:rsidR="00572F25" w:rsidRPr="0014502E" w:rsidRDefault="00572F25" w:rsidP="00140544">
            <w:pPr>
              <w:spacing w:after="0"/>
              <w:rPr>
                <w:rFonts w:cs="Arial"/>
                <w:i/>
                <w:iCs/>
                <w:sz w:val="18"/>
                <w:szCs w:val="18"/>
              </w:rPr>
            </w:pPr>
            <w:r w:rsidRPr="0014502E">
              <w:rPr>
                <w:rFonts w:cs="Arial"/>
                <w:i/>
                <w:iCs/>
                <w:sz w:val="18"/>
                <w:szCs w:val="18"/>
              </w:rPr>
              <w:t>1.4</w:t>
            </w:r>
          </w:p>
        </w:tc>
      </w:tr>
      <w:tr w:rsidR="00572F25" w:rsidRPr="00A674B2" w14:paraId="4E637B74" w14:textId="77777777" w:rsidTr="00140544">
        <w:trPr>
          <w:trHeight w:val="360"/>
        </w:trPr>
        <w:tc>
          <w:tcPr>
            <w:tcW w:w="2552" w:type="dxa"/>
            <w:tcBorders>
              <w:top w:val="nil"/>
              <w:left w:val="single" w:sz="8" w:space="0" w:color="auto"/>
              <w:bottom w:val="nil"/>
              <w:right w:val="nil"/>
            </w:tcBorders>
            <w:shd w:val="clear" w:color="000000" w:fill="FFFFFF"/>
            <w:vAlign w:val="center"/>
            <w:hideMark/>
          </w:tcPr>
          <w:p w14:paraId="35685712" w14:textId="77777777" w:rsidR="00572F25" w:rsidRPr="00822F5E" w:rsidRDefault="00572F25" w:rsidP="00140544">
            <w:pPr>
              <w:spacing w:after="0"/>
              <w:ind w:firstLineChars="100" w:firstLine="180"/>
              <w:rPr>
                <w:rFonts w:cs="Arial"/>
                <w:sz w:val="18"/>
                <w:szCs w:val="18"/>
              </w:rPr>
            </w:pPr>
            <w:r w:rsidRPr="00822F5E">
              <w:rPr>
                <w:rFonts w:cs="Arial"/>
                <w:sz w:val="18"/>
                <w:szCs w:val="18"/>
              </w:rPr>
              <w:t>Not assessable</w:t>
            </w:r>
          </w:p>
        </w:tc>
        <w:tc>
          <w:tcPr>
            <w:tcW w:w="992" w:type="dxa"/>
            <w:tcBorders>
              <w:top w:val="nil"/>
              <w:left w:val="nil"/>
              <w:bottom w:val="nil"/>
              <w:right w:val="nil"/>
            </w:tcBorders>
            <w:shd w:val="clear" w:color="000000" w:fill="FFFFFF"/>
            <w:noWrap/>
            <w:vAlign w:val="center"/>
            <w:hideMark/>
          </w:tcPr>
          <w:p w14:paraId="7EE1123F" w14:textId="77777777" w:rsidR="00572F25" w:rsidRPr="00822F5E" w:rsidRDefault="00572F25" w:rsidP="00140544">
            <w:pPr>
              <w:spacing w:after="0"/>
              <w:jc w:val="center"/>
              <w:rPr>
                <w:rFonts w:cs="Arial"/>
                <w:sz w:val="18"/>
                <w:szCs w:val="18"/>
              </w:rPr>
            </w:pPr>
            <w:r w:rsidRPr="00822F5E">
              <w:rPr>
                <w:rFonts w:cs="Arial"/>
                <w:sz w:val="18"/>
                <w:szCs w:val="18"/>
              </w:rPr>
              <w:t>310</w:t>
            </w:r>
          </w:p>
        </w:tc>
        <w:tc>
          <w:tcPr>
            <w:tcW w:w="973" w:type="dxa"/>
            <w:tcBorders>
              <w:top w:val="nil"/>
              <w:left w:val="nil"/>
              <w:bottom w:val="nil"/>
              <w:right w:val="dashed" w:sz="8" w:space="0" w:color="6DB2AD"/>
            </w:tcBorders>
            <w:shd w:val="clear" w:color="000000" w:fill="FFFFFF"/>
            <w:noWrap/>
            <w:vAlign w:val="center"/>
            <w:hideMark/>
          </w:tcPr>
          <w:p w14:paraId="1B85EA62" w14:textId="77777777" w:rsidR="00572F25" w:rsidRPr="00822F5E" w:rsidRDefault="00572F25" w:rsidP="00140544">
            <w:pPr>
              <w:spacing w:after="0"/>
              <w:jc w:val="right"/>
              <w:rPr>
                <w:rFonts w:cs="Arial"/>
                <w:sz w:val="18"/>
                <w:szCs w:val="18"/>
              </w:rPr>
            </w:pPr>
            <w:r w:rsidRPr="00822F5E">
              <w:rPr>
                <w:rFonts w:cs="Arial"/>
                <w:sz w:val="18"/>
                <w:szCs w:val="18"/>
              </w:rPr>
              <w:t>–</w:t>
            </w:r>
          </w:p>
        </w:tc>
        <w:tc>
          <w:tcPr>
            <w:tcW w:w="974" w:type="dxa"/>
            <w:tcBorders>
              <w:top w:val="nil"/>
              <w:left w:val="nil"/>
              <w:bottom w:val="nil"/>
              <w:right w:val="nil"/>
            </w:tcBorders>
            <w:shd w:val="clear" w:color="000000" w:fill="FFFFFF"/>
            <w:vAlign w:val="center"/>
            <w:hideMark/>
          </w:tcPr>
          <w:p w14:paraId="7B7D6FDD" w14:textId="77777777" w:rsidR="00572F25" w:rsidRPr="00822F5E" w:rsidRDefault="00572F25" w:rsidP="00140544">
            <w:pPr>
              <w:spacing w:after="0"/>
              <w:rPr>
                <w:rFonts w:cs="Arial"/>
                <w:sz w:val="18"/>
                <w:szCs w:val="18"/>
              </w:rPr>
            </w:pPr>
            <w:r w:rsidRPr="00822F5E">
              <w:rPr>
                <w:rFonts w:cs="Arial"/>
                <w:sz w:val="18"/>
                <w:szCs w:val="18"/>
              </w:rPr>
              <w:t>–</w:t>
            </w:r>
          </w:p>
        </w:tc>
        <w:tc>
          <w:tcPr>
            <w:tcW w:w="974" w:type="dxa"/>
            <w:tcBorders>
              <w:top w:val="nil"/>
              <w:left w:val="nil"/>
              <w:bottom w:val="nil"/>
              <w:right w:val="dashed" w:sz="8" w:space="0" w:color="6DB2AD"/>
            </w:tcBorders>
            <w:shd w:val="clear" w:color="000000" w:fill="FFFFFF"/>
            <w:noWrap/>
            <w:vAlign w:val="center"/>
            <w:hideMark/>
          </w:tcPr>
          <w:p w14:paraId="16396F51" w14:textId="77777777" w:rsidR="00572F25" w:rsidRPr="00822F5E" w:rsidRDefault="00572F25" w:rsidP="00140544">
            <w:pPr>
              <w:spacing w:after="0"/>
              <w:jc w:val="right"/>
              <w:rPr>
                <w:rFonts w:cs="Arial"/>
                <w:sz w:val="18"/>
                <w:szCs w:val="18"/>
              </w:rPr>
            </w:pPr>
            <w:r w:rsidRPr="00822F5E">
              <w:rPr>
                <w:rFonts w:cs="Arial"/>
                <w:sz w:val="18"/>
                <w:szCs w:val="18"/>
              </w:rPr>
              <w:t>–</w:t>
            </w:r>
          </w:p>
        </w:tc>
        <w:tc>
          <w:tcPr>
            <w:tcW w:w="974" w:type="dxa"/>
            <w:tcBorders>
              <w:top w:val="nil"/>
              <w:left w:val="nil"/>
              <w:bottom w:val="nil"/>
              <w:right w:val="nil"/>
            </w:tcBorders>
            <w:shd w:val="clear" w:color="000000" w:fill="FFFFFF"/>
            <w:vAlign w:val="center"/>
            <w:hideMark/>
          </w:tcPr>
          <w:p w14:paraId="34703DFC" w14:textId="77777777" w:rsidR="00572F25" w:rsidRPr="00822F5E" w:rsidRDefault="00572F25" w:rsidP="00140544">
            <w:pPr>
              <w:spacing w:after="0"/>
              <w:rPr>
                <w:rFonts w:cs="Arial"/>
                <w:sz w:val="18"/>
                <w:szCs w:val="18"/>
              </w:rPr>
            </w:pPr>
            <w:r w:rsidRPr="00822F5E">
              <w:rPr>
                <w:rFonts w:cs="Arial"/>
                <w:sz w:val="18"/>
                <w:szCs w:val="18"/>
              </w:rPr>
              <w:t>–</w:t>
            </w:r>
          </w:p>
        </w:tc>
        <w:tc>
          <w:tcPr>
            <w:tcW w:w="974" w:type="dxa"/>
            <w:tcBorders>
              <w:top w:val="nil"/>
              <w:left w:val="nil"/>
              <w:bottom w:val="nil"/>
              <w:right w:val="dashed" w:sz="8" w:space="0" w:color="6DB2AD"/>
            </w:tcBorders>
            <w:shd w:val="clear" w:color="000000" w:fill="FFFFFF"/>
            <w:noWrap/>
            <w:vAlign w:val="center"/>
            <w:hideMark/>
          </w:tcPr>
          <w:p w14:paraId="5106B1EE" w14:textId="77777777" w:rsidR="00572F25" w:rsidRPr="00822F5E" w:rsidRDefault="00572F25" w:rsidP="00140544">
            <w:pPr>
              <w:spacing w:after="0"/>
              <w:jc w:val="right"/>
              <w:rPr>
                <w:rFonts w:cs="Arial"/>
                <w:sz w:val="18"/>
                <w:szCs w:val="18"/>
              </w:rPr>
            </w:pPr>
            <w:r w:rsidRPr="00822F5E">
              <w:rPr>
                <w:rFonts w:cs="Arial"/>
                <w:sz w:val="18"/>
                <w:szCs w:val="18"/>
              </w:rPr>
              <w:t>310</w:t>
            </w:r>
          </w:p>
        </w:tc>
        <w:tc>
          <w:tcPr>
            <w:tcW w:w="974" w:type="dxa"/>
            <w:tcBorders>
              <w:top w:val="nil"/>
              <w:left w:val="nil"/>
              <w:bottom w:val="nil"/>
              <w:right w:val="single" w:sz="8" w:space="0" w:color="auto"/>
            </w:tcBorders>
            <w:shd w:val="clear" w:color="000000" w:fill="FFFFFF"/>
            <w:vAlign w:val="center"/>
            <w:hideMark/>
          </w:tcPr>
          <w:p w14:paraId="08E4D8F2" w14:textId="77777777" w:rsidR="00572F25" w:rsidRPr="00822F5E" w:rsidRDefault="00572F25" w:rsidP="00140544">
            <w:pPr>
              <w:spacing w:after="0"/>
              <w:rPr>
                <w:rFonts w:cs="Arial"/>
                <w:sz w:val="18"/>
                <w:szCs w:val="18"/>
              </w:rPr>
            </w:pPr>
            <w:r w:rsidRPr="00822F5E">
              <w:rPr>
                <w:rFonts w:cs="Arial"/>
                <w:sz w:val="18"/>
                <w:szCs w:val="18"/>
              </w:rPr>
              <w:t>100</w:t>
            </w:r>
          </w:p>
        </w:tc>
      </w:tr>
      <w:tr w:rsidR="00572F25" w:rsidRPr="00A674B2" w14:paraId="2456B10C" w14:textId="77777777" w:rsidTr="00140544">
        <w:trPr>
          <w:trHeight w:val="360"/>
        </w:trPr>
        <w:tc>
          <w:tcPr>
            <w:tcW w:w="2552" w:type="dxa"/>
            <w:tcBorders>
              <w:top w:val="nil"/>
              <w:left w:val="single" w:sz="8" w:space="0" w:color="auto"/>
              <w:bottom w:val="nil"/>
              <w:right w:val="nil"/>
            </w:tcBorders>
            <w:shd w:val="clear" w:color="000000" w:fill="FFFFFF"/>
            <w:vAlign w:val="center"/>
            <w:hideMark/>
          </w:tcPr>
          <w:p w14:paraId="5983EC2D" w14:textId="77777777" w:rsidR="00572F25" w:rsidRPr="00822F5E" w:rsidRDefault="00572F25" w:rsidP="00140544">
            <w:pPr>
              <w:spacing w:after="0"/>
              <w:ind w:firstLineChars="100" w:firstLine="180"/>
              <w:rPr>
                <w:rFonts w:cs="Arial"/>
                <w:sz w:val="18"/>
                <w:szCs w:val="18"/>
              </w:rPr>
            </w:pPr>
            <w:r w:rsidRPr="00822F5E">
              <w:rPr>
                <w:rFonts w:cs="Arial"/>
                <w:sz w:val="18"/>
                <w:szCs w:val="18"/>
              </w:rPr>
              <w:t> </w:t>
            </w:r>
          </w:p>
        </w:tc>
        <w:tc>
          <w:tcPr>
            <w:tcW w:w="992" w:type="dxa"/>
            <w:tcBorders>
              <w:top w:val="nil"/>
              <w:left w:val="nil"/>
              <w:bottom w:val="nil"/>
              <w:right w:val="nil"/>
            </w:tcBorders>
            <w:shd w:val="clear" w:color="000000" w:fill="FFFFFF"/>
            <w:noWrap/>
            <w:vAlign w:val="center"/>
            <w:hideMark/>
          </w:tcPr>
          <w:p w14:paraId="35086ECA" w14:textId="77777777" w:rsidR="00572F25" w:rsidRPr="00822F5E" w:rsidRDefault="00572F25" w:rsidP="00140544">
            <w:pPr>
              <w:spacing w:after="0"/>
              <w:jc w:val="center"/>
              <w:rPr>
                <w:rFonts w:cs="Arial"/>
                <w:sz w:val="18"/>
                <w:szCs w:val="18"/>
              </w:rPr>
            </w:pPr>
            <w:r w:rsidRPr="00822F5E">
              <w:rPr>
                <w:rFonts w:cs="Arial"/>
                <w:sz w:val="18"/>
                <w:szCs w:val="18"/>
              </w:rPr>
              <w:t> </w:t>
            </w:r>
          </w:p>
        </w:tc>
        <w:tc>
          <w:tcPr>
            <w:tcW w:w="973" w:type="dxa"/>
            <w:tcBorders>
              <w:top w:val="nil"/>
              <w:left w:val="nil"/>
              <w:bottom w:val="nil"/>
              <w:right w:val="nil"/>
            </w:tcBorders>
            <w:shd w:val="clear" w:color="000000" w:fill="FFFFFF"/>
            <w:noWrap/>
            <w:vAlign w:val="center"/>
            <w:hideMark/>
          </w:tcPr>
          <w:p w14:paraId="1F8EF933" w14:textId="77777777" w:rsidR="00572F25" w:rsidRPr="00822F5E" w:rsidRDefault="00572F25" w:rsidP="00140544">
            <w:pPr>
              <w:spacing w:after="0"/>
              <w:jc w:val="right"/>
              <w:rPr>
                <w:rFonts w:cs="Arial"/>
                <w:sz w:val="18"/>
                <w:szCs w:val="18"/>
              </w:rPr>
            </w:pPr>
            <w:r w:rsidRPr="00822F5E">
              <w:rPr>
                <w:rFonts w:cs="Arial"/>
                <w:sz w:val="18"/>
                <w:szCs w:val="18"/>
              </w:rPr>
              <w:t> </w:t>
            </w:r>
          </w:p>
        </w:tc>
        <w:tc>
          <w:tcPr>
            <w:tcW w:w="974" w:type="dxa"/>
            <w:tcBorders>
              <w:top w:val="nil"/>
              <w:left w:val="nil"/>
              <w:bottom w:val="nil"/>
              <w:right w:val="nil"/>
            </w:tcBorders>
            <w:shd w:val="clear" w:color="000000" w:fill="FFFFFF"/>
            <w:vAlign w:val="center"/>
            <w:hideMark/>
          </w:tcPr>
          <w:p w14:paraId="4AFAEDBF" w14:textId="77777777" w:rsidR="00572F25" w:rsidRPr="00822F5E" w:rsidRDefault="00572F25" w:rsidP="00140544">
            <w:pPr>
              <w:spacing w:after="0"/>
              <w:rPr>
                <w:rFonts w:cs="Arial"/>
                <w:sz w:val="18"/>
                <w:szCs w:val="18"/>
              </w:rPr>
            </w:pPr>
            <w:r w:rsidRPr="00822F5E">
              <w:rPr>
                <w:rFonts w:cs="Arial"/>
                <w:sz w:val="18"/>
                <w:szCs w:val="18"/>
              </w:rPr>
              <w:t> </w:t>
            </w:r>
          </w:p>
        </w:tc>
        <w:tc>
          <w:tcPr>
            <w:tcW w:w="974" w:type="dxa"/>
            <w:tcBorders>
              <w:top w:val="nil"/>
              <w:left w:val="nil"/>
              <w:bottom w:val="nil"/>
              <w:right w:val="nil"/>
            </w:tcBorders>
            <w:shd w:val="clear" w:color="000000" w:fill="FFFFFF"/>
            <w:noWrap/>
            <w:vAlign w:val="center"/>
            <w:hideMark/>
          </w:tcPr>
          <w:p w14:paraId="177F9886" w14:textId="77777777" w:rsidR="00572F25" w:rsidRPr="00822F5E" w:rsidRDefault="00572F25" w:rsidP="00140544">
            <w:pPr>
              <w:spacing w:after="0"/>
              <w:jc w:val="right"/>
              <w:rPr>
                <w:rFonts w:cs="Arial"/>
                <w:sz w:val="18"/>
                <w:szCs w:val="18"/>
              </w:rPr>
            </w:pPr>
            <w:r w:rsidRPr="00822F5E">
              <w:rPr>
                <w:rFonts w:cs="Arial"/>
                <w:sz w:val="18"/>
                <w:szCs w:val="18"/>
              </w:rPr>
              <w:t> </w:t>
            </w:r>
          </w:p>
        </w:tc>
        <w:tc>
          <w:tcPr>
            <w:tcW w:w="974" w:type="dxa"/>
            <w:tcBorders>
              <w:top w:val="nil"/>
              <w:left w:val="nil"/>
              <w:bottom w:val="nil"/>
              <w:right w:val="nil"/>
            </w:tcBorders>
            <w:shd w:val="clear" w:color="000000" w:fill="FFFFFF"/>
            <w:vAlign w:val="center"/>
            <w:hideMark/>
          </w:tcPr>
          <w:p w14:paraId="150B01E2" w14:textId="77777777" w:rsidR="00572F25" w:rsidRPr="00822F5E" w:rsidRDefault="00572F25" w:rsidP="00140544">
            <w:pPr>
              <w:spacing w:after="0"/>
              <w:rPr>
                <w:rFonts w:cs="Arial"/>
                <w:sz w:val="18"/>
                <w:szCs w:val="18"/>
              </w:rPr>
            </w:pPr>
            <w:r w:rsidRPr="00822F5E">
              <w:rPr>
                <w:rFonts w:cs="Arial"/>
                <w:sz w:val="18"/>
                <w:szCs w:val="18"/>
              </w:rPr>
              <w:t> </w:t>
            </w:r>
          </w:p>
        </w:tc>
        <w:tc>
          <w:tcPr>
            <w:tcW w:w="974" w:type="dxa"/>
            <w:tcBorders>
              <w:top w:val="nil"/>
              <w:left w:val="nil"/>
              <w:bottom w:val="nil"/>
              <w:right w:val="nil"/>
            </w:tcBorders>
            <w:shd w:val="clear" w:color="000000" w:fill="FFFFFF"/>
            <w:noWrap/>
            <w:vAlign w:val="center"/>
            <w:hideMark/>
          </w:tcPr>
          <w:p w14:paraId="6253ED3A" w14:textId="77777777" w:rsidR="00572F25" w:rsidRPr="00822F5E" w:rsidRDefault="00572F25" w:rsidP="00140544">
            <w:pPr>
              <w:spacing w:after="0"/>
              <w:jc w:val="right"/>
              <w:rPr>
                <w:rFonts w:cs="Arial"/>
                <w:sz w:val="18"/>
                <w:szCs w:val="18"/>
              </w:rPr>
            </w:pPr>
            <w:r w:rsidRPr="00822F5E">
              <w:rPr>
                <w:rFonts w:cs="Arial"/>
                <w:sz w:val="18"/>
                <w:szCs w:val="18"/>
              </w:rPr>
              <w:t> </w:t>
            </w:r>
          </w:p>
        </w:tc>
        <w:tc>
          <w:tcPr>
            <w:tcW w:w="974" w:type="dxa"/>
            <w:tcBorders>
              <w:top w:val="nil"/>
              <w:left w:val="nil"/>
              <w:bottom w:val="nil"/>
              <w:right w:val="single" w:sz="8" w:space="0" w:color="auto"/>
            </w:tcBorders>
            <w:shd w:val="clear" w:color="000000" w:fill="FFFFFF"/>
            <w:vAlign w:val="center"/>
            <w:hideMark/>
          </w:tcPr>
          <w:p w14:paraId="48C0B7C4" w14:textId="77777777" w:rsidR="00572F25" w:rsidRPr="00822F5E" w:rsidRDefault="00572F25" w:rsidP="00140544">
            <w:pPr>
              <w:spacing w:after="0"/>
              <w:rPr>
                <w:rFonts w:cs="Arial"/>
                <w:sz w:val="18"/>
                <w:szCs w:val="18"/>
              </w:rPr>
            </w:pPr>
            <w:r w:rsidRPr="00822F5E">
              <w:rPr>
                <w:rFonts w:cs="Arial"/>
                <w:sz w:val="18"/>
                <w:szCs w:val="18"/>
              </w:rPr>
              <w:t> </w:t>
            </w:r>
          </w:p>
        </w:tc>
      </w:tr>
      <w:tr w:rsidR="00572F25" w:rsidRPr="00A674B2" w14:paraId="04BBD309" w14:textId="77777777" w:rsidTr="00140544">
        <w:trPr>
          <w:trHeight w:val="360"/>
        </w:trPr>
        <w:tc>
          <w:tcPr>
            <w:tcW w:w="2552" w:type="dxa"/>
            <w:tcBorders>
              <w:top w:val="nil"/>
              <w:left w:val="single" w:sz="8" w:space="0" w:color="auto"/>
              <w:bottom w:val="nil"/>
              <w:right w:val="nil"/>
            </w:tcBorders>
            <w:shd w:val="clear" w:color="000000" w:fill="E4E4E5"/>
            <w:vAlign w:val="center"/>
            <w:hideMark/>
          </w:tcPr>
          <w:p w14:paraId="2CD2E0D8" w14:textId="77777777" w:rsidR="00572F25" w:rsidRPr="000B5A43" w:rsidRDefault="00572F25" w:rsidP="00140544">
            <w:pPr>
              <w:spacing w:after="0"/>
              <w:rPr>
                <w:rFonts w:cs="Arial"/>
                <w:color w:val="2F5B57"/>
                <w:sz w:val="20"/>
                <w:szCs w:val="20"/>
              </w:rPr>
            </w:pPr>
            <w:r w:rsidRPr="000B5A43">
              <w:rPr>
                <w:rFonts w:cs="Arial"/>
                <w:color w:val="2F5B57"/>
                <w:sz w:val="20"/>
                <w:szCs w:val="20"/>
              </w:rPr>
              <w:t>Antimicrobial prescriptions</w:t>
            </w:r>
          </w:p>
        </w:tc>
        <w:tc>
          <w:tcPr>
            <w:tcW w:w="992" w:type="dxa"/>
            <w:tcBorders>
              <w:top w:val="nil"/>
              <w:left w:val="nil"/>
              <w:bottom w:val="nil"/>
              <w:right w:val="nil"/>
            </w:tcBorders>
            <w:shd w:val="clear" w:color="000000" w:fill="E4E4E5"/>
            <w:vAlign w:val="center"/>
            <w:hideMark/>
          </w:tcPr>
          <w:p w14:paraId="31087CE3" w14:textId="77777777" w:rsidR="00572F25" w:rsidRPr="000B5A43" w:rsidRDefault="00572F25" w:rsidP="00140544">
            <w:pPr>
              <w:spacing w:after="0"/>
              <w:jc w:val="center"/>
              <w:rPr>
                <w:rFonts w:cs="Arial"/>
                <w:color w:val="2F5B57"/>
                <w:sz w:val="20"/>
                <w:szCs w:val="20"/>
              </w:rPr>
            </w:pPr>
            <w:r w:rsidRPr="000B5A43">
              <w:rPr>
                <w:rFonts w:cs="Arial"/>
                <w:color w:val="2F5B57"/>
                <w:sz w:val="20"/>
                <w:szCs w:val="20"/>
              </w:rPr>
              <w:t>4,715</w:t>
            </w:r>
          </w:p>
        </w:tc>
        <w:tc>
          <w:tcPr>
            <w:tcW w:w="973" w:type="dxa"/>
            <w:tcBorders>
              <w:top w:val="nil"/>
              <w:left w:val="nil"/>
              <w:bottom w:val="nil"/>
              <w:right w:val="dashed" w:sz="8" w:space="0" w:color="6DB2AD"/>
            </w:tcBorders>
            <w:shd w:val="clear" w:color="000000" w:fill="E4E4E5"/>
            <w:vAlign w:val="center"/>
            <w:hideMark/>
          </w:tcPr>
          <w:p w14:paraId="2DABCFB5" w14:textId="77777777" w:rsidR="00572F25" w:rsidRPr="000B5A43" w:rsidRDefault="00572F25" w:rsidP="00140544">
            <w:pPr>
              <w:spacing w:after="0"/>
              <w:jc w:val="right"/>
              <w:rPr>
                <w:rFonts w:cs="Arial"/>
                <w:color w:val="2F5B57"/>
                <w:sz w:val="20"/>
                <w:szCs w:val="20"/>
              </w:rPr>
            </w:pPr>
            <w:r w:rsidRPr="000B5A43">
              <w:rPr>
                <w:rFonts w:cs="Arial"/>
                <w:color w:val="2F5B57"/>
                <w:sz w:val="20"/>
                <w:szCs w:val="20"/>
              </w:rPr>
              <w:t>1,748</w:t>
            </w:r>
          </w:p>
        </w:tc>
        <w:tc>
          <w:tcPr>
            <w:tcW w:w="974" w:type="dxa"/>
            <w:tcBorders>
              <w:top w:val="nil"/>
              <w:left w:val="nil"/>
              <w:bottom w:val="nil"/>
              <w:right w:val="nil"/>
            </w:tcBorders>
            <w:shd w:val="clear" w:color="000000" w:fill="E4E4E5"/>
            <w:vAlign w:val="center"/>
            <w:hideMark/>
          </w:tcPr>
          <w:p w14:paraId="334C11EB" w14:textId="77777777" w:rsidR="00572F25" w:rsidRPr="000B5A43" w:rsidRDefault="00572F25" w:rsidP="00140544">
            <w:pPr>
              <w:spacing w:after="0"/>
              <w:rPr>
                <w:rFonts w:cs="Arial"/>
                <w:color w:val="2F5B57"/>
                <w:sz w:val="20"/>
                <w:szCs w:val="20"/>
              </w:rPr>
            </w:pPr>
            <w:r w:rsidRPr="000B5A43">
              <w:rPr>
                <w:rFonts w:cs="Arial"/>
                <w:color w:val="2F5B57"/>
                <w:sz w:val="20"/>
                <w:szCs w:val="20"/>
              </w:rPr>
              <w:t>37.1</w:t>
            </w:r>
          </w:p>
        </w:tc>
        <w:tc>
          <w:tcPr>
            <w:tcW w:w="974" w:type="dxa"/>
            <w:tcBorders>
              <w:top w:val="nil"/>
              <w:left w:val="nil"/>
              <w:bottom w:val="nil"/>
              <w:right w:val="dashed" w:sz="8" w:space="0" w:color="6DB2AD"/>
            </w:tcBorders>
            <w:shd w:val="clear" w:color="000000" w:fill="E4E4E5"/>
            <w:vAlign w:val="center"/>
            <w:hideMark/>
          </w:tcPr>
          <w:p w14:paraId="085842EF" w14:textId="77777777" w:rsidR="00572F25" w:rsidRPr="000B5A43" w:rsidRDefault="00572F25" w:rsidP="00140544">
            <w:pPr>
              <w:spacing w:after="0"/>
              <w:jc w:val="right"/>
              <w:rPr>
                <w:rFonts w:cs="Arial"/>
                <w:color w:val="2F5B57"/>
                <w:sz w:val="20"/>
                <w:szCs w:val="20"/>
              </w:rPr>
            </w:pPr>
            <w:r w:rsidRPr="000B5A43">
              <w:rPr>
                <w:rFonts w:cs="Arial"/>
                <w:color w:val="2F5B57"/>
                <w:sz w:val="20"/>
                <w:szCs w:val="20"/>
              </w:rPr>
              <w:t>2,904</w:t>
            </w:r>
          </w:p>
        </w:tc>
        <w:tc>
          <w:tcPr>
            <w:tcW w:w="974" w:type="dxa"/>
            <w:tcBorders>
              <w:top w:val="nil"/>
              <w:left w:val="nil"/>
              <w:bottom w:val="nil"/>
              <w:right w:val="nil"/>
            </w:tcBorders>
            <w:shd w:val="clear" w:color="000000" w:fill="E4E4E5"/>
            <w:vAlign w:val="center"/>
            <w:hideMark/>
          </w:tcPr>
          <w:p w14:paraId="3D0C8724" w14:textId="77777777" w:rsidR="00572F25" w:rsidRPr="000B5A43" w:rsidRDefault="00572F25" w:rsidP="00140544">
            <w:pPr>
              <w:spacing w:after="0"/>
              <w:rPr>
                <w:rFonts w:cs="Arial"/>
                <w:color w:val="2F5B57"/>
                <w:sz w:val="20"/>
                <w:szCs w:val="20"/>
              </w:rPr>
            </w:pPr>
            <w:r w:rsidRPr="000B5A43">
              <w:rPr>
                <w:rFonts w:cs="Arial"/>
                <w:color w:val="2F5B57"/>
                <w:sz w:val="20"/>
                <w:szCs w:val="20"/>
              </w:rPr>
              <w:t>61.6</w:t>
            </w:r>
          </w:p>
        </w:tc>
        <w:tc>
          <w:tcPr>
            <w:tcW w:w="974" w:type="dxa"/>
            <w:tcBorders>
              <w:top w:val="nil"/>
              <w:left w:val="nil"/>
              <w:bottom w:val="nil"/>
              <w:right w:val="dashed" w:sz="8" w:space="0" w:color="6DB2AD"/>
            </w:tcBorders>
            <w:shd w:val="clear" w:color="000000" w:fill="E4E4E5"/>
            <w:vAlign w:val="center"/>
            <w:hideMark/>
          </w:tcPr>
          <w:p w14:paraId="24A95263" w14:textId="77777777" w:rsidR="00572F25" w:rsidRPr="000B5A43" w:rsidRDefault="00572F25" w:rsidP="00140544">
            <w:pPr>
              <w:spacing w:after="0"/>
              <w:jc w:val="right"/>
              <w:rPr>
                <w:rFonts w:cs="Arial"/>
                <w:color w:val="2F5B57"/>
                <w:sz w:val="20"/>
                <w:szCs w:val="20"/>
              </w:rPr>
            </w:pPr>
            <w:r w:rsidRPr="000B5A43">
              <w:rPr>
                <w:rFonts w:cs="Arial"/>
                <w:color w:val="2F5B57"/>
                <w:sz w:val="20"/>
                <w:szCs w:val="20"/>
              </w:rPr>
              <w:t>63</w:t>
            </w:r>
          </w:p>
        </w:tc>
        <w:tc>
          <w:tcPr>
            <w:tcW w:w="974" w:type="dxa"/>
            <w:tcBorders>
              <w:top w:val="nil"/>
              <w:left w:val="nil"/>
              <w:bottom w:val="nil"/>
              <w:right w:val="single" w:sz="8" w:space="0" w:color="auto"/>
            </w:tcBorders>
            <w:shd w:val="clear" w:color="000000" w:fill="E4E4E5"/>
            <w:vAlign w:val="center"/>
            <w:hideMark/>
          </w:tcPr>
          <w:p w14:paraId="0ECA5F6F" w14:textId="77777777" w:rsidR="00572F25" w:rsidRPr="000B5A43" w:rsidRDefault="00572F25" w:rsidP="00140544">
            <w:pPr>
              <w:spacing w:after="0"/>
              <w:rPr>
                <w:rFonts w:cs="Arial"/>
                <w:color w:val="2F5B57"/>
                <w:sz w:val="20"/>
                <w:szCs w:val="20"/>
              </w:rPr>
            </w:pPr>
            <w:r w:rsidRPr="000B5A43">
              <w:rPr>
                <w:rFonts w:cs="Arial"/>
                <w:color w:val="2F5B57"/>
                <w:sz w:val="20"/>
                <w:szCs w:val="20"/>
              </w:rPr>
              <w:t>1.3</w:t>
            </w:r>
          </w:p>
        </w:tc>
      </w:tr>
      <w:tr w:rsidR="00572F25" w:rsidRPr="00A674B2" w14:paraId="5A4516E7" w14:textId="77777777" w:rsidTr="00140544">
        <w:trPr>
          <w:trHeight w:val="360"/>
        </w:trPr>
        <w:tc>
          <w:tcPr>
            <w:tcW w:w="2552" w:type="dxa"/>
            <w:tcBorders>
              <w:top w:val="nil"/>
              <w:left w:val="single" w:sz="8" w:space="0" w:color="auto"/>
              <w:bottom w:val="nil"/>
              <w:right w:val="nil"/>
            </w:tcBorders>
            <w:shd w:val="clear" w:color="auto" w:fill="auto"/>
            <w:vAlign w:val="center"/>
            <w:hideMark/>
          </w:tcPr>
          <w:p w14:paraId="349BAC1B" w14:textId="77777777" w:rsidR="00572F25" w:rsidRPr="00822F5E" w:rsidRDefault="00572F25" w:rsidP="00140544">
            <w:pPr>
              <w:spacing w:after="0"/>
              <w:ind w:firstLineChars="100" w:firstLine="180"/>
              <w:rPr>
                <w:rFonts w:cs="Arial"/>
                <w:sz w:val="18"/>
                <w:szCs w:val="18"/>
              </w:rPr>
            </w:pPr>
            <w:r w:rsidRPr="00822F5E">
              <w:rPr>
                <w:rFonts w:cs="Arial"/>
                <w:sz w:val="18"/>
                <w:szCs w:val="18"/>
              </w:rPr>
              <w:t xml:space="preserve">Prophylaxis </w:t>
            </w:r>
          </w:p>
        </w:tc>
        <w:tc>
          <w:tcPr>
            <w:tcW w:w="992" w:type="dxa"/>
            <w:tcBorders>
              <w:top w:val="nil"/>
              <w:left w:val="nil"/>
              <w:bottom w:val="nil"/>
              <w:right w:val="nil"/>
            </w:tcBorders>
            <w:shd w:val="clear" w:color="auto" w:fill="auto"/>
            <w:noWrap/>
            <w:vAlign w:val="center"/>
            <w:hideMark/>
          </w:tcPr>
          <w:p w14:paraId="53264540" w14:textId="77777777" w:rsidR="00572F25" w:rsidRPr="00822F5E" w:rsidRDefault="00572F25" w:rsidP="00140544">
            <w:pPr>
              <w:spacing w:after="0"/>
              <w:jc w:val="center"/>
              <w:rPr>
                <w:rFonts w:cs="Arial"/>
                <w:sz w:val="18"/>
                <w:szCs w:val="18"/>
              </w:rPr>
            </w:pPr>
            <w:r w:rsidRPr="00822F5E">
              <w:rPr>
                <w:rFonts w:cs="Arial"/>
                <w:sz w:val="18"/>
                <w:szCs w:val="18"/>
              </w:rPr>
              <w:t>4,585</w:t>
            </w:r>
          </w:p>
        </w:tc>
        <w:tc>
          <w:tcPr>
            <w:tcW w:w="973" w:type="dxa"/>
            <w:tcBorders>
              <w:top w:val="nil"/>
              <w:left w:val="nil"/>
              <w:bottom w:val="nil"/>
              <w:right w:val="dashed" w:sz="8" w:space="0" w:color="6DB2AD"/>
            </w:tcBorders>
            <w:shd w:val="clear" w:color="auto" w:fill="auto"/>
            <w:noWrap/>
            <w:vAlign w:val="center"/>
            <w:hideMark/>
          </w:tcPr>
          <w:p w14:paraId="7E3B7FFD" w14:textId="77777777" w:rsidR="00572F25" w:rsidRPr="00822F5E" w:rsidRDefault="00572F25" w:rsidP="00140544">
            <w:pPr>
              <w:spacing w:after="0"/>
              <w:jc w:val="right"/>
              <w:rPr>
                <w:rFonts w:cs="Arial"/>
                <w:sz w:val="18"/>
                <w:szCs w:val="18"/>
              </w:rPr>
            </w:pPr>
            <w:r w:rsidRPr="00822F5E">
              <w:rPr>
                <w:rFonts w:cs="Arial"/>
                <w:sz w:val="18"/>
                <w:szCs w:val="18"/>
              </w:rPr>
              <w:t>1,790</w:t>
            </w:r>
          </w:p>
        </w:tc>
        <w:tc>
          <w:tcPr>
            <w:tcW w:w="974" w:type="dxa"/>
            <w:tcBorders>
              <w:top w:val="nil"/>
              <w:left w:val="nil"/>
              <w:bottom w:val="nil"/>
              <w:right w:val="nil"/>
            </w:tcBorders>
            <w:shd w:val="clear" w:color="auto" w:fill="auto"/>
            <w:vAlign w:val="center"/>
            <w:hideMark/>
          </w:tcPr>
          <w:p w14:paraId="4BAA01A6" w14:textId="77777777" w:rsidR="00572F25" w:rsidRPr="00822F5E" w:rsidRDefault="00572F25" w:rsidP="00140544">
            <w:pPr>
              <w:spacing w:after="0"/>
              <w:rPr>
                <w:rFonts w:cs="Arial"/>
                <w:sz w:val="18"/>
                <w:szCs w:val="18"/>
              </w:rPr>
            </w:pPr>
            <w:r w:rsidRPr="00822F5E">
              <w:rPr>
                <w:rFonts w:cs="Arial"/>
                <w:sz w:val="18"/>
                <w:szCs w:val="18"/>
              </w:rPr>
              <w:t>39.0</w:t>
            </w:r>
          </w:p>
        </w:tc>
        <w:tc>
          <w:tcPr>
            <w:tcW w:w="974" w:type="dxa"/>
            <w:tcBorders>
              <w:top w:val="nil"/>
              <w:left w:val="nil"/>
              <w:bottom w:val="nil"/>
              <w:right w:val="dashed" w:sz="8" w:space="0" w:color="6DB2AD"/>
            </w:tcBorders>
            <w:shd w:val="clear" w:color="auto" w:fill="auto"/>
            <w:noWrap/>
            <w:vAlign w:val="center"/>
            <w:hideMark/>
          </w:tcPr>
          <w:p w14:paraId="540E1725" w14:textId="77777777" w:rsidR="00572F25" w:rsidRPr="00822F5E" w:rsidRDefault="00572F25" w:rsidP="00140544">
            <w:pPr>
              <w:spacing w:after="0"/>
              <w:jc w:val="right"/>
              <w:rPr>
                <w:rFonts w:cs="Arial"/>
                <w:sz w:val="18"/>
                <w:szCs w:val="18"/>
              </w:rPr>
            </w:pPr>
            <w:r w:rsidRPr="00822F5E">
              <w:rPr>
                <w:rFonts w:cs="Arial"/>
                <w:sz w:val="18"/>
                <w:szCs w:val="18"/>
              </w:rPr>
              <w:t>2,739</w:t>
            </w:r>
          </w:p>
        </w:tc>
        <w:tc>
          <w:tcPr>
            <w:tcW w:w="974" w:type="dxa"/>
            <w:tcBorders>
              <w:top w:val="nil"/>
              <w:left w:val="nil"/>
              <w:bottom w:val="nil"/>
              <w:right w:val="nil"/>
            </w:tcBorders>
            <w:shd w:val="clear" w:color="auto" w:fill="auto"/>
            <w:vAlign w:val="center"/>
            <w:hideMark/>
          </w:tcPr>
          <w:p w14:paraId="3B9AB81D" w14:textId="77777777" w:rsidR="00572F25" w:rsidRPr="00822F5E" w:rsidRDefault="00572F25" w:rsidP="00140544">
            <w:pPr>
              <w:spacing w:after="0"/>
              <w:rPr>
                <w:rFonts w:cs="Arial"/>
                <w:sz w:val="18"/>
                <w:szCs w:val="18"/>
              </w:rPr>
            </w:pPr>
            <w:r w:rsidRPr="00822F5E">
              <w:rPr>
                <w:rFonts w:cs="Arial"/>
                <w:sz w:val="18"/>
                <w:szCs w:val="18"/>
              </w:rPr>
              <w:t>59.7</w:t>
            </w:r>
          </w:p>
        </w:tc>
        <w:tc>
          <w:tcPr>
            <w:tcW w:w="974" w:type="dxa"/>
            <w:tcBorders>
              <w:top w:val="nil"/>
              <w:left w:val="nil"/>
              <w:bottom w:val="nil"/>
              <w:right w:val="dashed" w:sz="8" w:space="0" w:color="6DB2AD"/>
            </w:tcBorders>
            <w:shd w:val="clear" w:color="auto" w:fill="auto"/>
            <w:noWrap/>
            <w:vAlign w:val="center"/>
            <w:hideMark/>
          </w:tcPr>
          <w:p w14:paraId="399609ED" w14:textId="77777777" w:rsidR="00572F25" w:rsidRPr="00822F5E" w:rsidRDefault="00572F25" w:rsidP="00140544">
            <w:pPr>
              <w:spacing w:after="0"/>
              <w:jc w:val="right"/>
              <w:rPr>
                <w:rFonts w:cs="Arial"/>
                <w:sz w:val="18"/>
                <w:szCs w:val="18"/>
              </w:rPr>
            </w:pPr>
            <w:r w:rsidRPr="00822F5E">
              <w:rPr>
                <w:rFonts w:cs="Arial"/>
                <w:sz w:val="18"/>
                <w:szCs w:val="18"/>
              </w:rPr>
              <w:t>56</w:t>
            </w:r>
          </w:p>
        </w:tc>
        <w:tc>
          <w:tcPr>
            <w:tcW w:w="974" w:type="dxa"/>
            <w:tcBorders>
              <w:top w:val="nil"/>
              <w:left w:val="nil"/>
              <w:bottom w:val="nil"/>
              <w:right w:val="single" w:sz="8" w:space="0" w:color="auto"/>
            </w:tcBorders>
            <w:shd w:val="clear" w:color="auto" w:fill="auto"/>
            <w:vAlign w:val="center"/>
            <w:hideMark/>
          </w:tcPr>
          <w:p w14:paraId="4C079753" w14:textId="77777777" w:rsidR="00572F25" w:rsidRPr="00822F5E" w:rsidRDefault="00572F25" w:rsidP="00140544">
            <w:pPr>
              <w:spacing w:after="0"/>
              <w:rPr>
                <w:rFonts w:cs="Arial"/>
                <w:sz w:val="18"/>
                <w:szCs w:val="18"/>
              </w:rPr>
            </w:pPr>
            <w:r w:rsidRPr="00822F5E">
              <w:rPr>
                <w:rFonts w:cs="Arial"/>
                <w:sz w:val="18"/>
                <w:szCs w:val="18"/>
              </w:rPr>
              <w:t>1.2</w:t>
            </w:r>
          </w:p>
        </w:tc>
      </w:tr>
      <w:tr w:rsidR="00572F25" w:rsidRPr="00A674B2" w14:paraId="5DD80B52" w14:textId="77777777" w:rsidTr="00140544">
        <w:trPr>
          <w:trHeight w:val="360"/>
        </w:trPr>
        <w:tc>
          <w:tcPr>
            <w:tcW w:w="2552" w:type="dxa"/>
            <w:tcBorders>
              <w:top w:val="nil"/>
              <w:left w:val="single" w:sz="8" w:space="0" w:color="auto"/>
              <w:bottom w:val="nil"/>
              <w:right w:val="nil"/>
            </w:tcBorders>
            <w:shd w:val="clear" w:color="auto" w:fill="auto"/>
            <w:vAlign w:val="center"/>
            <w:hideMark/>
          </w:tcPr>
          <w:p w14:paraId="278C8E43" w14:textId="77777777" w:rsidR="00572F25" w:rsidRPr="00822F5E" w:rsidRDefault="00572F25" w:rsidP="00140544">
            <w:pPr>
              <w:spacing w:after="0"/>
              <w:ind w:firstLineChars="200" w:firstLine="360"/>
              <w:rPr>
                <w:rFonts w:ascii="Wingdings 3" w:hAnsi="Wingdings 3" w:cs="Calibri"/>
                <w:sz w:val="18"/>
                <w:szCs w:val="18"/>
              </w:rPr>
            </w:pPr>
            <w:r w:rsidRPr="00822F5E">
              <w:rPr>
                <w:rFonts w:ascii="Wingdings 3" w:hAnsi="Wingdings 3" w:cs="Calibri"/>
                <w:sz w:val="18"/>
                <w:szCs w:val="18"/>
              </w:rPr>
              <w:t></w:t>
            </w:r>
            <w:r w:rsidRPr="00822F5E">
              <w:rPr>
                <w:rFonts w:cs="Arial"/>
                <w:i/>
                <w:iCs/>
                <w:sz w:val="18"/>
                <w:szCs w:val="18"/>
              </w:rPr>
              <w:t xml:space="preserve">   when required</w:t>
            </w:r>
          </w:p>
        </w:tc>
        <w:tc>
          <w:tcPr>
            <w:tcW w:w="992" w:type="dxa"/>
            <w:tcBorders>
              <w:top w:val="nil"/>
              <w:left w:val="nil"/>
              <w:bottom w:val="nil"/>
              <w:right w:val="nil"/>
            </w:tcBorders>
            <w:shd w:val="clear" w:color="auto" w:fill="auto"/>
            <w:noWrap/>
            <w:vAlign w:val="center"/>
            <w:hideMark/>
          </w:tcPr>
          <w:p w14:paraId="563A5ADC" w14:textId="77777777" w:rsidR="00572F25" w:rsidRPr="00822F5E" w:rsidRDefault="00572F25" w:rsidP="00140544">
            <w:pPr>
              <w:spacing w:after="0"/>
              <w:jc w:val="center"/>
              <w:rPr>
                <w:rFonts w:cs="Arial"/>
                <w:i/>
                <w:iCs/>
                <w:sz w:val="18"/>
                <w:szCs w:val="18"/>
              </w:rPr>
            </w:pPr>
            <w:r w:rsidRPr="00822F5E">
              <w:rPr>
                <w:rFonts w:cs="Arial"/>
                <w:i/>
                <w:iCs/>
                <w:sz w:val="18"/>
                <w:szCs w:val="18"/>
              </w:rPr>
              <w:t>3,037</w:t>
            </w:r>
          </w:p>
        </w:tc>
        <w:tc>
          <w:tcPr>
            <w:tcW w:w="973" w:type="dxa"/>
            <w:tcBorders>
              <w:top w:val="nil"/>
              <w:left w:val="nil"/>
              <w:bottom w:val="nil"/>
              <w:right w:val="dashed" w:sz="8" w:space="0" w:color="6DB2AD"/>
            </w:tcBorders>
            <w:shd w:val="clear" w:color="auto" w:fill="auto"/>
            <w:noWrap/>
            <w:vAlign w:val="center"/>
            <w:hideMark/>
          </w:tcPr>
          <w:p w14:paraId="17BC7E72" w14:textId="77777777" w:rsidR="00572F25" w:rsidRPr="00822F5E" w:rsidRDefault="00572F25" w:rsidP="00140544">
            <w:pPr>
              <w:spacing w:after="0"/>
              <w:jc w:val="right"/>
              <w:rPr>
                <w:rFonts w:cs="Arial"/>
                <w:i/>
                <w:iCs/>
                <w:sz w:val="18"/>
                <w:szCs w:val="18"/>
              </w:rPr>
            </w:pPr>
            <w:r w:rsidRPr="00822F5E">
              <w:rPr>
                <w:rFonts w:cs="Arial"/>
                <w:i/>
                <w:iCs/>
                <w:sz w:val="18"/>
                <w:szCs w:val="18"/>
              </w:rPr>
              <w:t>1,789</w:t>
            </w:r>
          </w:p>
        </w:tc>
        <w:tc>
          <w:tcPr>
            <w:tcW w:w="974" w:type="dxa"/>
            <w:tcBorders>
              <w:top w:val="nil"/>
              <w:left w:val="nil"/>
              <w:bottom w:val="nil"/>
              <w:right w:val="nil"/>
            </w:tcBorders>
            <w:shd w:val="clear" w:color="auto" w:fill="auto"/>
            <w:vAlign w:val="center"/>
            <w:hideMark/>
          </w:tcPr>
          <w:p w14:paraId="354B8AB2" w14:textId="77777777" w:rsidR="00572F25" w:rsidRPr="00822F5E" w:rsidRDefault="00572F25" w:rsidP="00140544">
            <w:pPr>
              <w:spacing w:after="0"/>
              <w:rPr>
                <w:rFonts w:cs="Arial"/>
                <w:i/>
                <w:iCs/>
                <w:sz w:val="18"/>
                <w:szCs w:val="18"/>
              </w:rPr>
            </w:pPr>
            <w:r w:rsidRPr="00822F5E">
              <w:rPr>
                <w:rFonts w:cs="Arial"/>
                <w:i/>
                <w:iCs/>
                <w:sz w:val="18"/>
                <w:szCs w:val="18"/>
              </w:rPr>
              <w:t>58.9</w:t>
            </w:r>
          </w:p>
        </w:tc>
        <w:tc>
          <w:tcPr>
            <w:tcW w:w="974" w:type="dxa"/>
            <w:tcBorders>
              <w:top w:val="nil"/>
              <w:left w:val="nil"/>
              <w:bottom w:val="nil"/>
              <w:right w:val="dashed" w:sz="8" w:space="0" w:color="6DB2AD"/>
            </w:tcBorders>
            <w:shd w:val="clear" w:color="auto" w:fill="auto"/>
            <w:noWrap/>
            <w:vAlign w:val="center"/>
            <w:hideMark/>
          </w:tcPr>
          <w:p w14:paraId="2E1499BE" w14:textId="77777777" w:rsidR="00572F25" w:rsidRPr="00822F5E" w:rsidRDefault="00572F25" w:rsidP="00140544">
            <w:pPr>
              <w:spacing w:after="0"/>
              <w:jc w:val="right"/>
              <w:rPr>
                <w:rFonts w:cs="Arial"/>
                <w:i/>
                <w:iCs/>
                <w:sz w:val="18"/>
                <w:szCs w:val="18"/>
              </w:rPr>
            </w:pPr>
            <w:r w:rsidRPr="00822F5E">
              <w:rPr>
                <w:rFonts w:cs="Arial"/>
                <w:i/>
                <w:iCs/>
                <w:sz w:val="18"/>
                <w:szCs w:val="18"/>
              </w:rPr>
              <w:t>1</w:t>
            </w:r>
            <w:r>
              <w:rPr>
                <w:rFonts w:cs="Arial"/>
                <w:i/>
                <w:iCs/>
                <w:sz w:val="18"/>
                <w:szCs w:val="18"/>
              </w:rPr>
              <w:t>,</w:t>
            </w:r>
            <w:r w:rsidRPr="00822F5E">
              <w:rPr>
                <w:rFonts w:cs="Arial"/>
                <w:i/>
                <w:iCs/>
                <w:sz w:val="18"/>
                <w:szCs w:val="18"/>
              </w:rPr>
              <w:t>214</w:t>
            </w:r>
          </w:p>
        </w:tc>
        <w:tc>
          <w:tcPr>
            <w:tcW w:w="974" w:type="dxa"/>
            <w:tcBorders>
              <w:top w:val="nil"/>
              <w:left w:val="nil"/>
              <w:bottom w:val="nil"/>
              <w:right w:val="nil"/>
            </w:tcBorders>
            <w:shd w:val="clear" w:color="auto" w:fill="auto"/>
            <w:vAlign w:val="center"/>
            <w:hideMark/>
          </w:tcPr>
          <w:p w14:paraId="675AE803" w14:textId="77777777" w:rsidR="00572F25" w:rsidRPr="00822F5E" w:rsidRDefault="00572F25" w:rsidP="00140544">
            <w:pPr>
              <w:spacing w:after="0"/>
              <w:rPr>
                <w:rFonts w:cs="Arial"/>
                <w:i/>
                <w:iCs/>
                <w:sz w:val="18"/>
                <w:szCs w:val="18"/>
              </w:rPr>
            </w:pPr>
            <w:r w:rsidRPr="00822F5E">
              <w:rPr>
                <w:rFonts w:cs="Arial"/>
                <w:i/>
                <w:iCs/>
                <w:sz w:val="18"/>
                <w:szCs w:val="18"/>
              </w:rPr>
              <w:t>40.0</w:t>
            </w:r>
          </w:p>
        </w:tc>
        <w:tc>
          <w:tcPr>
            <w:tcW w:w="974" w:type="dxa"/>
            <w:tcBorders>
              <w:top w:val="nil"/>
              <w:left w:val="nil"/>
              <w:bottom w:val="nil"/>
              <w:right w:val="dashed" w:sz="8" w:space="0" w:color="6DB2AD"/>
            </w:tcBorders>
            <w:shd w:val="clear" w:color="auto" w:fill="auto"/>
            <w:noWrap/>
            <w:vAlign w:val="center"/>
            <w:hideMark/>
          </w:tcPr>
          <w:p w14:paraId="25839AB3" w14:textId="77777777" w:rsidR="00572F25" w:rsidRPr="00822F5E" w:rsidRDefault="00572F25" w:rsidP="00140544">
            <w:pPr>
              <w:spacing w:after="0"/>
              <w:jc w:val="right"/>
              <w:rPr>
                <w:rFonts w:cs="Arial"/>
                <w:i/>
                <w:iCs/>
                <w:sz w:val="18"/>
                <w:szCs w:val="18"/>
              </w:rPr>
            </w:pPr>
            <w:r w:rsidRPr="00822F5E">
              <w:rPr>
                <w:rFonts w:cs="Arial"/>
                <w:i/>
                <w:iCs/>
                <w:sz w:val="18"/>
                <w:szCs w:val="18"/>
              </w:rPr>
              <w:t>34</w:t>
            </w:r>
          </w:p>
        </w:tc>
        <w:tc>
          <w:tcPr>
            <w:tcW w:w="974" w:type="dxa"/>
            <w:tcBorders>
              <w:top w:val="nil"/>
              <w:left w:val="nil"/>
              <w:bottom w:val="nil"/>
              <w:right w:val="single" w:sz="8" w:space="0" w:color="auto"/>
            </w:tcBorders>
            <w:shd w:val="clear" w:color="auto" w:fill="auto"/>
            <w:vAlign w:val="center"/>
            <w:hideMark/>
          </w:tcPr>
          <w:p w14:paraId="44D2962D" w14:textId="77777777" w:rsidR="00572F25" w:rsidRPr="00822F5E" w:rsidRDefault="00572F25" w:rsidP="00140544">
            <w:pPr>
              <w:spacing w:after="0"/>
              <w:rPr>
                <w:rFonts w:cs="Arial"/>
                <w:i/>
                <w:iCs/>
                <w:sz w:val="18"/>
                <w:szCs w:val="18"/>
              </w:rPr>
            </w:pPr>
            <w:r w:rsidRPr="00822F5E">
              <w:rPr>
                <w:rFonts w:cs="Arial"/>
                <w:i/>
                <w:iCs/>
                <w:sz w:val="18"/>
                <w:szCs w:val="18"/>
              </w:rPr>
              <w:t>1.1</w:t>
            </w:r>
          </w:p>
        </w:tc>
      </w:tr>
      <w:tr w:rsidR="00572F25" w:rsidRPr="00A674B2" w14:paraId="4661B920" w14:textId="77777777" w:rsidTr="00140544">
        <w:trPr>
          <w:trHeight w:val="360"/>
        </w:trPr>
        <w:tc>
          <w:tcPr>
            <w:tcW w:w="2552" w:type="dxa"/>
            <w:tcBorders>
              <w:top w:val="nil"/>
              <w:left w:val="single" w:sz="8" w:space="0" w:color="auto"/>
              <w:bottom w:val="nil"/>
              <w:right w:val="nil"/>
            </w:tcBorders>
            <w:shd w:val="clear" w:color="auto" w:fill="auto"/>
            <w:vAlign w:val="center"/>
            <w:hideMark/>
          </w:tcPr>
          <w:p w14:paraId="443733DD" w14:textId="77777777" w:rsidR="00572F25" w:rsidRPr="00822F5E" w:rsidRDefault="00572F25" w:rsidP="00140544">
            <w:pPr>
              <w:spacing w:after="0"/>
              <w:ind w:firstLineChars="200" w:firstLine="360"/>
              <w:rPr>
                <w:rFonts w:ascii="Wingdings 3" w:hAnsi="Wingdings 3" w:cs="Calibri"/>
                <w:sz w:val="18"/>
                <w:szCs w:val="18"/>
              </w:rPr>
            </w:pPr>
            <w:r w:rsidRPr="00822F5E">
              <w:rPr>
                <w:rFonts w:ascii="Wingdings 3" w:hAnsi="Wingdings 3" w:cs="Calibri"/>
                <w:sz w:val="18"/>
                <w:szCs w:val="18"/>
              </w:rPr>
              <w:t></w:t>
            </w:r>
            <w:r w:rsidRPr="00822F5E">
              <w:rPr>
                <w:rFonts w:cs="Arial"/>
                <w:i/>
                <w:iCs/>
                <w:sz w:val="18"/>
                <w:szCs w:val="18"/>
              </w:rPr>
              <w:t xml:space="preserve">   when not required</w:t>
            </w:r>
          </w:p>
        </w:tc>
        <w:tc>
          <w:tcPr>
            <w:tcW w:w="992" w:type="dxa"/>
            <w:tcBorders>
              <w:top w:val="nil"/>
              <w:left w:val="nil"/>
              <w:bottom w:val="nil"/>
              <w:right w:val="nil"/>
            </w:tcBorders>
            <w:shd w:val="clear" w:color="auto" w:fill="auto"/>
            <w:noWrap/>
            <w:vAlign w:val="center"/>
            <w:hideMark/>
          </w:tcPr>
          <w:p w14:paraId="14CD6E6B" w14:textId="77777777" w:rsidR="00572F25" w:rsidRPr="00822F5E" w:rsidRDefault="00572F25" w:rsidP="00140544">
            <w:pPr>
              <w:spacing w:after="0"/>
              <w:jc w:val="center"/>
              <w:rPr>
                <w:rFonts w:cs="Arial"/>
                <w:i/>
                <w:iCs/>
                <w:sz w:val="18"/>
                <w:szCs w:val="18"/>
              </w:rPr>
            </w:pPr>
            <w:r w:rsidRPr="00822F5E">
              <w:rPr>
                <w:rFonts w:cs="Arial"/>
                <w:i/>
                <w:iCs/>
                <w:sz w:val="18"/>
                <w:szCs w:val="18"/>
              </w:rPr>
              <w:t>1,548</w:t>
            </w:r>
          </w:p>
        </w:tc>
        <w:tc>
          <w:tcPr>
            <w:tcW w:w="973" w:type="dxa"/>
            <w:tcBorders>
              <w:top w:val="nil"/>
              <w:left w:val="nil"/>
              <w:bottom w:val="nil"/>
              <w:right w:val="dashed" w:sz="8" w:space="0" w:color="6DB2AD"/>
            </w:tcBorders>
            <w:shd w:val="clear" w:color="auto" w:fill="auto"/>
            <w:noWrap/>
            <w:vAlign w:val="center"/>
            <w:hideMark/>
          </w:tcPr>
          <w:p w14:paraId="2811BD23" w14:textId="77777777" w:rsidR="00572F25" w:rsidRPr="00822F5E" w:rsidRDefault="00572F25" w:rsidP="00140544">
            <w:pPr>
              <w:spacing w:after="0"/>
              <w:jc w:val="right"/>
              <w:rPr>
                <w:rFonts w:cs="Arial"/>
                <w:i/>
                <w:iCs/>
                <w:sz w:val="18"/>
                <w:szCs w:val="18"/>
              </w:rPr>
            </w:pPr>
            <w:r w:rsidRPr="00822F5E">
              <w:rPr>
                <w:rFonts w:cs="Arial"/>
                <w:i/>
                <w:iCs/>
                <w:sz w:val="18"/>
                <w:szCs w:val="18"/>
              </w:rPr>
              <w:t>1</w:t>
            </w:r>
          </w:p>
        </w:tc>
        <w:tc>
          <w:tcPr>
            <w:tcW w:w="974" w:type="dxa"/>
            <w:tcBorders>
              <w:top w:val="nil"/>
              <w:left w:val="nil"/>
              <w:bottom w:val="nil"/>
              <w:right w:val="nil"/>
            </w:tcBorders>
            <w:shd w:val="clear" w:color="auto" w:fill="auto"/>
            <w:vAlign w:val="center"/>
            <w:hideMark/>
          </w:tcPr>
          <w:p w14:paraId="4B91BF61" w14:textId="77777777" w:rsidR="00572F25" w:rsidRPr="00822F5E" w:rsidRDefault="00572F25" w:rsidP="00140544">
            <w:pPr>
              <w:spacing w:after="0"/>
              <w:rPr>
                <w:rFonts w:cs="Arial"/>
                <w:i/>
                <w:iCs/>
                <w:sz w:val="18"/>
                <w:szCs w:val="18"/>
              </w:rPr>
            </w:pPr>
            <w:r w:rsidRPr="00822F5E">
              <w:rPr>
                <w:rFonts w:cs="Arial"/>
                <w:i/>
                <w:iCs/>
                <w:sz w:val="18"/>
                <w:szCs w:val="18"/>
              </w:rPr>
              <w:t>0.1</w:t>
            </w:r>
          </w:p>
        </w:tc>
        <w:tc>
          <w:tcPr>
            <w:tcW w:w="974" w:type="dxa"/>
            <w:tcBorders>
              <w:top w:val="nil"/>
              <w:left w:val="nil"/>
              <w:bottom w:val="nil"/>
              <w:right w:val="dashed" w:sz="8" w:space="0" w:color="6DB2AD"/>
            </w:tcBorders>
            <w:shd w:val="clear" w:color="auto" w:fill="auto"/>
            <w:noWrap/>
            <w:vAlign w:val="center"/>
            <w:hideMark/>
          </w:tcPr>
          <w:p w14:paraId="3167DA02" w14:textId="77777777" w:rsidR="00572F25" w:rsidRPr="00822F5E" w:rsidRDefault="00572F25" w:rsidP="00140544">
            <w:pPr>
              <w:spacing w:after="0"/>
              <w:jc w:val="right"/>
              <w:rPr>
                <w:rFonts w:cs="Arial"/>
                <w:i/>
                <w:iCs/>
                <w:sz w:val="18"/>
                <w:szCs w:val="18"/>
              </w:rPr>
            </w:pPr>
            <w:r w:rsidRPr="00822F5E">
              <w:rPr>
                <w:rFonts w:cs="Arial"/>
                <w:i/>
                <w:iCs/>
                <w:sz w:val="18"/>
                <w:szCs w:val="18"/>
              </w:rPr>
              <w:t>1,525</w:t>
            </w:r>
          </w:p>
        </w:tc>
        <w:tc>
          <w:tcPr>
            <w:tcW w:w="974" w:type="dxa"/>
            <w:tcBorders>
              <w:top w:val="nil"/>
              <w:left w:val="nil"/>
              <w:bottom w:val="nil"/>
              <w:right w:val="nil"/>
            </w:tcBorders>
            <w:shd w:val="clear" w:color="auto" w:fill="auto"/>
            <w:vAlign w:val="center"/>
            <w:hideMark/>
          </w:tcPr>
          <w:p w14:paraId="78235C89" w14:textId="77777777" w:rsidR="00572F25" w:rsidRPr="00822F5E" w:rsidRDefault="00572F25" w:rsidP="00140544">
            <w:pPr>
              <w:spacing w:after="0"/>
              <w:rPr>
                <w:rFonts w:cs="Arial"/>
                <w:i/>
                <w:iCs/>
                <w:sz w:val="18"/>
                <w:szCs w:val="18"/>
              </w:rPr>
            </w:pPr>
            <w:r w:rsidRPr="00822F5E">
              <w:rPr>
                <w:rFonts w:cs="Arial"/>
                <w:i/>
                <w:iCs/>
                <w:sz w:val="18"/>
                <w:szCs w:val="18"/>
              </w:rPr>
              <w:t>98.5</w:t>
            </w:r>
          </w:p>
        </w:tc>
        <w:tc>
          <w:tcPr>
            <w:tcW w:w="974" w:type="dxa"/>
            <w:tcBorders>
              <w:top w:val="nil"/>
              <w:left w:val="nil"/>
              <w:bottom w:val="nil"/>
              <w:right w:val="dashed" w:sz="8" w:space="0" w:color="6DB2AD"/>
            </w:tcBorders>
            <w:shd w:val="clear" w:color="auto" w:fill="auto"/>
            <w:noWrap/>
            <w:vAlign w:val="center"/>
            <w:hideMark/>
          </w:tcPr>
          <w:p w14:paraId="7FA1DD7D" w14:textId="77777777" w:rsidR="00572F25" w:rsidRPr="00822F5E" w:rsidRDefault="00572F25" w:rsidP="00140544">
            <w:pPr>
              <w:spacing w:after="0"/>
              <w:jc w:val="right"/>
              <w:rPr>
                <w:rFonts w:cs="Arial"/>
                <w:i/>
                <w:iCs/>
                <w:sz w:val="18"/>
                <w:szCs w:val="18"/>
              </w:rPr>
            </w:pPr>
            <w:r w:rsidRPr="00822F5E">
              <w:rPr>
                <w:rFonts w:cs="Arial"/>
                <w:i/>
                <w:iCs/>
                <w:sz w:val="18"/>
                <w:szCs w:val="18"/>
              </w:rPr>
              <w:t>22</w:t>
            </w:r>
          </w:p>
        </w:tc>
        <w:tc>
          <w:tcPr>
            <w:tcW w:w="974" w:type="dxa"/>
            <w:tcBorders>
              <w:top w:val="nil"/>
              <w:left w:val="nil"/>
              <w:bottom w:val="nil"/>
              <w:right w:val="single" w:sz="8" w:space="0" w:color="auto"/>
            </w:tcBorders>
            <w:shd w:val="clear" w:color="auto" w:fill="auto"/>
            <w:vAlign w:val="center"/>
            <w:hideMark/>
          </w:tcPr>
          <w:p w14:paraId="7FBB0FFF" w14:textId="77777777" w:rsidR="00572F25" w:rsidRPr="00822F5E" w:rsidRDefault="00572F25" w:rsidP="00140544">
            <w:pPr>
              <w:spacing w:after="0"/>
              <w:rPr>
                <w:rFonts w:cs="Arial"/>
                <w:i/>
                <w:iCs/>
                <w:sz w:val="18"/>
                <w:szCs w:val="18"/>
              </w:rPr>
            </w:pPr>
            <w:r w:rsidRPr="00822F5E">
              <w:rPr>
                <w:rFonts w:cs="Arial"/>
                <w:i/>
                <w:iCs/>
                <w:sz w:val="18"/>
                <w:szCs w:val="18"/>
              </w:rPr>
              <w:t>1.4</w:t>
            </w:r>
          </w:p>
        </w:tc>
      </w:tr>
      <w:tr w:rsidR="00572F25" w:rsidRPr="00A674B2" w14:paraId="77536E62" w14:textId="77777777" w:rsidTr="00140544">
        <w:trPr>
          <w:trHeight w:val="360"/>
        </w:trPr>
        <w:tc>
          <w:tcPr>
            <w:tcW w:w="2552" w:type="dxa"/>
            <w:tcBorders>
              <w:top w:val="nil"/>
              <w:left w:val="single" w:sz="8" w:space="0" w:color="auto"/>
              <w:bottom w:val="nil"/>
              <w:right w:val="nil"/>
            </w:tcBorders>
            <w:shd w:val="clear" w:color="auto" w:fill="auto"/>
            <w:vAlign w:val="center"/>
            <w:hideMark/>
          </w:tcPr>
          <w:p w14:paraId="2E07D479" w14:textId="77777777" w:rsidR="00572F25" w:rsidRPr="00822F5E" w:rsidRDefault="00572F25" w:rsidP="00140544">
            <w:pPr>
              <w:spacing w:after="0"/>
              <w:ind w:firstLineChars="100" w:firstLine="180"/>
              <w:rPr>
                <w:rFonts w:cs="Arial"/>
                <w:sz w:val="18"/>
                <w:szCs w:val="18"/>
              </w:rPr>
            </w:pPr>
            <w:r w:rsidRPr="00822F5E">
              <w:rPr>
                <w:rFonts w:cs="Arial"/>
                <w:sz w:val="18"/>
                <w:szCs w:val="18"/>
              </w:rPr>
              <w:t xml:space="preserve">Treatment </w:t>
            </w:r>
          </w:p>
        </w:tc>
        <w:tc>
          <w:tcPr>
            <w:tcW w:w="992" w:type="dxa"/>
            <w:tcBorders>
              <w:top w:val="nil"/>
              <w:left w:val="nil"/>
              <w:bottom w:val="nil"/>
              <w:right w:val="nil"/>
            </w:tcBorders>
            <w:shd w:val="clear" w:color="auto" w:fill="auto"/>
            <w:noWrap/>
            <w:vAlign w:val="center"/>
            <w:hideMark/>
          </w:tcPr>
          <w:p w14:paraId="7D6EE33F" w14:textId="77777777" w:rsidR="00572F25" w:rsidRPr="00822F5E" w:rsidRDefault="00572F25" w:rsidP="00140544">
            <w:pPr>
              <w:spacing w:after="0"/>
              <w:jc w:val="center"/>
              <w:rPr>
                <w:rFonts w:cs="Arial"/>
                <w:sz w:val="18"/>
                <w:szCs w:val="18"/>
              </w:rPr>
            </w:pPr>
            <w:r w:rsidRPr="00822F5E">
              <w:rPr>
                <w:rFonts w:cs="Arial"/>
                <w:sz w:val="18"/>
                <w:szCs w:val="18"/>
              </w:rPr>
              <w:t>97</w:t>
            </w:r>
          </w:p>
        </w:tc>
        <w:tc>
          <w:tcPr>
            <w:tcW w:w="973" w:type="dxa"/>
            <w:tcBorders>
              <w:top w:val="nil"/>
              <w:left w:val="nil"/>
              <w:bottom w:val="nil"/>
              <w:right w:val="dashed" w:sz="8" w:space="0" w:color="6DB2AD"/>
            </w:tcBorders>
            <w:shd w:val="clear" w:color="auto" w:fill="auto"/>
            <w:noWrap/>
            <w:vAlign w:val="center"/>
            <w:hideMark/>
          </w:tcPr>
          <w:p w14:paraId="2210D80E" w14:textId="77777777" w:rsidR="00572F25" w:rsidRPr="00822F5E" w:rsidRDefault="00572F25" w:rsidP="00140544">
            <w:pPr>
              <w:spacing w:after="0"/>
              <w:jc w:val="right"/>
              <w:rPr>
                <w:rFonts w:cs="Arial"/>
                <w:sz w:val="18"/>
                <w:szCs w:val="18"/>
              </w:rPr>
            </w:pPr>
            <w:r w:rsidRPr="00822F5E">
              <w:rPr>
                <w:rFonts w:cs="Arial"/>
                <w:sz w:val="18"/>
                <w:szCs w:val="18"/>
              </w:rPr>
              <w:t>61</w:t>
            </w:r>
          </w:p>
        </w:tc>
        <w:tc>
          <w:tcPr>
            <w:tcW w:w="974" w:type="dxa"/>
            <w:tcBorders>
              <w:top w:val="nil"/>
              <w:left w:val="nil"/>
              <w:bottom w:val="nil"/>
              <w:right w:val="nil"/>
            </w:tcBorders>
            <w:shd w:val="clear" w:color="auto" w:fill="auto"/>
            <w:vAlign w:val="center"/>
            <w:hideMark/>
          </w:tcPr>
          <w:p w14:paraId="7B3D67C6" w14:textId="77777777" w:rsidR="00572F25" w:rsidRPr="00822F5E" w:rsidRDefault="00572F25" w:rsidP="00140544">
            <w:pPr>
              <w:spacing w:after="0"/>
              <w:rPr>
                <w:rFonts w:cs="Arial"/>
                <w:sz w:val="18"/>
                <w:szCs w:val="18"/>
              </w:rPr>
            </w:pPr>
            <w:r w:rsidRPr="00822F5E">
              <w:rPr>
                <w:rFonts w:cs="Arial"/>
                <w:sz w:val="18"/>
                <w:szCs w:val="18"/>
              </w:rPr>
              <w:t>62.9</w:t>
            </w:r>
          </w:p>
        </w:tc>
        <w:tc>
          <w:tcPr>
            <w:tcW w:w="974" w:type="dxa"/>
            <w:tcBorders>
              <w:top w:val="nil"/>
              <w:left w:val="nil"/>
              <w:bottom w:val="nil"/>
              <w:right w:val="dashed" w:sz="8" w:space="0" w:color="6DB2AD"/>
            </w:tcBorders>
            <w:shd w:val="clear" w:color="auto" w:fill="auto"/>
            <w:noWrap/>
            <w:vAlign w:val="center"/>
            <w:hideMark/>
          </w:tcPr>
          <w:p w14:paraId="7DC31D33" w14:textId="77777777" w:rsidR="00572F25" w:rsidRPr="00822F5E" w:rsidRDefault="00572F25" w:rsidP="00140544">
            <w:pPr>
              <w:spacing w:after="0"/>
              <w:jc w:val="right"/>
              <w:rPr>
                <w:rFonts w:cs="Arial"/>
                <w:sz w:val="18"/>
                <w:szCs w:val="18"/>
              </w:rPr>
            </w:pPr>
            <w:r w:rsidRPr="00822F5E">
              <w:rPr>
                <w:rFonts w:cs="Arial"/>
                <w:sz w:val="18"/>
                <w:szCs w:val="18"/>
              </w:rPr>
              <w:t>28</w:t>
            </w:r>
          </w:p>
        </w:tc>
        <w:tc>
          <w:tcPr>
            <w:tcW w:w="974" w:type="dxa"/>
            <w:tcBorders>
              <w:top w:val="nil"/>
              <w:left w:val="nil"/>
              <w:bottom w:val="nil"/>
              <w:right w:val="nil"/>
            </w:tcBorders>
            <w:shd w:val="clear" w:color="auto" w:fill="auto"/>
            <w:vAlign w:val="center"/>
            <w:hideMark/>
          </w:tcPr>
          <w:p w14:paraId="41441A8C" w14:textId="77777777" w:rsidR="00572F25" w:rsidRPr="00822F5E" w:rsidRDefault="00572F25" w:rsidP="00140544">
            <w:pPr>
              <w:spacing w:after="0"/>
              <w:rPr>
                <w:rFonts w:cs="Arial"/>
                <w:sz w:val="18"/>
                <w:szCs w:val="18"/>
              </w:rPr>
            </w:pPr>
            <w:r w:rsidRPr="00822F5E">
              <w:rPr>
                <w:rFonts w:cs="Arial"/>
                <w:sz w:val="18"/>
                <w:szCs w:val="18"/>
              </w:rPr>
              <w:t>28.9</w:t>
            </w:r>
          </w:p>
        </w:tc>
        <w:tc>
          <w:tcPr>
            <w:tcW w:w="974" w:type="dxa"/>
            <w:tcBorders>
              <w:top w:val="nil"/>
              <w:left w:val="nil"/>
              <w:bottom w:val="nil"/>
              <w:right w:val="dashed" w:sz="8" w:space="0" w:color="6DB2AD"/>
            </w:tcBorders>
            <w:shd w:val="clear" w:color="auto" w:fill="auto"/>
            <w:noWrap/>
            <w:vAlign w:val="center"/>
            <w:hideMark/>
          </w:tcPr>
          <w:p w14:paraId="6CBB51C9" w14:textId="77777777" w:rsidR="00572F25" w:rsidRPr="00822F5E" w:rsidRDefault="00572F25" w:rsidP="00140544">
            <w:pPr>
              <w:spacing w:after="0"/>
              <w:jc w:val="right"/>
              <w:rPr>
                <w:rFonts w:cs="Arial"/>
                <w:sz w:val="18"/>
                <w:szCs w:val="18"/>
              </w:rPr>
            </w:pPr>
            <w:r w:rsidRPr="00822F5E">
              <w:rPr>
                <w:rFonts w:cs="Arial"/>
                <w:sz w:val="18"/>
                <w:szCs w:val="18"/>
              </w:rPr>
              <w:t>8</w:t>
            </w:r>
          </w:p>
        </w:tc>
        <w:tc>
          <w:tcPr>
            <w:tcW w:w="974" w:type="dxa"/>
            <w:tcBorders>
              <w:top w:val="nil"/>
              <w:left w:val="nil"/>
              <w:bottom w:val="nil"/>
              <w:right w:val="single" w:sz="8" w:space="0" w:color="auto"/>
            </w:tcBorders>
            <w:shd w:val="clear" w:color="auto" w:fill="auto"/>
            <w:vAlign w:val="center"/>
            <w:hideMark/>
          </w:tcPr>
          <w:p w14:paraId="693D7F8F" w14:textId="77777777" w:rsidR="00572F25" w:rsidRPr="00822F5E" w:rsidRDefault="00572F25" w:rsidP="00140544">
            <w:pPr>
              <w:spacing w:after="0"/>
              <w:rPr>
                <w:rFonts w:cs="Arial"/>
                <w:sz w:val="18"/>
                <w:szCs w:val="18"/>
              </w:rPr>
            </w:pPr>
            <w:r w:rsidRPr="00822F5E">
              <w:rPr>
                <w:rFonts w:cs="Arial"/>
                <w:sz w:val="18"/>
                <w:szCs w:val="18"/>
              </w:rPr>
              <w:t>8.2</w:t>
            </w:r>
          </w:p>
        </w:tc>
      </w:tr>
      <w:tr w:rsidR="00572F25" w:rsidRPr="00A674B2" w14:paraId="7765F157" w14:textId="77777777" w:rsidTr="00140544">
        <w:trPr>
          <w:trHeight w:val="360"/>
        </w:trPr>
        <w:tc>
          <w:tcPr>
            <w:tcW w:w="2552" w:type="dxa"/>
            <w:tcBorders>
              <w:top w:val="nil"/>
              <w:left w:val="single" w:sz="8" w:space="0" w:color="auto"/>
              <w:bottom w:val="single" w:sz="8" w:space="0" w:color="auto"/>
              <w:right w:val="nil"/>
            </w:tcBorders>
            <w:shd w:val="clear" w:color="auto" w:fill="auto"/>
            <w:vAlign w:val="center"/>
            <w:hideMark/>
          </w:tcPr>
          <w:p w14:paraId="56BE92D9" w14:textId="77777777" w:rsidR="00572F25" w:rsidRPr="00822F5E" w:rsidRDefault="00572F25" w:rsidP="00140544">
            <w:pPr>
              <w:spacing w:after="0"/>
              <w:ind w:firstLineChars="100" w:firstLine="180"/>
              <w:rPr>
                <w:rFonts w:cs="Arial"/>
                <w:sz w:val="18"/>
                <w:szCs w:val="18"/>
              </w:rPr>
            </w:pPr>
            <w:r w:rsidRPr="00822F5E">
              <w:rPr>
                <w:rFonts w:cs="Arial"/>
                <w:sz w:val="18"/>
                <w:szCs w:val="18"/>
              </w:rPr>
              <w:t>Not assessable</w:t>
            </w:r>
          </w:p>
        </w:tc>
        <w:tc>
          <w:tcPr>
            <w:tcW w:w="992" w:type="dxa"/>
            <w:tcBorders>
              <w:top w:val="nil"/>
              <w:left w:val="nil"/>
              <w:bottom w:val="single" w:sz="8" w:space="0" w:color="auto"/>
              <w:right w:val="nil"/>
            </w:tcBorders>
            <w:shd w:val="clear" w:color="auto" w:fill="auto"/>
            <w:vAlign w:val="center"/>
            <w:hideMark/>
          </w:tcPr>
          <w:p w14:paraId="68146260" w14:textId="77777777" w:rsidR="00572F25" w:rsidRPr="00822F5E" w:rsidRDefault="00572F25" w:rsidP="00140544">
            <w:pPr>
              <w:spacing w:after="0"/>
              <w:jc w:val="center"/>
              <w:rPr>
                <w:rFonts w:cs="Arial"/>
                <w:sz w:val="18"/>
                <w:szCs w:val="18"/>
              </w:rPr>
            </w:pPr>
            <w:r w:rsidRPr="00822F5E">
              <w:rPr>
                <w:rFonts w:cs="Arial"/>
                <w:sz w:val="18"/>
                <w:szCs w:val="18"/>
              </w:rPr>
              <w:t>33</w:t>
            </w:r>
          </w:p>
        </w:tc>
        <w:tc>
          <w:tcPr>
            <w:tcW w:w="973" w:type="dxa"/>
            <w:tcBorders>
              <w:top w:val="nil"/>
              <w:left w:val="nil"/>
              <w:bottom w:val="single" w:sz="8" w:space="0" w:color="auto"/>
              <w:right w:val="dashed" w:sz="8" w:space="0" w:color="6DB2AD"/>
            </w:tcBorders>
            <w:shd w:val="clear" w:color="auto" w:fill="auto"/>
            <w:vAlign w:val="center"/>
            <w:hideMark/>
          </w:tcPr>
          <w:p w14:paraId="710EEB04" w14:textId="77777777" w:rsidR="00572F25" w:rsidRPr="00822F5E" w:rsidRDefault="00572F25" w:rsidP="00140544">
            <w:pPr>
              <w:spacing w:after="0"/>
              <w:jc w:val="right"/>
              <w:rPr>
                <w:rFonts w:cs="Arial"/>
                <w:sz w:val="18"/>
                <w:szCs w:val="18"/>
              </w:rPr>
            </w:pPr>
            <w:r w:rsidRPr="00822F5E">
              <w:rPr>
                <w:rFonts w:cs="Arial"/>
                <w:sz w:val="18"/>
                <w:szCs w:val="18"/>
              </w:rPr>
              <w:t>8</w:t>
            </w:r>
          </w:p>
        </w:tc>
        <w:tc>
          <w:tcPr>
            <w:tcW w:w="974" w:type="dxa"/>
            <w:tcBorders>
              <w:top w:val="nil"/>
              <w:left w:val="nil"/>
              <w:bottom w:val="single" w:sz="8" w:space="0" w:color="auto"/>
              <w:right w:val="nil"/>
            </w:tcBorders>
            <w:shd w:val="clear" w:color="auto" w:fill="auto"/>
            <w:vAlign w:val="center"/>
            <w:hideMark/>
          </w:tcPr>
          <w:p w14:paraId="645AF91A" w14:textId="77777777" w:rsidR="00572F25" w:rsidRPr="00822F5E" w:rsidRDefault="00572F25" w:rsidP="00140544">
            <w:pPr>
              <w:spacing w:after="0"/>
              <w:rPr>
                <w:rFonts w:cs="Arial"/>
                <w:sz w:val="18"/>
                <w:szCs w:val="18"/>
              </w:rPr>
            </w:pPr>
            <w:r w:rsidRPr="00822F5E">
              <w:rPr>
                <w:rFonts w:cs="Arial"/>
                <w:sz w:val="18"/>
                <w:szCs w:val="18"/>
              </w:rPr>
              <w:t>24.2</w:t>
            </w:r>
          </w:p>
        </w:tc>
        <w:tc>
          <w:tcPr>
            <w:tcW w:w="974" w:type="dxa"/>
            <w:tcBorders>
              <w:top w:val="nil"/>
              <w:left w:val="nil"/>
              <w:bottom w:val="single" w:sz="8" w:space="0" w:color="auto"/>
              <w:right w:val="dashed" w:sz="8" w:space="0" w:color="6DB2AD"/>
            </w:tcBorders>
            <w:shd w:val="clear" w:color="auto" w:fill="auto"/>
            <w:vAlign w:val="center"/>
            <w:hideMark/>
          </w:tcPr>
          <w:p w14:paraId="11135601" w14:textId="77777777" w:rsidR="00572F25" w:rsidRPr="00822F5E" w:rsidRDefault="00572F25" w:rsidP="00140544">
            <w:pPr>
              <w:spacing w:after="0"/>
              <w:jc w:val="right"/>
              <w:rPr>
                <w:rFonts w:cs="Arial"/>
                <w:sz w:val="18"/>
                <w:szCs w:val="18"/>
              </w:rPr>
            </w:pPr>
            <w:r w:rsidRPr="00822F5E">
              <w:rPr>
                <w:rFonts w:cs="Arial"/>
                <w:sz w:val="18"/>
                <w:szCs w:val="18"/>
              </w:rPr>
              <w:t>14</w:t>
            </w:r>
          </w:p>
        </w:tc>
        <w:tc>
          <w:tcPr>
            <w:tcW w:w="974" w:type="dxa"/>
            <w:tcBorders>
              <w:top w:val="nil"/>
              <w:left w:val="nil"/>
              <w:bottom w:val="single" w:sz="8" w:space="0" w:color="auto"/>
              <w:right w:val="nil"/>
            </w:tcBorders>
            <w:shd w:val="clear" w:color="auto" w:fill="auto"/>
            <w:vAlign w:val="center"/>
            <w:hideMark/>
          </w:tcPr>
          <w:p w14:paraId="2DD72BFF" w14:textId="77777777" w:rsidR="00572F25" w:rsidRPr="00822F5E" w:rsidRDefault="00572F25" w:rsidP="00140544">
            <w:pPr>
              <w:spacing w:after="0"/>
              <w:rPr>
                <w:rFonts w:cs="Arial"/>
                <w:sz w:val="18"/>
                <w:szCs w:val="18"/>
              </w:rPr>
            </w:pPr>
            <w:r w:rsidRPr="00822F5E">
              <w:rPr>
                <w:rFonts w:cs="Arial"/>
                <w:sz w:val="18"/>
                <w:szCs w:val="18"/>
              </w:rPr>
              <w:t>42.4</w:t>
            </w:r>
          </w:p>
        </w:tc>
        <w:tc>
          <w:tcPr>
            <w:tcW w:w="974" w:type="dxa"/>
            <w:tcBorders>
              <w:top w:val="nil"/>
              <w:left w:val="nil"/>
              <w:bottom w:val="single" w:sz="8" w:space="0" w:color="auto"/>
              <w:right w:val="dashed" w:sz="8" w:space="0" w:color="6DB2AD"/>
            </w:tcBorders>
            <w:shd w:val="clear" w:color="auto" w:fill="auto"/>
            <w:vAlign w:val="center"/>
            <w:hideMark/>
          </w:tcPr>
          <w:p w14:paraId="32BFA1FD" w14:textId="77777777" w:rsidR="00572F25" w:rsidRPr="00822F5E" w:rsidRDefault="00572F25" w:rsidP="00140544">
            <w:pPr>
              <w:spacing w:after="0"/>
              <w:jc w:val="right"/>
              <w:rPr>
                <w:rFonts w:cs="Arial"/>
                <w:sz w:val="18"/>
                <w:szCs w:val="18"/>
              </w:rPr>
            </w:pPr>
            <w:r w:rsidRPr="00822F5E">
              <w:rPr>
                <w:rFonts w:cs="Arial"/>
                <w:sz w:val="18"/>
                <w:szCs w:val="18"/>
              </w:rPr>
              <w:t>11</w:t>
            </w:r>
          </w:p>
        </w:tc>
        <w:tc>
          <w:tcPr>
            <w:tcW w:w="974" w:type="dxa"/>
            <w:tcBorders>
              <w:top w:val="nil"/>
              <w:left w:val="nil"/>
              <w:bottom w:val="single" w:sz="8" w:space="0" w:color="auto"/>
              <w:right w:val="single" w:sz="8" w:space="0" w:color="auto"/>
            </w:tcBorders>
            <w:shd w:val="clear" w:color="auto" w:fill="auto"/>
            <w:vAlign w:val="center"/>
            <w:hideMark/>
          </w:tcPr>
          <w:p w14:paraId="7CB64444" w14:textId="77777777" w:rsidR="00572F25" w:rsidRPr="00822F5E" w:rsidRDefault="00572F25" w:rsidP="00140544">
            <w:pPr>
              <w:spacing w:after="0"/>
              <w:rPr>
                <w:rFonts w:cs="Arial"/>
                <w:sz w:val="18"/>
                <w:szCs w:val="18"/>
              </w:rPr>
            </w:pPr>
            <w:r w:rsidRPr="00822F5E">
              <w:rPr>
                <w:rFonts w:cs="Arial"/>
                <w:sz w:val="18"/>
                <w:szCs w:val="18"/>
              </w:rPr>
              <w:t>33.3</w:t>
            </w:r>
          </w:p>
        </w:tc>
      </w:tr>
    </w:tbl>
    <w:p w14:paraId="1CE89490" w14:textId="77777777" w:rsidR="00572F25" w:rsidRPr="00C30831" w:rsidRDefault="00572F25" w:rsidP="00572F25">
      <w:pPr>
        <w:pStyle w:val="Notes"/>
      </w:pPr>
      <w:r w:rsidRPr="00C30831">
        <w:t>* The overall appropriateness of prescribing for a surgical episode was determined by taking the lowest ranked assessment of the individual post</w:t>
      </w:r>
      <w:r>
        <w:t>-</w:t>
      </w:r>
      <w:r w:rsidRPr="00C30831">
        <w:t>procedural prescriptions</w:t>
      </w:r>
      <w:r>
        <w:t>.</w:t>
      </w:r>
    </w:p>
    <w:p w14:paraId="219818D4" w14:textId="77777777" w:rsidR="00572F25" w:rsidRPr="00C30831" w:rsidRDefault="00572F25" w:rsidP="00572F25">
      <w:pPr>
        <w:pStyle w:val="Notes"/>
      </w:pPr>
      <w:r w:rsidRPr="00F20786">
        <w:rPr>
          <w:vertAlign w:val="superscript"/>
        </w:rPr>
        <w:t>#</w:t>
      </w:r>
      <w:r w:rsidRPr="00C30831">
        <w:t xml:space="preserve"> 609 surgical episodes had only post</w:t>
      </w:r>
      <w:r>
        <w:t>-</w:t>
      </w:r>
      <w:r w:rsidRPr="00C30831">
        <w:t>procedural antimicrobials prescribed for treatment of infection or were not assessable and were excluded from the analysis</w:t>
      </w:r>
      <w:r>
        <w:t>.</w:t>
      </w:r>
    </w:p>
    <w:p w14:paraId="62FD3F8D" w14:textId="77777777" w:rsidR="00572F25" w:rsidRDefault="00572F25" w:rsidP="00572F25">
      <w:pPr>
        <w:pStyle w:val="Heading5"/>
        <w:ind w:left="1008" w:hanging="1008"/>
      </w:pPr>
      <w:bookmarkStart w:id="108" w:name="_Toc106188078"/>
      <w:bookmarkStart w:id="109" w:name="_Toc106188080"/>
      <w:bookmarkEnd w:id="108"/>
      <w:bookmarkEnd w:id="109"/>
      <w:r w:rsidRPr="009F6156">
        <w:t>Reasons</w:t>
      </w:r>
      <w:r w:rsidRPr="00AA5E96">
        <w:t xml:space="preserve"> for </w:t>
      </w:r>
      <w:r w:rsidRPr="00A67589">
        <w:t xml:space="preserve">inappropriate </w:t>
      </w:r>
      <w:r>
        <w:t>post-</w:t>
      </w:r>
      <w:r w:rsidRPr="00A67589">
        <w:t>procedural prescribing</w:t>
      </w:r>
    </w:p>
    <w:p w14:paraId="287BE974" w14:textId="77777777" w:rsidR="00572F25" w:rsidRPr="00CB28A2" w:rsidRDefault="00572F25" w:rsidP="00572F25">
      <w:pPr>
        <w:rPr>
          <w:rFonts w:cs="Arial"/>
        </w:rPr>
      </w:pPr>
      <w:r>
        <w:rPr>
          <w:rFonts w:cs="Arial"/>
        </w:rPr>
        <w:t>There were 2</w:t>
      </w:r>
      <w:r w:rsidRPr="00CB28A2">
        <w:rPr>
          <w:rFonts w:cs="Arial"/>
        </w:rPr>
        <w:t xml:space="preserve">,739 post-procedural prophylaxis prescriptions deemed inappropriate. Of these, 1,525 (55.7%) were deemed not required (n=2,739). </w:t>
      </w:r>
    </w:p>
    <w:p w14:paraId="34B7C9D4" w14:textId="77777777" w:rsidR="00572F25" w:rsidRPr="00AA39B8" w:rsidRDefault="00572F25" w:rsidP="00572F25">
      <w:pPr>
        <w:rPr>
          <w:rFonts w:cs="Arial"/>
        </w:rPr>
      </w:pPr>
      <w:r w:rsidRPr="00AA39B8">
        <w:rPr>
          <w:rFonts w:cs="Arial"/>
        </w:rPr>
        <w:lastRenderedPageBreak/>
        <w:t>For post</w:t>
      </w:r>
      <w:r>
        <w:rPr>
          <w:rFonts w:cs="Arial"/>
        </w:rPr>
        <w:t>-</w:t>
      </w:r>
      <w:r w:rsidRPr="00AA39B8">
        <w:rPr>
          <w:rFonts w:cs="Arial"/>
        </w:rPr>
        <w:t>procedural prophylactic prescriptions, where prophylaxis was recommended by</w:t>
      </w:r>
      <w:r w:rsidRPr="0091718B">
        <w:rPr>
          <w:rFonts w:cs="Arial"/>
        </w:rPr>
        <w:t xml:space="preserve"> guidelines, 40.0% were deemed inappropriate</w:t>
      </w:r>
      <w:r>
        <w:rPr>
          <w:rFonts w:cs="Arial"/>
        </w:rPr>
        <w:t xml:space="preserve"> (</w:t>
      </w:r>
      <w:r w:rsidRPr="00AA39B8">
        <w:rPr>
          <w:rFonts w:cs="Arial"/>
        </w:rPr>
        <w:t>n=1,214)</w:t>
      </w:r>
      <w:r>
        <w:rPr>
          <w:rFonts w:cs="Arial"/>
        </w:rPr>
        <w:t>.</w:t>
      </w:r>
    </w:p>
    <w:p w14:paraId="09C696D2" w14:textId="77777777" w:rsidR="00572F25" w:rsidRPr="00C84C98" w:rsidRDefault="00572F25" w:rsidP="00572F25">
      <w:pPr>
        <w:rPr>
          <w:rFonts w:cs="Arial"/>
        </w:rPr>
      </w:pPr>
      <w:proofErr w:type="gramStart"/>
      <w:r w:rsidRPr="00AA39B8">
        <w:rPr>
          <w:rFonts w:cs="Arial"/>
        </w:rPr>
        <w:t>The majority of</w:t>
      </w:r>
      <w:proofErr w:type="gramEnd"/>
      <w:r w:rsidRPr="00AA39B8">
        <w:rPr>
          <w:rFonts w:cs="Arial"/>
        </w:rPr>
        <w:t xml:space="preserve"> inappropriate prescriptions were due to incorrect duration (75.0%); dose and frequency inconsistencies were the next most common reason (20.7%) (Figure 8).</w:t>
      </w:r>
    </w:p>
    <w:p w14:paraId="2294B0BC" w14:textId="77777777" w:rsidR="00572F25" w:rsidRDefault="00572F25" w:rsidP="00572F25">
      <w:pPr>
        <w:pStyle w:val="Captions"/>
      </w:pPr>
      <w:r w:rsidRPr="00473CA4">
        <w:t>Figure 8:</w:t>
      </w:r>
      <w:r w:rsidRPr="00473CA4">
        <w:tab/>
        <w:t>Reasons for inappropriateness</w:t>
      </w:r>
      <w:r>
        <w:t>*</w:t>
      </w:r>
      <w:r w:rsidRPr="00473CA4">
        <w:t>, by percentage of required post</w:t>
      </w:r>
      <w:r>
        <w:t>-</w:t>
      </w:r>
      <w:r w:rsidRPr="00473CA4">
        <w:t>procedural prophylactic antimicrobial prescriptions</w:t>
      </w:r>
      <w:r w:rsidRPr="004243B7">
        <w:rPr>
          <w:sz w:val="18"/>
          <w:szCs w:val="18"/>
          <w:vertAlign w:val="superscript"/>
        </w:rPr>
        <w:t>†</w:t>
      </w:r>
      <w:r w:rsidRPr="00473CA4">
        <w:t xml:space="preserve">, Surgical </w:t>
      </w:r>
      <w:r>
        <w:t xml:space="preserve">NAPS </w:t>
      </w:r>
      <w:r w:rsidRPr="00473CA4">
        <w:t xml:space="preserve">contributor facilities, </w:t>
      </w:r>
      <w:proofErr w:type="gramStart"/>
      <w:r w:rsidRPr="00473CA4">
        <w:t>20</w:t>
      </w:r>
      <w:r>
        <w:t>21</w:t>
      </w:r>
      <w:proofErr w:type="gramEnd"/>
    </w:p>
    <w:p w14:paraId="3D4CE9D9" w14:textId="77777777" w:rsidR="00CB6CCD" w:rsidRDefault="00CB6CCD" w:rsidP="00572F25">
      <w:pPr>
        <w:pStyle w:val="Captions"/>
      </w:pPr>
      <w:r>
        <w:rPr>
          <w:noProof/>
        </w:rPr>
        <w:drawing>
          <wp:inline distT="0" distB="0" distL="0" distR="0" wp14:anchorId="7668BBD5" wp14:editId="0D3BA0DB">
            <wp:extent cx="5848350" cy="3086100"/>
            <wp:effectExtent l="0" t="0" r="0" b="0"/>
            <wp:docPr id="18" name="Chart 18" descr="This is a bar graph showing the level of, and reason for, the inappropriate prescribing of required post-procedural prophylactic prescriptions. ">
              <a:extLst xmlns:a="http://schemas.openxmlformats.org/drawingml/2006/main">
                <a:ext uri="{FF2B5EF4-FFF2-40B4-BE49-F238E27FC236}">
                  <a16:creationId xmlns:a16="http://schemas.microsoft.com/office/drawing/2014/main"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AB40399" w14:textId="77777777" w:rsidR="00572F25" w:rsidRPr="00045E25" w:rsidRDefault="00572F25" w:rsidP="00572F25">
      <w:pPr>
        <w:pStyle w:val="Notes"/>
      </w:pPr>
      <w:r w:rsidRPr="00AA0BCF">
        <w:t>*</w:t>
      </w:r>
      <w:r>
        <w:t xml:space="preserve"> </w:t>
      </w:r>
      <w:r w:rsidRPr="00C30831">
        <w:t xml:space="preserve">For appropriateness definitions, refer to </w:t>
      </w:r>
      <w:hyperlink w:anchor="_Appendix_7:_Surgical" w:history="1">
        <w:r w:rsidRPr="000B5A43">
          <w:rPr>
            <w:rStyle w:val="FollowedHyperlink"/>
            <w:color w:val="70480E"/>
          </w:rPr>
          <w:t>Appendix 7</w:t>
        </w:r>
      </w:hyperlink>
      <w:r w:rsidRPr="00C30831">
        <w:t>.</w:t>
      </w:r>
      <w:r w:rsidRPr="00045E25">
        <w:t xml:space="preserve"> </w:t>
      </w:r>
    </w:p>
    <w:p w14:paraId="76FACF48" w14:textId="77777777" w:rsidR="00572F25" w:rsidRPr="00045E25" w:rsidRDefault="00572F25" w:rsidP="00572F25">
      <w:pPr>
        <w:pStyle w:val="Notes"/>
      </w:pPr>
      <w:r w:rsidRPr="001C6BC7">
        <w:rPr>
          <w:vertAlign w:val="superscript"/>
        </w:rPr>
        <w:t>†</w:t>
      </w:r>
      <w:r w:rsidRPr="00045E25">
        <w:t xml:space="preserve"> </w:t>
      </w:r>
      <w:r w:rsidRPr="00C30831">
        <w:t xml:space="preserve">n=1,214 prescriptions </w:t>
      </w:r>
      <w:r w:rsidRPr="00045E25">
        <w:t>where post</w:t>
      </w:r>
      <w:r>
        <w:t>-</w:t>
      </w:r>
      <w:r w:rsidRPr="00045E25">
        <w:t>procedural antimicrobial prophylaxis was required and deemed inappropriate</w:t>
      </w:r>
      <w:r>
        <w:t>.</w:t>
      </w:r>
    </w:p>
    <w:p w14:paraId="0EEF0109" w14:textId="77777777" w:rsidR="00572F25" w:rsidRPr="009967BA" w:rsidRDefault="00572F25" w:rsidP="00572F25">
      <w:pPr>
        <w:pStyle w:val="Heading5"/>
        <w:ind w:left="1008" w:hanging="1008"/>
      </w:pPr>
      <w:r w:rsidRPr="009967BA">
        <w:t>Duration greater than 24 hours</w:t>
      </w:r>
    </w:p>
    <w:p w14:paraId="02075DC3" w14:textId="77777777" w:rsidR="00572F25" w:rsidRPr="00E10A60" w:rsidRDefault="00572F25" w:rsidP="00572F25">
      <w:r w:rsidRPr="00E10A60">
        <w:t>Of all post</w:t>
      </w:r>
      <w:r>
        <w:t>-</w:t>
      </w:r>
      <w:r w:rsidRPr="00E10A60">
        <w:t>procedural prescriptions, 68.9% involved prophylaxis for greater than 24 hours (Table</w:t>
      </w:r>
      <w:r>
        <w:t> </w:t>
      </w:r>
      <w:r w:rsidRPr="00E10A60">
        <w:t xml:space="preserve">4). Of those prescribed for up to or greater than 48 hours (42.4%), </w:t>
      </w:r>
      <w:r>
        <w:t xml:space="preserve">5 </w:t>
      </w:r>
      <w:r w:rsidRPr="00E10A60">
        <w:t xml:space="preserve">of the </w:t>
      </w:r>
      <w:r>
        <w:t>15</w:t>
      </w:r>
      <w:r w:rsidRPr="00E10A60">
        <w:t xml:space="preserve"> procedural groups had rates greater than </w:t>
      </w:r>
      <w:r>
        <w:t>70%. T</w:t>
      </w:r>
      <w:r w:rsidRPr="00E10A60">
        <w:t xml:space="preserve">hese were dentoalveolar </w:t>
      </w:r>
      <w:r>
        <w:t xml:space="preserve">surgery </w:t>
      </w:r>
      <w:r w:rsidRPr="00E10A60">
        <w:t>(96.9%), gastrointestinal endoscopic procedures (75.0%), plastic and reconstructive</w:t>
      </w:r>
      <w:r>
        <w:t xml:space="preserve"> surgery</w:t>
      </w:r>
      <w:r w:rsidRPr="00E10A60">
        <w:t xml:space="preserve"> (74.9%), ophthalmology (73.0%)</w:t>
      </w:r>
      <w:r>
        <w:t xml:space="preserve">, and </w:t>
      </w:r>
      <w:r w:rsidRPr="00E10A60">
        <w:t>head and neck</w:t>
      </w:r>
      <w:r>
        <w:t xml:space="preserve"> surgery</w:t>
      </w:r>
      <w:r w:rsidRPr="00E10A60">
        <w:t xml:space="preserve"> (71.9%)</w:t>
      </w:r>
      <w:r>
        <w:t>.</w:t>
      </w:r>
    </w:p>
    <w:p w14:paraId="6FA4AAC0" w14:textId="77777777" w:rsidR="00572F25" w:rsidRDefault="00572F25" w:rsidP="00572F25">
      <w:r w:rsidRPr="00E10A60">
        <w:t xml:space="preserve">When </w:t>
      </w:r>
      <w:r>
        <w:t xml:space="preserve">the </w:t>
      </w:r>
      <w:r w:rsidRPr="00E10A60">
        <w:t xml:space="preserve">burden of episodes audited is considered, 53.7% of all prescriptions up to or greater than 48 hours are accounted for by </w:t>
      </w:r>
      <w:r>
        <w:t>3</w:t>
      </w:r>
      <w:r w:rsidRPr="00E10A60">
        <w:t xml:space="preserve"> procedure groups: ophthalmology (n=491 prescriptions), plastic and reconstructive surgery (</w:t>
      </w:r>
      <w:r w:rsidRPr="00E10A60">
        <w:rPr>
          <w:iCs/>
        </w:rPr>
        <w:t>n</w:t>
      </w:r>
      <w:r w:rsidRPr="00E10A60">
        <w:t xml:space="preserve">=299 </w:t>
      </w:r>
      <w:r>
        <w:t xml:space="preserve">prescriptions) and </w:t>
      </w:r>
      <w:r w:rsidRPr="00E10A60">
        <w:t>orthopaedic surgery (n=253 prescriptions)</w:t>
      </w:r>
      <w:r>
        <w:t>.</w:t>
      </w:r>
    </w:p>
    <w:p w14:paraId="1B376856" w14:textId="77777777" w:rsidR="00572F25" w:rsidRDefault="00572F25" w:rsidP="00572F25">
      <w:r>
        <w:t>In comparison to the 2020 report, there is noticeable improvement for orthopaedic surgery, in which post-procedural antimicrobial prescriptions with a duration greater than 48 hours reduced from 39.1% (2020) to 14.8% (2021). In contrast</w:t>
      </w:r>
      <w:r w:rsidRPr="00BE1625">
        <w:t>,</w:t>
      </w:r>
      <w:r>
        <w:t xml:space="preserve"> plastic and reconstructive surgery prescriptions increased from 35.9% (2020) to 74.9% (2021), and dentoalveolar surgery prescriptions increased from 39.7% (2020) to 96.9% (2021).</w:t>
      </w:r>
    </w:p>
    <w:p w14:paraId="37AA7AE4" w14:textId="77777777" w:rsidR="00572F25" w:rsidRPr="00BB003D" w:rsidRDefault="00572F25" w:rsidP="00572F25">
      <w:pPr>
        <w:pStyle w:val="Captions"/>
      </w:pPr>
      <w:r w:rsidRPr="00570F07">
        <w:lastRenderedPageBreak/>
        <w:t>Table 4:</w:t>
      </w:r>
      <w:r w:rsidRPr="00570F07">
        <w:tab/>
        <w:t xml:space="preserve">Duration of surgical prophylaxis and percentage prescribed for greater than 24 and 48 </w:t>
      </w:r>
      <w:r w:rsidRPr="003E5C63">
        <w:t xml:space="preserve">hours, by procedure group, Surgical </w:t>
      </w:r>
      <w:r>
        <w:t>NAPS</w:t>
      </w:r>
      <w:r w:rsidRPr="003E5C63">
        <w:t xml:space="preserve"> contributor facilities, </w:t>
      </w:r>
      <w:proofErr w:type="gramStart"/>
      <w:r w:rsidRPr="003E5C63">
        <w:t>20</w:t>
      </w:r>
      <w:r>
        <w:t>21</w:t>
      </w:r>
      <w:proofErr w:type="gramEnd"/>
    </w:p>
    <w:tbl>
      <w:tblPr>
        <w:tblW w:w="9062" w:type="dxa"/>
        <w:tblLayout w:type="fixed"/>
        <w:tblLook w:val="04A0" w:firstRow="1" w:lastRow="0" w:firstColumn="1" w:lastColumn="0" w:noHBand="0" w:noVBand="1"/>
      </w:tblPr>
      <w:tblGrid>
        <w:gridCol w:w="2684"/>
        <w:gridCol w:w="1417"/>
        <w:gridCol w:w="992"/>
        <w:gridCol w:w="993"/>
        <w:gridCol w:w="744"/>
        <w:gridCol w:w="744"/>
        <w:gridCol w:w="744"/>
        <w:gridCol w:w="744"/>
      </w:tblGrid>
      <w:tr w:rsidR="00572F25" w:rsidRPr="00E10A60" w14:paraId="2E87FA00" w14:textId="77777777" w:rsidTr="00140544">
        <w:trPr>
          <w:trHeight w:val="510"/>
        </w:trPr>
        <w:tc>
          <w:tcPr>
            <w:tcW w:w="2684" w:type="dxa"/>
            <w:vMerge w:val="restart"/>
            <w:tcBorders>
              <w:top w:val="single" w:sz="8" w:space="0" w:color="auto"/>
              <w:left w:val="single" w:sz="8" w:space="0" w:color="auto"/>
              <w:bottom w:val="nil"/>
              <w:right w:val="nil"/>
            </w:tcBorders>
            <w:shd w:val="clear" w:color="000000" w:fill="007D75"/>
            <w:noWrap/>
            <w:vAlign w:val="center"/>
            <w:hideMark/>
          </w:tcPr>
          <w:p w14:paraId="223959E4" w14:textId="77777777" w:rsidR="00572F25" w:rsidRPr="00E10A60" w:rsidRDefault="00572F25" w:rsidP="00140544">
            <w:pPr>
              <w:keepNext/>
              <w:keepLines/>
              <w:spacing w:after="0"/>
              <w:rPr>
                <w:rFonts w:cs="Arial"/>
                <w:color w:val="FFFFFF"/>
                <w:sz w:val="20"/>
                <w:szCs w:val="20"/>
              </w:rPr>
            </w:pPr>
            <w:r w:rsidRPr="00E10A60">
              <w:rPr>
                <w:rFonts w:cs="Arial"/>
                <w:color w:val="FFFFFF"/>
                <w:sz w:val="20"/>
                <w:szCs w:val="20"/>
              </w:rPr>
              <w:t>Procedure group</w:t>
            </w:r>
          </w:p>
        </w:tc>
        <w:tc>
          <w:tcPr>
            <w:tcW w:w="1417" w:type="dxa"/>
            <w:vMerge w:val="restart"/>
            <w:tcBorders>
              <w:top w:val="single" w:sz="8" w:space="0" w:color="auto"/>
              <w:left w:val="nil"/>
              <w:right w:val="nil"/>
            </w:tcBorders>
            <w:shd w:val="clear" w:color="000000" w:fill="007D75"/>
            <w:vAlign w:val="center"/>
            <w:hideMark/>
          </w:tcPr>
          <w:p w14:paraId="0D3A4A3C" w14:textId="77777777" w:rsidR="00572F25" w:rsidRPr="00E10A60" w:rsidRDefault="00572F25" w:rsidP="00140544">
            <w:pPr>
              <w:keepNext/>
              <w:keepLines/>
              <w:spacing w:after="0"/>
              <w:jc w:val="center"/>
              <w:rPr>
                <w:rFonts w:cs="Arial"/>
                <w:color w:val="FFFFFF"/>
                <w:sz w:val="20"/>
                <w:szCs w:val="20"/>
              </w:rPr>
            </w:pPr>
            <w:r w:rsidRPr="00E10A60">
              <w:rPr>
                <w:rFonts w:cs="Arial"/>
                <w:color w:val="FFFFFF"/>
                <w:sz w:val="20"/>
                <w:szCs w:val="20"/>
              </w:rPr>
              <w:t>Antimicrobial</w:t>
            </w:r>
          </w:p>
          <w:p w14:paraId="103EA170" w14:textId="77777777" w:rsidR="00572F25" w:rsidRPr="00E10A60" w:rsidRDefault="00572F25" w:rsidP="00140544">
            <w:pPr>
              <w:keepNext/>
              <w:keepLines/>
              <w:spacing w:after="0"/>
              <w:jc w:val="center"/>
              <w:rPr>
                <w:rFonts w:cs="Arial"/>
                <w:color w:val="FFFFFF"/>
                <w:sz w:val="20"/>
                <w:szCs w:val="20"/>
              </w:rPr>
            </w:pPr>
            <w:r>
              <w:rPr>
                <w:rFonts w:cs="Arial"/>
                <w:color w:val="FFFFFF"/>
                <w:sz w:val="20"/>
                <w:szCs w:val="20"/>
              </w:rPr>
              <w:t>p</w:t>
            </w:r>
            <w:r w:rsidRPr="00E10A60">
              <w:rPr>
                <w:rFonts w:cs="Arial"/>
                <w:color w:val="FFFFFF"/>
                <w:sz w:val="20"/>
                <w:szCs w:val="20"/>
              </w:rPr>
              <w:t>rescriptions</w:t>
            </w:r>
          </w:p>
        </w:tc>
        <w:tc>
          <w:tcPr>
            <w:tcW w:w="992" w:type="dxa"/>
            <w:vMerge w:val="restart"/>
            <w:tcBorders>
              <w:top w:val="single" w:sz="8" w:space="0" w:color="auto"/>
              <w:left w:val="nil"/>
              <w:bottom w:val="nil"/>
              <w:right w:val="nil"/>
            </w:tcBorders>
            <w:shd w:val="clear" w:color="000000" w:fill="007D75"/>
            <w:vAlign w:val="center"/>
            <w:hideMark/>
          </w:tcPr>
          <w:p w14:paraId="4DC3FDA9" w14:textId="77777777" w:rsidR="00572F25" w:rsidRPr="00E10A60" w:rsidRDefault="00572F25" w:rsidP="00140544">
            <w:pPr>
              <w:keepNext/>
              <w:keepLines/>
              <w:spacing w:after="0"/>
              <w:jc w:val="center"/>
              <w:rPr>
                <w:rFonts w:cs="Arial"/>
                <w:color w:val="FFFFFF"/>
                <w:sz w:val="20"/>
                <w:szCs w:val="20"/>
              </w:rPr>
            </w:pPr>
            <w:r w:rsidRPr="00E10A60">
              <w:rPr>
                <w:rFonts w:cs="Arial"/>
                <w:color w:val="FFFFFF"/>
                <w:sz w:val="20"/>
                <w:szCs w:val="20"/>
              </w:rPr>
              <w:t>Duration range</w:t>
            </w:r>
          </w:p>
        </w:tc>
        <w:tc>
          <w:tcPr>
            <w:tcW w:w="993" w:type="dxa"/>
            <w:vMerge w:val="restart"/>
            <w:tcBorders>
              <w:top w:val="single" w:sz="8" w:space="0" w:color="auto"/>
              <w:left w:val="nil"/>
              <w:bottom w:val="nil"/>
              <w:right w:val="nil"/>
            </w:tcBorders>
            <w:shd w:val="clear" w:color="000000" w:fill="007D75"/>
            <w:vAlign w:val="center"/>
            <w:hideMark/>
          </w:tcPr>
          <w:p w14:paraId="72E70A2B" w14:textId="77777777" w:rsidR="00572F25" w:rsidRPr="00E10A60" w:rsidRDefault="00572F25" w:rsidP="00140544">
            <w:pPr>
              <w:keepNext/>
              <w:keepLines/>
              <w:spacing w:after="0"/>
              <w:jc w:val="center"/>
              <w:rPr>
                <w:rFonts w:cs="Arial"/>
                <w:color w:val="FFFFFF"/>
                <w:sz w:val="20"/>
                <w:szCs w:val="20"/>
              </w:rPr>
            </w:pPr>
            <w:r w:rsidRPr="00E10A60">
              <w:rPr>
                <w:rFonts w:cs="Arial"/>
                <w:color w:val="FFFFFF"/>
                <w:sz w:val="20"/>
                <w:szCs w:val="20"/>
              </w:rPr>
              <w:t>Duration median</w:t>
            </w:r>
          </w:p>
        </w:tc>
        <w:tc>
          <w:tcPr>
            <w:tcW w:w="1488" w:type="dxa"/>
            <w:gridSpan w:val="2"/>
            <w:tcBorders>
              <w:top w:val="single" w:sz="8" w:space="0" w:color="auto"/>
              <w:left w:val="nil"/>
              <w:bottom w:val="nil"/>
              <w:right w:val="nil"/>
            </w:tcBorders>
            <w:shd w:val="clear" w:color="000000" w:fill="007D75"/>
            <w:vAlign w:val="center"/>
            <w:hideMark/>
          </w:tcPr>
          <w:p w14:paraId="247E024B" w14:textId="77777777" w:rsidR="00572F25" w:rsidRPr="00E10A60" w:rsidRDefault="00572F25" w:rsidP="00140544">
            <w:pPr>
              <w:keepNext/>
              <w:keepLines/>
              <w:spacing w:after="0"/>
              <w:jc w:val="center"/>
              <w:rPr>
                <w:rFonts w:cs="Arial"/>
                <w:color w:val="FFFFFF"/>
                <w:sz w:val="20"/>
                <w:szCs w:val="20"/>
              </w:rPr>
            </w:pPr>
            <w:r w:rsidRPr="00E10A60">
              <w:rPr>
                <w:rFonts w:cs="Arial"/>
                <w:color w:val="FFFFFF"/>
                <w:sz w:val="20"/>
                <w:szCs w:val="20"/>
              </w:rPr>
              <w:t>Duration</w:t>
            </w:r>
          </w:p>
        </w:tc>
        <w:tc>
          <w:tcPr>
            <w:tcW w:w="1488" w:type="dxa"/>
            <w:gridSpan w:val="2"/>
            <w:tcBorders>
              <w:top w:val="single" w:sz="8" w:space="0" w:color="auto"/>
              <w:left w:val="nil"/>
              <w:bottom w:val="nil"/>
              <w:right w:val="single" w:sz="8" w:space="0" w:color="000000"/>
            </w:tcBorders>
            <w:shd w:val="clear" w:color="000000" w:fill="007D75"/>
            <w:vAlign w:val="center"/>
            <w:hideMark/>
          </w:tcPr>
          <w:p w14:paraId="112AB5AA" w14:textId="77777777" w:rsidR="00572F25" w:rsidRPr="00E10A60" w:rsidRDefault="00572F25" w:rsidP="00140544">
            <w:pPr>
              <w:keepNext/>
              <w:keepLines/>
              <w:spacing w:after="0"/>
              <w:jc w:val="center"/>
              <w:rPr>
                <w:rFonts w:cs="Arial"/>
                <w:color w:val="FFFFFF"/>
                <w:sz w:val="20"/>
                <w:szCs w:val="20"/>
              </w:rPr>
            </w:pPr>
            <w:r w:rsidRPr="00E10A60">
              <w:rPr>
                <w:rFonts w:cs="Arial"/>
                <w:color w:val="FFFFFF"/>
                <w:sz w:val="20"/>
                <w:szCs w:val="20"/>
              </w:rPr>
              <w:t>Duration</w:t>
            </w:r>
          </w:p>
        </w:tc>
      </w:tr>
      <w:tr w:rsidR="00572F25" w:rsidRPr="00E10A60" w14:paraId="60384941" w14:textId="77777777" w:rsidTr="00140544">
        <w:trPr>
          <w:trHeight w:val="510"/>
        </w:trPr>
        <w:tc>
          <w:tcPr>
            <w:tcW w:w="2684" w:type="dxa"/>
            <w:vMerge/>
            <w:tcBorders>
              <w:top w:val="single" w:sz="8" w:space="0" w:color="auto"/>
              <w:left w:val="single" w:sz="8" w:space="0" w:color="auto"/>
              <w:bottom w:val="nil"/>
              <w:right w:val="nil"/>
            </w:tcBorders>
            <w:vAlign w:val="center"/>
            <w:hideMark/>
          </w:tcPr>
          <w:p w14:paraId="318E912A" w14:textId="77777777" w:rsidR="00572F25" w:rsidRPr="00E10A60" w:rsidRDefault="00572F25" w:rsidP="00140544">
            <w:pPr>
              <w:keepNext/>
              <w:keepLines/>
              <w:spacing w:after="0"/>
              <w:rPr>
                <w:rFonts w:cs="Arial"/>
                <w:color w:val="FFFFFF"/>
                <w:sz w:val="20"/>
                <w:szCs w:val="20"/>
              </w:rPr>
            </w:pPr>
          </w:p>
        </w:tc>
        <w:tc>
          <w:tcPr>
            <w:tcW w:w="1417" w:type="dxa"/>
            <w:vMerge/>
            <w:tcBorders>
              <w:left w:val="nil"/>
              <w:bottom w:val="nil"/>
              <w:right w:val="nil"/>
            </w:tcBorders>
            <w:shd w:val="clear" w:color="000000" w:fill="007D75"/>
            <w:vAlign w:val="center"/>
            <w:hideMark/>
          </w:tcPr>
          <w:p w14:paraId="4563D6D1" w14:textId="77777777" w:rsidR="00572F25" w:rsidRPr="00E10A60" w:rsidRDefault="00572F25" w:rsidP="00140544">
            <w:pPr>
              <w:keepNext/>
              <w:keepLines/>
              <w:spacing w:after="0"/>
              <w:jc w:val="center"/>
              <w:rPr>
                <w:rFonts w:cs="Arial"/>
                <w:color w:val="FFFFFF"/>
                <w:sz w:val="20"/>
                <w:szCs w:val="20"/>
              </w:rPr>
            </w:pPr>
          </w:p>
        </w:tc>
        <w:tc>
          <w:tcPr>
            <w:tcW w:w="992" w:type="dxa"/>
            <w:vMerge/>
            <w:tcBorders>
              <w:top w:val="single" w:sz="8" w:space="0" w:color="auto"/>
              <w:left w:val="nil"/>
              <w:bottom w:val="nil"/>
              <w:right w:val="nil"/>
            </w:tcBorders>
            <w:vAlign w:val="center"/>
            <w:hideMark/>
          </w:tcPr>
          <w:p w14:paraId="2234F29C" w14:textId="77777777" w:rsidR="00572F25" w:rsidRPr="00E10A60" w:rsidRDefault="00572F25" w:rsidP="00140544">
            <w:pPr>
              <w:keepNext/>
              <w:keepLines/>
              <w:spacing w:after="0"/>
              <w:rPr>
                <w:rFonts w:cs="Arial"/>
                <w:color w:val="FFFFFF"/>
                <w:sz w:val="20"/>
                <w:szCs w:val="20"/>
              </w:rPr>
            </w:pPr>
          </w:p>
        </w:tc>
        <w:tc>
          <w:tcPr>
            <w:tcW w:w="993" w:type="dxa"/>
            <w:vMerge/>
            <w:tcBorders>
              <w:top w:val="single" w:sz="8" w:space="0" w:color="auto"/>
              <w:left w:val="nil"/>
              <w:bottom w:val="nil"/>
              <w:right w:val="nil"/>
            </w:tcBorders>
            <w:vAlign w:val="center"/>
            <w:hideMark/>
          </w:tcPr>
          <w:p w14:paraId="644C069D" w14:textId="77777777" w:rsidR="00572F25" w:rsidRPr="00E10A60" w:rsidRDefault="00572F25" w:rsidP="00140544">
            <w:pPr>
              <w:keepNext/>
              <w:keepLines/>
              <w:spacing w:after="0"/>
              <w:rPr>
                <w:rFonts w:cs="Arial"/>
                <w:color w:val="FFFFFF"/>
                <w:sz w:val="20"/>
                <w:szCs w:val="20"/>
              </w:rPr>
            </w:pPr>
          </w:p>
        </w:tc>
        <w:tc>
          <w:tcPr>
            <w:tcW w:w="1488" w:type="dxa"/>
            <w:gridSpan w:val="2"/>
            <w:tcBorders>
              <w:top w:val="nil"/>
              <w:left w:val="nil"/>
              <w:bottom w:val="nil"/>
              <w:right w:val="nil"/>
            </w:tcBorders>
            <w:shd w:val="clear" w:color="000000" w:fill="007D75"/>
            <w:vAlign w:val="center"/>
            <w:hideMark/>
          </w:tcPr>
          <w:p w14:paraId="53A69ADD" w14:textId="77777777" w:rsidR="00572F25" w:rsidRPr="00E10A60" w:rsidRDefault="00572F25" w:rsidP="00140544">
            <w:pPr>
              <w:keepNext/>
              <w:keepLines/>
              <w:spacing w:after="0"/>
              <w:jc w:val="center"/>
              <w:rPr>
                <w:rFonts w:cs="Arial"/>
                <w:color w:val="FFFFFF"/>
                <w:sz w:val="20"/>
                <w:szCs w:val="20"/>
              </w:rPr>
            </w:pPr>
            <w:r w:rsidRPr="00E10A60">
              <w:rPr>
                <w:rFonts w:cs="Arial"/>
                <w:color w:val="FFFFFF"/>
                <w:sz w:val="20"/>
                <w:szCs w:val="20"/>
              </w:rPr>
              <w:t>&gt;24 hours</w:t>
            </w:r>
          </w:p>
        </w:tc>
        <w:tc>
          <w:tcPr>
            <w:tcW w:w="1488" w:type="dxa"/>
            <w:gridSpan w:val="2"/>
            <w:tcBorders>
              <w:top w:val="nil"/>
              <w:left w:val="nil"/>
              <w:bottom w:val="nil"/>
              <w:right w:val="single" w:sz="8" w:space="0" w:color="000000"/>
            </w:tcBorders>
            <w:shd w:val="clear" w:color="000000" w:fill="007D75"/>
            <w:vAlign w:val="center"/>
            <w:hideMark/>
          </w:tcPr>
          <w:p w14:paraId="398FE45B" w14:textId="77777777" w:rsidR="00572F25" w:rsidRPr="00E10A60" w:rsidRDefault="00572F25" w:rsidP="00140544">
            <w:pPr>
              <w:keepNext/>
              <w:keepLines/>
              <w:spacing w:after="0"/>
              <w:jc w:val="center"/>
              <w:rPr>
                <w:rFonts w:cs="Arial"/>
                <w:color w:val="FFFFFF"/>
                <w:sz w:val="20"/>
                <w:szCs w:val="20"/>
              </w:rPr>
            </w:pPr>
            <w:r w:rsidRPr="00E10A60">
              <w:rPr>
                <w:rFonts w:cs="Arial"/>
                <w:color w:val="FFFFFF"/>
                <w:sz w:val="20"/>
                <w:szCs w:val="20"/>
              </w:rPr>
              <w:t>&gt;48 hours</w:t>
            </w:r>
          </w:p>
        </w:tc>
      </w:tr>
      <w:tr w:rsidR="00572F25" w:rsidRPr="00E10A60" w14:paraId="0046E41F" w14:textId="77777777" w:rsidTr="00140544">
        <w:trPr>
          <w:trHeight w:val="300"/>
        </w:trPr>
        <w:tc>
          <w:tcPr>
            <w:tcW w:w="2684" w:type="dxa"/>
            <w:vMerge/>
            <w:tcBorders>
              <w:top w:val="single" w:sz="8" w:space="0" w:color="auto"/>
              <w:left w:val="single" w:sz="8" w:space="0" w:color="auto"/>
              <w:bottom w:val="nil"/>
              <w:right w:val="nil"/>
            </w:tcBorders>
            <w:vAlign w:val="center"/>
            <w:hideMark/>
          </w:tcPr>
          <w:p w14:paraId="6A5F266A" w14:textId="77777777" w:rsidR="00572F25" w:rsidRPr="00E10A60" w:rsidRDefault="00572F25" w:rsidP="00140544">
            <w:pPr>
              <w:keepNext/>
              <w:keepLines/>
              <w:spacing w:after="0"/>
              <w:rPr>
                <w:rFonts w:cs="Arial"/>
                <w:color w:val="FFFFFF"/>
                <w:sz w:val="20"/>
                <w:szCs w:val="20"/>
              </w:rPr>
            </w:pPr>
          </w:p>
        </w:tc>
        <w:tc>
          <w:tcPr>
            <w:tcW w:w="1417" w:type="dxa"/>
            <w:tcBorders>
              <w:top w:val="nil"/>
              <w:left w:val="nil"/>
              <w:bottom w:val="nil"/>
              <w:right w:val="nil"/>
            </w:tcBorders>
            <w:shd w:val="clear" w:color="000000" w:fill="007D75"/>
            <w:vAlign w:val="center"/>
            <w:hideMark/>
          </w:tcPr>
          <w:p w14:paraId="5F51AE9C" w14:textId="77777777" w:rsidR="00572F25" w:rsidRPr="00E10A60" w:rsidRDefault="00572F25" w:rsidP="00140544">
            <w:pPr>
              <w:keepNext/>
              <w:keepLines/>
              <w:spacing w:after="0"/>
              <w:jc w:val="center"/>
              <w:rPr>
                <w:rFonts w:cs="Arial"/>
                <w:color w:val="FFFFFF"/>
                <w:sz w:val="20"/>
                <w:szCs w:val="20"/>
              </w:rPr>
            </w:pPr>
            <w:r w:rsidRPr="00E10A60">
              <w:rPr>
                <w:rFonts w:cs="Arial"/>
                <w:color w:val="FFFFFF"/>
                <w:sz w:val="20"/>
                <w:szCs w:val="20"/>
              </w:rPr>
              <w:t>(n)</w:t>
            </w:r>
          </w:p>
        </w:tc>
        <w:tc>
          <w:tcPr>
            <w:tcW w:w="992" w:type="dxa"/>
            <w:tcBorders>
              <w:top w:val="nil"/>
              <w:left w:val="nil"/>
              <w:bottom w:val="nil"/>
              <w:right w:val="nil"/>
            </w:tcBorders>
            <w:shd w:val="clear" w:color="000000" w:fill="007D75"/>
            <w:vAlign w:val="center"/>
            <w:hideMark/>
          </w:tcPr>
          <w:p w14:paraId="5BA48B69" w14:textId="77777777" w:rsidR="00572F25" w:rsidRPr="00E10A60" w:rsidRDefault="00572F25" w:rsidP="00140544">
            <w:pPr>
              <w:keepNext/>
              <w:keepLines/>
              <w:spacing w:after="0"/>
              <w:jc w:val="center"/>
              <w:rPr>
                <w:rFonts w:cs="Arial"/>
                <w:color w:val="FFFFFF"/>
                <w:sz w:val="20"/>
                <w:szCs w:val="20"/>
              </w:rPr>
            </w:pPr>
            <w:r w:rsidRPr="00E10A60">
              <w:rPr>
                <w:rFonts w:cs="Arial"/>
                <w:color w:val="FFFFFF"/>
                <w:sz w:val="20"/>
                <w:szCs w:val="20"/>
              </w:rPr>
              <w:t>(days)</w:t>
            </w:r>
          </w:p>
        </w:tc>
        <w:tc>
          <w:tcPr>
            <w:tcW w:w="993" w:type="dxa"/>
            <w:tcBorders>
              <w:top w:val="nil"/>
              <w:left w:val="nil"/>
              <w:bottom w:val="nil"/>
              <w:right w:val="nil"/>
            </w:tcBorders>
            <w:shd w:val="clear" w:color="000000" w:fill="007D75"/>
            <w:vAlign w:val="center"/>
            <w:hideMark/>
          </w:tcPr>
          <w:p w14:paraId="528514D5" w14:textId="77777777" w:rsidR="00572F25" w:rsidRPr="00E10A60" w:rsidRDefault="00572F25" w:rsidP="00140544">
            <w:pPr>
              <w:keepNext/>
              <w:keepLines/>
              <w:spacing w:after="0"/>
              <w:jc w:val="center"/>
              <w:rPr>
                <w:rFonts w:cs="Arial"/>
                <w:color w:val="FFFFFF"/>
                <w:sz w:val="20"/>
                <w:szCs w:val="20"/>
              </w:rPr>
            </w:pPr>
            <w:r w:rsidRPr="00E10A60">
              <w:rPr>
                <w:rFonts w:cs="Arial"/>
                <w:color w:val="FFFFFF"/>
                <w:sz w:val="20"/>
                <w:szCs w:val="20"/>
              </w:rPr>
              <w:t>(days)</w:t>
            </w:r>
          </w:p>
        </w:tc>
        <w:tc>
          <w:tcPr>
            <w:tcW w:w="1488" w:type="dxa"/>
            <w:gridSpan w:val="2"/>
            <w:tcBorders>
              <w:top w:val="nil"/>
              <w:left w:val="nil"/>
              <w:bottom w:val="nil"/>
              <w:right w:val="nil"/>
            </w:tcBorders>
            <w:shd w:val="clear" w:color="000000" w:fill="007D75"/>
            <w:vAlign w:val="center"/>
            <w:hideMark/>
          </w:tcPr>
          <w:p w14:paraId="567D197A" w14:textId="77777777" w:rsidR="00572F25" w:rsidRPr="00E10A60" w:rsidRDefault="00572F25" w:rsidP="00140544">
            <w:pPr>
              <w:keepNext/>
              <w:keepLines/>
              <w:spacing w:after="0"/>
              <w:jc w:val="center"/>
              <w:rPr>
                <w:rFonts w:cs="Arial"/>
                <w:color w:val="FFFFFF"/>
                <w:sz w:val="20"/>
                <w:szCs w:val="20"/>
              </w:rPr>
            </w:pPr>
            <w:r w:rsidRPr="00E10A60">
              <w:rPr>
                <w:rFonts w:cs="Arial"/>
                <w:color w:val="FFFFFF"/>
                <w:sz w:val="20"/>
                <w:szCs w:val="20"/>
              </w:rPr>
              <w:t>(n) (%)</w:t>
            </w:r>
          </w:p>
        </w:tc>
        <w:tc>
          <w:tcPr>
            <w:tcW w:w="1488" w:type="dxa"/>
            <w:gridSpan w:val="2"/>
            <w:tcBorders>
              <w:top w:val="nil"/>
              <w:left w:val="nil"/>
              <w:bottom w:val="nil"/>
              <w:right w:val="single" w:sz="8" w:space="0" w:color="000000"/>
            </w:tcBorders>
            <w:shd w:val="clear" w:color="000000" w:fill="007D75"/>
            <w:vAlign w:val="center"/>
            <w:hideMark/>
          </w:tcPr>
          <w:p w14:paraId="18473EF4" w14:textId="77777777" w:rsidR="00572F25" w:rsidRPr="00E10A60" w:rsidRDefault="00572F25" w:rsidP="00140544">
            <w:pPr>
              <w:keepNext/>
              <w:keepLines/>
              <w:spacing w:after="0"/>
              <w:jc w:val="center"/>
              <w:rPr>
                <w:rFonts w:cs="Arial"/>
                <w:color w:val="FFFFFF"/>
                <w:sz w:val="20"/>
                <w:szCs w:val="20"/>
              </w:rPr>
            </w:pPr>
            <w:r w:rsidRPr="00E10A60">
              <w:rPr>
                <w:rFonts w:cs="Arial"/>
                <w:color w:val="FFFFFF"/>
                <w:sz w:val="20"/>
                <w:szCs w:val="20"/>
              </w:rPr>
              <w:t>(n) (%)</w:t>
            </w:r>
          </w:p>
        </w:tc>
      </w:tr>
      <w:tr w:rsidR="00572F25" w:rsidRPr="00E10A60" w14:paraId="288EB5EA" w14:textId="77777777" w:rsidTr="00140544">
        <w:trPr>
          <w:trHeight w:val="300"/>
        </w:trPr>
        <w:tc>
          <w:tcPr>
            <w:tcW w:w="2684" w:type="dxa"/>
            <w:tcBorders>
              <w:top w:val="nil"/>
              <w:left w:val="single" w:sz="8" w:space="0" w:color="auto"/>
              <w:bottom w:val="nil"/>
              <w:right w:val="single" w:sz="8" w:space="0" w:color="auto"/>
            </w:tcBorders>
            <w:shd w:val="clear" w:color="auto" w:fill="auto"/>
            <w:noWrap/>
            <w:vAlign w:val="bottom"/>
            <w:hideMark/>
          </w:tcPr>
          <w:p w14:paraId="3AAA25B2" w14:textId="77777777" w:rsidR="00572F25" w:rsidRPr="00C56C81" w:rsidRDefault="00572F25" w:rsidP="00140544">
            <w:pPr>
              <w:keepNext/>
              <w:keepLines/>
              <w:spacing w:after="0"/>
              <w:rPr>
                <w:rFonts w:cs="Arial"/>
                <w:color w:val="000000"/>
                <w:sz w:val="18"/>
              </w:rPr>
            </w:pPr>
            <w:r w:rsidRPr="00C56C81">
              <w:rPr>
                <w:rFonts w:cs="Arial"/>
                <w:color w:val="000000"/>
                <w:sz w:val="18"/>
              </w:rPr>
              <w:t>Orthopaedic surgery</w:t>
            </w:r>
          </w:p>
        </w:tc>
        <w:tc>
          <w:tcPr>
            <w:tcW w:w="1417" w:type="dxa"/>
            <w:tcBorders>
              <w:top w:val="nil"/>
              <w:left w:val="nil"/>
              <w:bottom w:val="nil"/>
              <w:right w:val="nil"/>
            </w:tcBorders>
            <w:shd w:val="clear" w:color="auto" w:fill="auto"/>
            <w:noWrap/>
            <w:vAlign w:val="center"/>
            <w:hideMark/>
          </w:tcPr>
          <w:p w14:paraId="2C74EC7E" w14:textId="77777777" w:rsidR="00572F25" w:rsidRPr="00E10A60" w:rsidRDefault="00572F25" w:rsidP="00140544">
            <w:pPr>
              <w:keepNext/>
              <w:keepLines/>
              <w:spacing w:after="0"/>
              <w:jc w:val="center"/>
              <w:rPr>
                <w:rFonts w:cs="Arial"/>
                <w:color w:val="000000"/>
                <w:sz w:val="18"/>
                <w:szCs w:val="18"/>
              </w:rPr>
            </w:pPr>
            <w:r w:rsidRPr="00E10A60">
              <w:rPr>
                <w:rFonts w:cs="Arial"/>
                <w:color w:val="000000"/>
                <w:sz w:val="18"/>
                <w:szCs w:val="18"/>
              </w:rPr>
              <w:t>1,713</w:t>
            </w:r>
          </w:p>
        </w:tc>
        <w:tc>
          <w:tcPr>
            <w:tcW w:w="992" w:type="dxa"/>
            <w:tcBorders>
              <w:top w:val="nil"/>
              <w:left w:val="nil"/>
              <w:bottom w:val="nil"/>
              <w:right w:val="nil"/>
            </w:tcBorders>
            <w:shd w:val="clear" w:color="auto" w:fill="auto"/>
            <w:noWrap/>
            <w:vAlign w:val="center"/>
            <w:hideMark/>
          </w:tcPr>
          <w:p w14:paraId="1CA162EF" w14:textId="77777777" w:rsidR="00572F25" w:rsidRPr="00E10A60" w:rsidRDefault="00572F25" w:rsidP="00140544">
            <w:pPr>
              <w:keepNext/>
              <w:keepLines/>
              <w:spacing w:after="0"/>
              <w:jc w:val="center"/>
              <w:rPr>
                <w:rFonts w:cs="Arial"/>
                <w:color w:val="000000"/>
                <w:sz w:val="18"/>
                <w:szCs w:val="18"/>
              </w:rPr>
            </w:pPr>
            <w:r w:rsidRPr="00E10A60">
              <w:rPr>
                <w:rFonts w:cs="Arial"/>
                <w:color w:val="000000"/>
                <w:sz w:val="18"/>
                <w:szCs w:val="18"/>
              </w:rPr>
              <w:t>1</w:t>
            </w:r>
            <w:r>
              <w:rPr>
                <w:rFonts w:cs="Arial"/>
                <w:color w:val="000000"/>
                <w:sz w:val="18"/>
                <w:szCs w:val="18"/>
              </w:rPr>
              <w:t>–</w:t>
            </w:r>
            <w:r w:rsidRPr="00E10A60">
              <w:rPr>
                <w:rFonts w:cs="Arial"/>
                <w:color w:val="000000"/>
                <w:sz w:val="18"/>
                <w:szCs w:val="18"/>
              </w:rPr>
              <w:t>23</w:t>
            </w:r>
          </w:p>
        </w:tc>
        <w:tc>
          <w:tcPr>
            <w:tcW w:w="993" w:type="dxa"/>
            <w:tcBorders>
              <w:top w:val="nil"/>
              <w:left w:val="nil"/>
              <w:bottom w:val="nil"/>
              <w:right w:val="nil"/>
            </w:tcBorders>
            <w:shd w:val="clear" w:color="auto" w:fill="auto"/>
            <w:noWrap/>
            <w:vAlign w:val="center"/>
            <w:hideMark/>
          </w:tcPr>
          <w:p w14:paraId="765D3766" w14:textId="77777777" w:rsidR="00572F25" w:rsidRPr="00E10A60" w:rsidRDefault="00572F25" w:rsidP="00140544">
            <w:pPr>
              <w:keepNext/>
              <w:keepLines/>
              <w:spacing w:after="0"/>
              <w:jc w:val="center"/>
              <w:rPr>
                <w:rFonts w:cs="Arial"/>
                <w:color w:val="000000"/>
                <w:sz w:val="18"/>
                <w:szCs w:val="18"/>
              </w:rPr>
            </w:pPr>
            <w:r w:rsidRPr="00E10A60">
              <w:rPr>
                <w:rFonts w:cs="Arial"/>
                <w:color w:val="000000"/>
                <w:sz w:val="18"/>
                <w:szCs w:val="18"/>
              </w:rPr>
              <w:t>1</w:t>
            </w:r>
          </w:p>
        </w:tc>
        <w:tc>
          <w:tcPr>
            <w:tcW w:w="744" w:type="dxa"/>
            <w:tcBorders>
              <w:top w:val="nil"/>
              <w:left w:val="nil"/>
              <w:bottom w:val="nil"/>
              <w:right w:val="nil"/>
            </w:tcBorders>
            <w:shd w:val="clear" w:color="auto" w:fill="auto"/>
            <w:noWrap/>
            <w:vAlign w:val="center"/>
            <w:hideMark/>
          </w:tcPr>
          <w:p w14:paraId="71233651" w14:textId="77777777" w:rsidR="00572F25" w:rsidRPr="00E10A60" w:rsidRDefault="00572F25" w:rsidP="00140544">
            <w:pPr>
              <w:keepNext/>
              <w:keepLines/>
              <w:spacing w:after="0"/>
              <w:jc w:val="center"/>
              <w:rPr>
                <w:rFonts w:cs="Arial"/>
                <w:color w:val="000000"/>
                <w:sz w:val="18"/>
                <w:szCs w:val="18"/>
              </w:rPr>
            </w:pPr>
            <w:r w:rsidRPr="00E10A60">
              <w:rPr>
                <w:rFonts w:cs="Arial"/>
                <w:color w:val="000000"/>
                <w:sz w:val="18"/>
                <w:szCs w:val="18"/>
              </w:rPr>
              <w:t>891</w:t>
            </w:r>
          </w:p>
        </w:tc>
        <w:tc>
          <w:tcPr>
            <w:tcW w:w="744" w:type="dxa"/>
            <w:tcBorders>
              <w:top w:val="nil"/>
              <w:left w:val="nil"/>
              <w:bottom w:val="nil"/>
              <w:right w:val="nil"/>
            </w:tcBorders>
            <w:shd w:val="clear" w:color="auto" w:fill="auto"/>
            <w:noWrap/>
            <w:vAlign w:val="center"/>
            <w:hideMark/>
          </w:tcPr>
          <w:p w14:paraId="6EE7C1C7" w14:textId="77777777" w:rsidR="00572F25" w:rsidRPr="00E10A60" w:rsidRDefault="00572F25" w:rsidP="00140544">
            <w:pPr>
              <w:keepNext/>
              <w:keepLines/>
              <w:spacing w:after="0"/>
              <w:jc w:val="center"/>
              <w:rPr>
                <w:rFonts w:cs="Arial"/>
                <w:color w:val="000000"/>
                <w:sz w:val="18"/>
                <w:szCs w:val="18"/>
              </w:rPr>
            </w:pPr>
            <w:r w:rsidRPr="00E10A60">
              <w:rPr>
                <w:rFonts w:cs="Arial"/>
                <w:color w:val="000000"/>
                <w:sz w:val="18"/>
                <w:szCs w:val="18"/>
              </w:rPr>
              <w:t>52.0</w:t>
            </w:r>
          </w:p>
        </w:tc>
        <w:tc>
          <w:tcPr>
            <w:tcW w:w="744" w:type="dxa"/>
            <w:tcBorders>
              <w:top w:val="nil"/>
              <w:left w:val="nil"/>
              <w:bottom w:val="nil"/>
              <w:right w:val="nil"/>
            </w:tcBorders>
            <w:shd w:val="clear" w:color="auto" w:fill="auto"/>
            <w:noWrap/>
            <w:vAlign w:val="center"/>
            <w:hideMark/>
          </w:tcPr>
          <w:p w14:paraId="4C01CEFA" w14:textId="77777777" w:rsidR="00572F25" w:rsidRPr="00E10A60" w:rsidRDefault="00572F25" w:rsidP="00140544">
            <w:pPr>
              <w:keepNext/>
              <w:keepLines/>
              <w:spacing w:after="0"/>
              <w:jc w:val="center"/>
              <w:rPr>
                <w:rFonts w:cs="Arial"/>
                <w:color w:val="000000"/>
                <w:sz w:val="18"/>
                <w:szCs w:val="18"/>
              </w:rPr>
            </w:pPr>
            <w:r w:rsidRPr="00E10A60">
              <w:rPr>
                <w:rFonts w:cs="Arial"/>
                <w:color w:val="000000"/>
                <w:sz w:val="18"/>
                <w:szCs w:val="18"/>
              </w:rPr>
              <w:t>253</w:t>
            </w:r>
          </w:p>
        </w:tc>
        <w:tc>
          <w:tcPr>
            <w:tcW w:w="744" w:type="dxa"/>
            <w:tcBorders>
              <w:top w:val="nil"/>
              <w:left w:val="nil"/>
              <w:bottom w:val="nil"/>
              <w:right w:val="single" w:sz="8" w:space="0" w:color="auto"/>
            </w:tcBorders>
            <w:shd w:val="clear" w:color="auto" w:fill="auto"/>
            <w:noWrap/>
            <w:vAlign w:val="center"/>
            <w:hideMark/>
          </w:tcPr>
          <w:p w14:paraId="7C6E2502" w14:textId="77777777" w:rsidR="00572F25" w:rsidRPr="00E10A60" w:rsidRDefault="00572F25" w:rsidP="00140544">
            <w:pPr>
              <w:keepNext/>
              <w:keepLines/>
              <w:spacing w:after="0"/>
              <w:jc w:val="center"/>
              <w:rPr>
                <w:rFonts w:cs="Arial"/>
                <w:color w:val="000000"/>
                <w:sz w:val="18"/>
                <w:szCs w:val="18"/>
              </w:rPr>
            </w:pPr>
            <w:r w:rsidRPr="00E10A60">
              <w:rPr>
                <w:rFonts w:cs="Arial"/>
                <w:color w:val="000000"/>
                <w:sz w:val="18"/>
                <w:szCs w:val="18"/>
              </w:rPr>
              <w:t>14.8</w:t>
            </w:r>
          </w:p>
        </w:tc>
      </w:tr>
      <w:tr w:rsidR="00572F25" w:rsidRPr="00E10A60" w14:paraId="5ED4E33D" w14:textId="77777777" w:rsidTr="00140544">
        <w:trPr>
          <w:trHeight w:val="300"/>
        </w:trPr>
        <w:tc>
          <w:tcPr>
            <w:tcW w:w="2684" w:type="dxa"/>
            <w:tcBorders>
              <w:top w:val="nil"/>
              <w:left w:val="single" w:sz="8" w:space="0" w:color="auto"/>
              <w:bottom w:val="nil"/>
              <w:right w:val="single" w:sz="8" w:space="0" w:color="auto"/>
            </w:tcBorders>
            <w:shd w:val="clear" w:color="auto" w:fill="F1F1F2"/>
            <w:noWrap/>
            <w:vAlign w:val="bottom"/>
            <w:hideMark/>
          </w:tcPr>
          <w:p w14:paraId="05E592F9" w14:textId="77777777" w:rsidR="00572F25" w:rsidRPr="00C56C81" w:rsidRDefault="00572F25" w:rsidP="00140544">
            <w:pPr>
              <w:spacing w:after="0"/>
              <w:rPr>
                <w:rFonts w:cs="Arial"/>
                <w:color w:val="000000"/>
                <w:sz w:val="18"/>
              </w:rPr>
            </w:pPr>
            <w:r w:rsidRPr="00C56C81">
              <w:rPr>
                <w:rFonts w:cs="Arial"/>
                <w:color w:val="000000"/>
                <w:sz w:val="18"/>
              </w:rPr>
              <w:t>Ophthalmology</w:t>
            </w:r>
          </w:p>
        </w:tc>
        <w:tc>
          <w:tcPr>
            <w:tcW w:w="1417" w:type="dxa"/>
            <w:tcBorders>
              <w:top w:val="nil"/>
              <w:left w:val="nil"/>
              <w:bottom w:val="nil"/>
              <w:right w:val="nil"/>
            </w:tcBorders>
            <w:shd w:val="clear" w:color="auto" w:fill="F1F1F2"/>
            <w:noWrap/>
            <w:vAlign w:val="center"/>
            <w:hideMark/>
          </w:tcPr>
          <w:p w14:paraId="53442070" w14:textId="77777777" w:rsidR="00572F25" w:rsidRPr="00E10A60" w:rsidRDefault="00572F25" w:rsidP="00140544">
            <w:pPr>
              <w:spacing w:after="0"/>
              <w:jc w:val="center"/>
              <w:rPr>
                <w:rFonts w:cs="Arial"/>
                <w:color w:val="000000"/>
                <w:sz w:val="18"/>
                <w:szCs w:val="18"/>
              </w:rPr>
            </w:pPr>
            <w:r w:rsidRPr="00E10A60">
              <w:rPr>
                <w:rFonts w:cs="Arial"/>
                <w:color w:val="000000"/>
                <w:sz w:val="18"/>
                <w:szCs w:val="18"/>
              </w:rPr>
              <w:t>673</w:t>
            </w:r>
          </w:p>
        </w:tc>
        <w:tc>
          <w:tcPr>
            <w:tcW w:w="992" w:type="dxa"/>
            <w:tcBorders>
              <w:top w:val="nil"/>
              <w:left w:val="nil"/>
              <w:bottom w:val="nil"/>
              <w:right w:val="nil"/>
            </w:tcBorders>
            <w:shd w:val="clear" w:color="000000" w:fill="F1F1F2"/>
            <w:noWrap/>
            <w:vAlign w:val="center"/>
            <w:hideMark/>
          </w:tcPr>
          <w:p w14:paraId="779D5B8D" w14:textId="77777777" w:rsidR="00572F25" w:rsidRPr="00E10A60" w:rsidRDefault="00572F25" w:rsidP="00140544">
            <w:pPr>
              <w:spacing w:after="0"/>
              <w:jc w:val="center"/>
              <w:rPr>
                <w:rFonts w:cs="Arial"/>
                <w:color w:val="000000"/>
                <w:sz w:val="18"/>
                <w:szCs w:val="18"/>
              </w:rPr>
            </w:pPr>
            <w:r w:rsidRPr="00E10A60">
              <w:rPr>
                <w:rFonts w:cs="Arial"/>
                <w:color w:val="000000"/>
                <w:sz w:val="18"/>
                <w:szCs w:val="18"/>
              </w:rPr>
              <w:t>1</w:t>
            </w:r>
            <w:r>
              <w:rPr>
                <w:rFonts w:cs="Arial"/>
                <w:color w:val="000000"/>
                <w:sz w:val="18"/>
                <w:szCs w:val="18"/>
              </w:rPr>
              <w:t>–</w:t>
            </w:r>
            <w:r w:rsidRPr="00E10A60">
              <w:rPr>
                <w:rFonts w:cs="Arial"/>
                <w:color w:val="000000"/>
                <w:sz w:val="18"/>
                <w:szCs w:val="18"/>
              </w:rPr>
              <w:t>36</w:t>
            </w:r>
          </w:p>
        </w:tc>
        <w:tc>
          <w:tcPr>
            <w:tcW w:w="993" w:type="dxa"/>
            <w:tcBorders>
              <w:top w:val="nil"/>
              <w:left w:val="nil"/>
              <w:bottom w:val="nil"/>
              <w:right w:val="nil"/>
            </w:tcBorders>
            <w:shd w:val="clear" w:color="000000" w:fill="F1F1F2"/>
            <w:noWrap/>
            <w:vAlign w:val="center"/>
            <w:hideMark/>
          </w:tcPr>
          <w:p w14:paraId="6ACE1B85" w14:textId="77777777" w:rsidR="00572F25" w:rsidRPr="00E10A60" w:rsidRDefault="00572F25" w:rsidP="00140544">
            <w:pPr>
              <w:spacing w:after="0"/>
              <w:jc w:val="center"/>
              <w:rPr>
                <w:rFonts w:cs="Arial"/>
                <w:color w:val="000000"/>
                <w:sz w:val="18"/>
                <w:szCs w:val="18"/>
              </w:rPr>
            </w:pPr>
            <w:r w:rsidRPr="00E10A60">
              <w:rPr>
                <w:rFonts w:cs="Arial"/>
                <w:color w:val="000000"/>
                <w:sz w:val="18"/>
                <w:szCs w:val="18"/>
              </w:rPr>
              <w:t>6</w:t>
            </w:r>
          </w:p>
        </w:tc>
        <w:tc>
          <w:tcPr>
            <w:tcW w:w="744" w:type="dxa"/>
            <w:tcBorders>
              <w:top w:val="nil"/>
              <w:left w:val="nil"/>
              <w:bottom w:val="nil"/>
              <w:right w:val="nil"/>
            </w:tcBorders>
            <w:shd w:val="clear" w:color="000000" w:fill="F1F1F2"/>
            <w:noWrap/>
            <w:vAlign w:val="center"/>
            <w:hideMark/>
          </w:tcPr>
          <w:p w14:paraId="00029B5B" w14:textId="77777777" w:rsidR="00572F25" w:rsidRPr="00E10A60" w:rsidRDefault="00572F25" w:rsidP="00140544">
            <w:pPr>
              <w:spacing w:after="0"/>
              <w:jc w:val="center"/>
              <w:rPr>
                <w:rFonts w:cs="Arial"/>
                <w:color w:val="000000"/>
                <w:sz w:val="18"/>
                <w:szCs w:val="18"/>
              </w:rPr>
            </w:pPr>
            <w:r w:rsidRPr="00E10A60">
              <w:rPr>
                <w:rFonts w:cs="Arial"/>
                <w:color w:val="000000"/>
                <w:sz w:val="18"/>
                <w:szCs w:val="18"/>
              </w:rPr>
              <w:t>545</w:t>
            </w:r>
          </w:p>
        </w:tc>
        <w:tc>
          <w:tcPr>
            <w:tcW w:w="744" w:type="dxa"/>
            <w:tcBorders>
              <w:top w:val="nil"/>
              <w:left w:val="nil"/>
              <w:bottom w:val="nil"/>
              <w:right w:val="nil"/>
            </w:tcBorders>
            <w:shd w:val="clear" w:color="000000" w:fill="F1F1F2"/>
            <w:noWrap/>
            <w:vAlign w:val="center"/>
            <w:hideMark/>
          </w:tcPr>
          <w:p w14:paraId="7F0EA408" w14:textId="77777777" w:rsidR="00572F25" w:rsidRPr="00E10A60" w:rsidRDefault="00572F25" w:rsidP="00140544">
            <w:pPr>
              <w:spacing w:after="0"/>
              <w:jc w:val="center"/>
              <w:rPr>
                <w:rFonts w:cs="Arial"/>
                <w:color w:val="000000"/>
                <w:sz w:val="18"/>
                <w:szCs w:val="18"/>
              </w:rPr>
            </w:pPr>
            <w:r w:rsidRPr="00E10A60">
              <w:rPr>
                <w:rFonts w:cs="Arial"/>
                <w:color w:val="000000"/>
                <w:sz w:val="18"/>
                <w:szCs w:val="18"/>
              </w:rPr>
              <w:t>81.0</w:t>
            </w:r>
          </w:p>
        </w:tc>
        <w:tc>
          <w:tcPr>
            <w:tcW w:w="744" w:type="dxa"/>
            <w:tcBorders>
              <w:top w:val="nil"/>
              <w:left w:val="nil"/>
              <w:bottom w:val="nil"/>
              <w:right w:val="nil"/>
            </w:tcBorders>
            <w:shd w:val="clear" w:color="000000" w:fill="F1F1F2"/>
            <w:noWrap/>
            <w:vAlign w:val="center"/>
            <w:hideMark/>
          </w:tcPr>
          <w:p w14:paraId="6FB7CD07" w14:textId="77777777" w:rsidR="00572F25" w:rsidRPr="00E10A60" w:rsidRDefault="00572F25" w:rsidP="00140544">
            <w:pPr>
              <w:spacing w:after="0"/>
              <w:jc w:val="center"/>
              <w:rPr>
                <w:rFonts w:cs="Arial"/>
                <w:color w:val="000000"/>
                <w:sz w:val="18"/>
                <w:szCs w:val="18"/>
              </w:rPr>
            </w:pPr>
            <w:r w:rsidRPr="00E10A60">
              <w:rPr>
                <w:rFonts w:cs="Arial"/>
                <w:color w:val="000000"/>
                <w:sz w:val="18"/>
                <w:szCs w:val="18"/>
              </w:rPr>
              <w:t>491</w:t>
            </w:r>
          </w:p>
        </w:tc>
        <w:tc>
          <w:tcPr>
            <w:tcW w:w="744" w:type="dxa"/>
            <w:tcBorders>
              <w:top w:val="nil"/>
              <w:left w:val="nil"/>
              <w:bottom w:val="nil"/>
              <w:right w:val="single" w:sz="8" w:space="0" w:color="auto"/>
            </w:tcBorders>
            <w:shd w:val="clear" w:color="000000" w:fill="F1F1F2"/>
            <w:noWrap/>
            <w:vAlign w:val="center"/>
            <w:hideMark/>
          </w:tcPr>
          <w:p w14:paraId="7941728F" w14:textId="77777777" w:rsidR="00572F25" w:rsidRPr="00E10A60" w:rsidRDefault="00572F25" w:rsidP="00140544">
            <w:pPr>
              <w:spacing w:after="0"/>
              <w:jc w:val="center"/>
              <w:rPr>
                <w:rFonts w:cs="Arial"/>
                <w:color w:val="000000"/>
                <w:sz w:val="18"/>
                <w:szCs w:val="18"/>
              </w:rPr>
            </w:pPr>
            <w:r w:rsidRPr="00E10A60">
              <w:rPr>
                <w:rFonts w:cs="Arial"/>
                <w:color w:val="000000"/>
                <w:sz w:val="18"/>
                <w:szCs w:val="18"/>
              </w:rPr>
              <w:t>73</w:t>
            </w:r>
          </w:p>
        </w:tc>
      </w:tr>
      <w:tr w:rsidR="00572F25" w:rsidRPr="00E10A60" w14:paraId="45BF23E1" w14:textId="77777777" w:rsidTr="00140544">
        <w:trPr>
          <w:trHeight w:val="300"/>
        </w:trPr>
        <w:tc>
          <w:tcPr>
            <w:tcW w:w="2684" w:type="dxa"/>
            <w:tcBorders>
              <w:top w:val="nil"/>
              <w:left w:val="single" w:sz="8" w:space="0" w:color="auto"/>
              <w:bottom w:val="nil"/>
              <w:right w:val="single" w:sz="8" w:space="0" w:color="auto"/>
            </w:tcBorders>
            <w:shd w:val="clear" w:color="auto" w:fill="auto"/>
            <w:noWrap/>
            <w:vAlign w:val="bottom"/>
            <w:hideMark/>
          </w:tcPr>
          <w:p w14:paraId="281E8EC7" w14:textId="77777777" w:rsidR="00572F25" w:rsidRPr="00C56C81" w:rsidRDefault="00572F25" w:rsidP="00140544">
            <w:pPr>
              <w:spacing w:after="0"/>
              <w:rPr>
                <w:rFonts w:cs="Arial"/>
                <w:color w:val="000000"/>
                <w:sz w:val="18"/>
              </w:rPr>
            </w:pPr>
            <w:r w:rsidRPr="00C56C81">
              <w:rPr>
                <w:rFonts w:cs="Arial"/>
                <w:color w:val="000000"/>
                <w:sz w:val="18"/>
              </w:rPr>
              <w:t>Plastic and reconstructive surgery</w:t>
            </w:r>
          </w:p>
        </w:tc>
        <w:tc>
          <w:tcPr>
            <w:tcW w:w="1417" w:type="dxa"/>
            <w:tcBorders>
              <w:top w:val="nil"/>
              <w:left w:val="nil"/>
              <w:bottom w:val="nil"/>
              <w:right w:val="nil"/>
            </w:tcBorders>
            <w:shd w:val="clear" w:color="auto" w:fill="auto"/>
            <w:noWrap/>
            <w:vAlign w:val="center"/>
            <w:hideMark/>
          </w:tcPr>
          <w:p w14:paraId="3758262F" w14:textId="77777777" w:rsidR="00572F25" w:rsidRPr="00E10A60" w:rsidRDefault="00572F25" w:rsidP="00140544">
            <w:pPr>
              <w:spacing w:after="0"/>
              <w:jc w:val="center"/>
              <w:rPr>
                <w:rFonts w:cs="Arial"/>
                <w:color w:val="000000"/>
                <w:sz w:val="18"/>
                <w:szCs w:val="18"/>
              </w:rPr>
            </w:pPr>
            <w:r w:rsidRPr="00E10A60">
              <w:rPr>
                <w:rFonts w:cs="Arial"/>
                <w:color w:val="000000"/>
                <w:sz w:val="18"/>
                <w:szCs w:val="18"/>
              </w:rPr>
              <w:t>399</w:t>
            </w:r>
          </w:p>
        </w:tc>
        <w:tc>
          <w:tcPr>
            <w:tcW w:w="992" w:type="dxa"/>
            <w:tcBorders>
              <w:top w:val="nil"/>
              <w:left w:val="nil"/>
              <w:bottom w:val="nil"/>
              <w:right w:val="nil"/>
            </w:tcBorders>
            <w:shd w:val="clear" w:color="auto" w:fill="auto"/>
            <w:noWrap/>
            <w:vAlign w:val="center"/>
            <w:hideMark/>
          </w:tcPr>
          <w:p w14:paraId="4BBDB443" w14:textId="77777777" w:rsidR="00572F25" w:rsidRPr="00E10A60" w:rsidRDefault="00572F25" w:rsidP="00140544">
            <w:pPr>
              <w:spacing w:after="0"/>
              <w:jc w:val="center"/>
              <w:rPr>
                <w:rFonts w:cs="Arial"/>
                <w:color w:val="000000"/>
                <w:sz w:val="18"/>
                <w:szCs w:val="18"/>
              </w:rPr>
            </w:pPr>
            <w:r w:rsidRPr="00E10A60">
              <w:rPr>
                <w:rFonts w:cs="Arial"/>
                <w:color w:val="000000"/>
                <w:sz w:val="18"/>
                <w:szCs w:val="18"/>
              </w:rPr>
              <w:t>1</w:t>
            </w:r>
            <w:r>
              <w:rPr>
                <w:rFonts w:cs="Arial"/>
                <w:color w:val="000000"/>
                <w:sz w:val="18"/>
                <w:szCs w:val="18"/>
              </w:rPr>
              <w:t>–</w:t>
            </w:r>
            <w:r w:rsidRPr="00E10A60">
              <w:rPr>
                <w:rFonts w:cs="Arial"/>
                <w:color w:val="000000"/>
                <w:sz w:val="18"/>
                <w:szCs w:val="18"/>
              </w:rPr>
              <w:t>29</w:t>
            </w:r>
          </w:p>
        </w:tc>
        <w:tc>
          <w:tcPr>
            <w:tcW w:w="993" w:type="dxa"/>
            <w:tcBorders>
              <w:top w:val="nil"/>
              <w:left w:val="nil"/>
              <w:bottom w:val="nil"/>
              <w:right w:val="nil"/>
            </w:tcBorders>
            <w:shd w:val="clear" w:color="auto" w:fill="auto"/>
            <w:noWrap/>
            <w:vAlign w:val="center"/>
            <w:hideMark/>
          </w:tcPr>
          <w:p w14:paraId="47B94A5A" w14:textId="77777777" w:rsidR="00572F25" w:rsidRPr="00E10A60" w:rsidRDefault="00572F25" w:rsidP="00140544">
            <w:pPr>
              <w:spacing w:after="0"/>
              <w:jc w:val="center"/>
              <w:rPr>
                <w:rFonts w:cs="Arial"/>
                <w:color w:val="000000"/>
                <w:sz w:val="18"/>
                <w:szCs w:val="18"/>
              </w:rPr>
            </w:pPr>
            <w:r w:rsidRPr="00E10A60">
              <w:rPr>
                <w:rFonts w:cs="Arial"/>
                <w:color w:val="000000"/>
                <w:sz w:val="18"/>
                <w:szCs w:val="18"/>
              </w:rPr>
              <w:t>5</w:t>
            </w:r>
          </w:p>
        </w:tc>
        <w:tc>
          <w:tcPr>
            <w:tcW w:w="744" w:type="dxa"/>
            <w:tcBorders>
              <w:top w:val="nil"/>
              <w:left w:val="nil"/>
              <w:bottom w:val="nil"/>
              <w:right w:val="nil"/>
            </w:tcBorders>
            <w:shd w:val="clear" w:color="auto" w:fill="auto"/>
            <w:noWrap/>
            <w:vAlign w:val="center"/>
            <w:hideMark/>
          </w:tcPr>
          <w:p w14:paraId="2A663AA2" w14:textId="77777777" w:rsidR="00572F25" w:rsidRPr="00E10A60" w:rsidRDefault="00572F25" w:rsidP="00140544">
            <w:pPr>
              <w:spacing w:after="0"/>
              <w:jc w:val="center"/>
              <w:rPr>
                <w:rFonts w:cs="Arial"/>
                <w:color w:val="000000"/>
                <w:sz w:val="18"/>
                <w:szCs w:val="18"/>
              </w:rPr>
            </w:pPr>
            <w:r w:rsidRPr="00E10A60">
              <w:rPr>
                <w:rFonts w:cs="Arial"/>
                <w:color w:val="000000"/>
                <w:sz w:val="18"/>
                <w:szCs w:val="18"/>
              </w:rPr>
              <w:t>333</w:t>
            </w:r>
          </w:p>
        </w:tc>
        <w:tc>
          <w:tcPr>
            <w:tcW w:w="744" w:type="dxa"/>
            <w:tcBorders>
              <w:top w:val="nil"/>
              <w:left w:val="nil"/>
              <w:bottom w:val="nil"/>
              <w:right w:val="nil"/>
            </w:tcBorders>
            <w:shd w:val="clear" w:color="auto" w:fill="auto"/>
            <w:noWrap/>
            <w:vAlign w:val="center"/>
            <w:hideMark/>
          </w:tcPr>
          <w:p w14:paraId="2EE42DD2" w14:textId="77777777" w:rsidR="00572F25" w:rsidRPr="00E10A60" w:rsidRDefault="00572F25" w:rsidP="00140544">
            <w:pPr>
              <w:spacing w:after="0"/>
              <w:jc w:val="center"/>
              <w:rPr>
                <w:rFonts w:cs="Arial"/>
                <w:color w:val="000000"/>
                <w:sz w:val="18"/>
                <w:szCs w:val="18"/>
              </w:rPr>
            </w:pPr>
            <w:r w:rsidRPr="00E10A60">
              <w:rPr>
                <w:rFonts w:cs="Arial"/>
                <w:color w:val="000000"/>
                <w:sz w:val="18"/>
                <w:szCs w:val="18"/>
              </w:rPr>
              <w:t>83.5</w:t>
            </w:r>
          </w:p>
        </w:tc>
        <w:tc>
          <w:tcPr>
            <w:tcW w:w="744" w:type="dxa"/>
            <w:tcBorders>
              <w:top w:val="nil"/>
              <w:left w:val="nil"/>
              <w:bottom w:val="nil"/>
              <w:right w:val="nil"/>
            </w:tcBorders>
            <w:shd w:val="clear" w:color="auto" w:fill="auto"/>
            <w:noWrap/>
            <w:vAlign w:val="center"/>
            <w:hideMark/>
          </w:tcPr>
          <w:p w14:paraId="02BEAA62" w14:textId="77777777" w:rsidR="00572F25" w:rsidRPr="00E10A60" w:rsidRDefault="00572F25" w:rsidP="00140544">
            <w:pPr>
              <w:spacing w:after="0"/>
              <w:jc w:val="center"/>
              <w:rPr>
                <w:rFonts w:cs="Arial"/>
                <w:color w:val="000000"/>
                <w:sz w:val="18"/>
                <w:szCs w:val="18"/>
              </w:rPr>
            </w:pPr>
            <w:r w:rsidRPr="00E10A60">
              <w:rPr>
                <w:rFonts w:cs="Arial"/>
                <w:color w:val="000000"/>
                <w:sz w:val="18"/>
                <w:szCs w:val="18"/>
              </w:rPr>
              <w:t>299</w:t>
            </w:r>
          </w:p>
        </w:tc>
        <w:tc>
          <w:tcPr>
            <w:tcW w:w="744" w:type="dxa"/>
            <w:tcBorders>
              <w:top w:val="nil"/>
              <w:left w:val="nil"/>
              <w:bottom w:val="nil"/>
              <w:right w:val="single" w:sz="8" w:space="0" w:color="auto"/>
            </w:tcBorders>
            <w:shd w:val="clear" w:color="auto" w:fill="auto"/>
            <w:noWrap/>
            <w:vAlign w:val="center"/>
            <w:hideMark/>
          </w:tcPr>
          <w:p w14:paraId="679B23F4" w14:textId="77777777" w:rsidR="00572F25" w:rsidRPr="00E10A60" w:rsidRDefault="00572F25" w:rsidP="00140544">
            <w:pPr>
              <w:spacing w:after="0"/>
              <w:jc w:val="center"/>
              <w:rPr>
                <w:rFonts w:cs="Arial"/>
                <w:color w:val="000000"/>
                <w:sz w:val="18"/>
                <w:szCs w:val="18"/>
              </w:rPr>
            </w:pPr>
            <w:r w:rsidRPr="00E10A60">
              <w:rPr>
                <w:rFonts w:cs="Arial"/>
                <w:color w:val="000000"/>
                <w:sz w:val="18"/>
                <w:szCs w:val="18"/>
              </w:rPr>
              <w:t>74.9</w:t>
            </w:r>
          </w:p>
        </w:tc>
      </w:tr>
      <w:tr w:rsidR="00572F25" w:rsidRPr="00E10A60" w14:paraId="5ABCD908" w14:textId="77777777" w:rsidTr="00140544">
        <w:trPr>
          <w:trHeight w:val="300"/>
        </w:trPr>
        <w:tc>
          <w:tcPr>
            <w:tcW w:w="2684" w:type="dxa"/>
            <w:tcBorders>
              <w:top w:val="nil"/>
              <w:left w:val="single" w:sz="8" w:space="0" w:color="auto"/>
              <w:bottom w:val="nil"/>
              <w:right w:val="single" w:sz="8" w:space="0" w:color="auto"/>
            </w:tcBorders>
            <w:shd w:val="clear" w:color="auto" w:fill="F1F1F2"/>
            <w:noWrap/>
            <w:vAlign w:val="bottom"/>
            <w:hideMark/>
          </w:tcPr>
          <w:p w14:paraId="50D05038" w14:textId="77777777" w:rsidR="00572F25" w:rsidRPr="00C56C81" w:rsidRDefault="00572F25" w:rsidP="00140544">
            <w:pPr>
              <w:spacing w:after="0"/>
              <w:rPr>
                <w:rFonts w:cs="Arial"/>
                <w:color w:val="000000"/>
                <w:sz w:val="18"/>
              </w:rPr>
            </w:pPr>
            <w:r w:rsidRPr="00C56C81">
              <w:rPr>
                <w:rFonts w:cs="Arial"/>
                <w:color w:val="000000"/>
                <w:sz w:val="18"/>
              </w:rPr>
              <w:t>Cardiac surgery</w:t>
            </w:r>
          </w:p>
        </w:tc>
        <w:tc>
          <w:tcPr>
            <w:tcW w:w="1417" w:type="dxa"/>
            <w:tcBorders>
              <w:top w:val="nil"/>
              <w:left w:val="nil"/>
              <w:bottom w:val="nil"/>
              <w:right w:val="nil"/>
            </w:tcBorders>
            <w:shd w:val="clear" w:color="auto" w:fill="F1F1F2"/>
            <w:noWrap/>
            <w:vAlign w:val="center"/>
            <w:hideMark/>
          </w:tcPr>
          <w:p w14:paraId="62A25A3F" w14:textId="77777777" w:rsidR="00572F25" w:rsidRPr="00E10A60" w:rsidRDefault="00572F25" w:rsidP="00140544">
            <w:pPr>
              <w:spacing w:after="0"/>
              <w:jc w:val="center"/>
              <w:rPr>
                <w:rFonts w:cs="Arial"/>
                <w:color w:val="000000"/>
                <w:sz w:val="18"/>
                <w:szCs w:val="18"/>
              </w:rPr>
            </w:pPr>
            <w:r w:rsidRPr="00E10A60">
              <w:rPr>
                <w:rFonts w:cs="Arial"/>
                <w:color w:val="000000"/>
                <w:sz w:val="18"/>
                <w:szCs w:val="18"/>
              </w:rPr>
              <w:t>355</w:t>
            </w:r>
          </w:p>
        </w:tc>
        <w:tc>
          <w:tcPr>
            <w:tcW w:w="992" w:type="dxa"/>
            <w:tcBorders>
              <w:top w:val="nil"/>
              <w:left w:val="nil"/>
              <w:bottom w:val="nil"/>
              <w:right w:val="nil"/>
            </w:tcBorders>
            <w:shd w:val="clear" w:color="000000" w:fill="F1F1F2"/>
            <w:noWrap/>
            <w:vAlign w:val="center"/>
            <w:hideMark/>
          </w:tcPr>
          <w:p w14:paraId="096CFDEE" w14:textId="77777777" w:rsidR="00572F25" w:rsidRPr="00E10A60" w:rsidRDefault="00572F25" w:rsidP="00140544">
            <w:pPr>
              <w:spacing w:after="0"/>
              <w:jc w:val="center"/>
              <w:rPr>
                <w:rFonts w:cs="Arial"/>
                <w:color w:val="000000"/>
                <w:sz w:val="18"/>
                <w:szCs w:val="18"/>
              </w:rPr>
            </w:pPr>
            <w:r w:rsidRPr="00E10A60">
              <w:rPr>
                <w:rFonts w:cs="Arial"/>
                <w:color w:val="000000"/>
                <w:sz w:val="18"/>
                <w:szCs w:val="18"/>
              </w:rPr>
              <w:t>1</w:t>
            </w:r>
            <w:r>
              <w:rPr>
                <w:rFonts w:cs="Arial"/>
                <w:color w:val="000000"/>
                <w:sz w:val="18"/>
                <w:szCs w:val="18"/>
              </w:rPr>
              <w:t>–</w:t>
            </w:r>
            <w:r w:rsidRPr="00E10A60">
              <w:rPr>
                <w:rFonts w:cs="Arial"/>
                <w:color w:val="000000"/>
                <w:sz w:val="18"/>
                <w:szCs w:val="18"/>
              </w:rPr>
              <w:t>12</w:t>
            </w:r>
          </w:p>
        </w:tc>
        <w:tc>
          <w:tcPr>
            <w:tcW w:w="993" w:type="dxa"/>
            <w:tcBorders>
              <w:top w:val="nil"/>
              <w:left w:val="nil"/>
              <w:bottom w:val="nil"/>
              <w:right w:val="nil"/>
            </w:tcBorders>
            <w:shd w:val="clear" w:color="000000" w:fill="F1F1F2"/>
            <w:noWrap/>
            <w:vAlign w:val="center"/>
            <w:hideMark/>
          </w:tcPr>
          <w:p w14:paraId="35563B2D" w14:textId="77777777" w:rsidR="00572F25" w:rsidRPr="00E10A60" w:rsidRDefault="00572F25" w:rsidP="00140544">
            <w:pPr>
              <w:spacing w:after="0"/>
              <w:jc w:val="center"/>
              <w:rPr>
                <w:rFonts w:cs="Arial"/>
                <w:color w:val="000000"/>
                <w:sz w:val="18"/>
                <w:szCs w:val="18"/>
              </w:rPr>
            </w:pPr>
            <w:r w:rsidRPr="00E10A60">
              <w:rPr>
                <w:rFonts w:cs="Arial"/>
                <w:color w:val="000000"/>
                <w:sz w:val="18"/>
                <w:szCs w:val="18"/>
              </w:rPr>
              <w:t>2</w:t>
            </w:r>
          </w:p>
        </w:tc>
        <w:tc>
          <w:tcPr>
            <w:tcW w:w="744" w:type="dxa"/>
            <w:tcBorders>
              <w:top w:val="nil"/>
              <w:left w:val="nil"/>
              <w:bottom w:val="nil"/>
              <w:right w:val="nil"/>
            </w:tcBorders>
            <w:shd w:val="clear" w:color="000000" w:fill="F1F1F2"/>
            <w:noWrap/>
            <w:vAlign w:val="center"/>
            <w:hideMark/>
          </w:tcPr>
          <w:p w14:paraId="4828EB2A" w14:textId="77777777" w:rsidR="00572F25" w:rsidRPr="00E10A60" w:rsidRDefault="00572F25" w:rsidP="00140544">
            <w:pPr>
              <w:spacing w:after="0"/>
              <w:jc w:val="center"/>
              <w:rPr>
                <w:rFonts w:cs="Arial"/>
                <w:color w:val="000000"/>
                <w:sz w:val="18"/>
                <w:szCs w:val="18"/>
              </w:rPr>
            </w:pPr>
            <w:r w:rsidRPr="00E10A60">
              <w:rPr>
                <w:rFonts w:cs="Arial"/>
                <w:color w:val="000000"/>
                <w:sz w:val="18"/>
                <w:szCs w:val="18"/>
              </w:rPr>
              <w:t>245</w:t>
            </w:r>
          </w:p>
        </w:tc>
        <w:tc>
          <w:tcPr>
            <w:tcW w:w="744" w:type="dxa"/>
            <w:tcBorders>
              <w:top w:val="nil"/>
              <w:left w:val="nil"/>
              <w:bottom w:val="nil"/>
              <w:right w:val="nil"/>
            </w:tcBorders>
            <w:shd w:val="clear" w:color="000000" w:fill="F1F1F2"/>
            <w:noWrap/>
            <w:vAlign w:val="center"/>
            <w:hideMark/>
          </w:tcPr>
          <w:p w14:paraId="64D27E7A" w14:textId="77777777" w:rsidR="00572F25" w:rsidRPr="00E10A60" w:rsidRDefault="00572F25" w:rsidP="00140544">
            <w:pPr>
              <w:spacing w:after="0"/>
              <w:jc w:val="center"/>
              <w:rPr>
                <w:rFonts w:cs="Arial"/>
                <w:color w:val="000000"/>
                <w:sz w:val="18"/>
                <w:szCs w:val="18"/>
              </w:rPr>
            </w:pPr>
            <w:r w:rsidRPr="00E10A60">
              <w:rPr>
                <w:rFonts w:cs="Arial"/>
                <w:color w:val="000000"/>
                <w:sz w:val="18"/>
                <w:szCs w:val="18"/>
              </w:rPr>
              <w:t>69.0</w:t>
            </w:r>
          </w:p>
        </w:tc>
        <w:tc>
          <w:tcPr>
            <w:tcW w:w="744" w:type="dxa"/>
            <w:tcBorders>
              <w:top w:val="nil"/>
              <w:left w:val="nil"/>
              <w:bottom w:val="nil"/>
              <w:right w:val="nil"/>
            </w:tcBorders>
            <w:shd w:val="clear" w:color="000000" w:fill="F1F1F2"/>
            <w:noWrap/>
            <w:vAlign w:val="center"/>
            <w:hideMark/>
          </w:tcPr>
          <w:p w14:paraId="7A4AEE73" w14:textId="77777777" w:rsidR="00572F25" w:rsidRPr="00E10A60" w:rsidRDefault="00572F25" w:rsidP="00140544">
            <w:pPr>
              <w:spacing w:after="0"/>
              <w:jc w:val="center"/>
              <w:rPr>
                <w:rFonts w:cs="Arial"/>
                <w:color w:val="000000"/>
                <w:sz w:val="18"/>
                <w:szCs w:val="18"/>
              </w:rPr>
            </w:pPr>
            <w:r w:rsidRPr="00E10A60">
              <w:rPr>
                <w:rFonts w:cs="Arial"/>
                <w:color w:val="000000"/>
                <w:sz w:val="18"/>
                <w:szCs w:val="18"/>
              </w:rPr>
              <w:t>146</w:t>
            </w:r>
          </w:p>
        </w:tc>
        <w:tc>
          <w:tcPr>
            <w:tcW w:w="744" w:type="dxa"/>
            <w:tcBorders>
              <w:top w:val="nil"/>
              <w:left w:val="nil"/>
              <w:bottom w:val="nil"/>
              <w:right w:val="single" w:sz="8" w:space="0" w:color="auto"/>
            </w:tcBorders>
            <w:shd w:val="clear" w:color="000000" w:fill="F1F1F2"/>
            <w:noWrap/>
            <w:vAlign w:val="center"/>
            <w:hideMark/>
          </w:tcPr>
          <w:p w14:paraId="27AAB3B4" w14:textId="77777777" w:rsidR="00572F25" w:rsidRPr="00E10A60" w:rsidRDefault="00572F25" w:rsidP="00140544">
            <w:pPr>
              <w:spacing w:after="0"/>
              <w:jc w:val="center"/>
              <w:rPr>
                <w:rFonts w:cs="Arial"/>
                <w:color w:val="000000"/>
                <w:sz w:val="18"/>
                <w:szCs w:val="18"/>
              </w:rPr>
            </w:pPr>
            <w:r w:rsidRPr="00E10A60">
              <w:rPr>
                <w:rFonts w:cs="Arial"/>
                <w:color w:val="000000"/>
                <w:sz w:val="18"/>
                <w:szCs w:val="18"/>
              </w:rPr>
              <w:t>41.1</w:t>
            </w:r>
          </w:p>
        </w:tc>
      </w:tr>
      <w:tr w:rsidR="00572F25" w:rsidRPr="00E10A60" w14:paraId="0FF423F5" w14:textId="77777777" w:rsidTr="00140544">
        <w:trPr>
          <w:trHeight w:val="300"/>
        </w:trPr>
        <w:tc>
          <w:tcPr>
            <w:tcW w:w="2684" w:type="dxa"/>
            <w:tcBorders>
              <w:top w:val="nil"/>
              <w:left w:val="single" w:sz="8" w:space="0" w:color="auto"/>
              <w:bottom w:val="nil"/>
              <w:right w:val="single" w:sz="8" w:space="0" w:color="auto"/>
            </w:tcBorders>
            <w:shd w:val="clear" w:color="auto" w:fill="auto"/>
            <w:noWrap/>
            <w:vAlign w:val="bottom"/>
            <w:hideMark/>
          </w:tcPr>
          <w:p w14:paraId="19DEDD2D" w14:textId="77777777" w:rsidR="00572F25" w:rsidRPr="00C56C81" w:rsidRDefault="00572F25" w:rsidP="00140544">
            <w:pPr>
              <w:spacing w:after="0"/>
              <w:rPr>
                <w:rFonts w:cs="Arial"/>
                <w:color w:val="000000"/>
                <w:sz w:val="18"/>
              </w:rPr>
            </w:pPr>
            <w:r w:rsidRPr="00C56C81">
              <w:rPr>
                <w:rFonts w:cs="Arial"/>
                <w:color w:val="000000"/>
                <w:sz w:val="18"/>
              </w:rPr>
              <w:t>Head and neck surgery</w:t>
            </w:r>
          </w:p>
        </w:tc>
        <w:tc>
          <w:tcPr>
            <w:tcW w:w="1417" w:type="dxa"/>
            <w:tcBorders>
              <w:top w:val="nil"/>
              <w:left w:val="nil"/>
              <w:bottom w:val="nil"/>
              <w:right w:val="nil"/>
            </w:tcBorders>
            <w:shd w:val="clear" w:color="auto" w:fill="auto"/>
            <w:noWrap/>
            <w:vAlign w:val="center"/>
            <w:hideMark/>
          </w:tcPr>
          <w:p w14:paraId="15D7D5F3" w14:textId="77777777" w:rsidR="00572F25" w:rsidRPr="00E10A60" w:rsidRDefault="00572F25" w:rsidP="00140544">
            <w:pPr>
              <w:spacing w:after="0"/>
              <w:jc w:val="center"/>
              <w:rPr>
                <w:rFonts w:cs="Arial"/>
                <w:color w:val="000000"/>
                <w:sz w:val="18"/>
                <w:szCs w:val="18"/>
              </w:rPr>
            </w:pPr>
            <w:r w:rsidRPr="00E10A60">
              <w:rPr>
                <w:rFonts w:cs="Arial"/>
                <w:color w:val="000000"/>
                <w:sz w:val="18"/>
                <w:szCs w:val="18"/>
              </w:rPr>
              <w:t>253</w:t>
            </w:r>
          </w:p>
        </w:tc>
        <w:tc>
          <w:tcPr>
            <w:tcW w:w="992" w:type="dxa"/>
            <w:tcBorders>
              <w:top w:val="nil"/>
              <w:left w:val="nil"/>
              <w:bottom w:val="nil"/>
              <w:right w:val="nil"/>
            </w:tcBorders>
            <w:shd w:val="clear" w:color="auto" w:fill="auto"/>
            <w:noWrap/>
            <w:vAlign w:val="center"/>
            <w:hideMark/>
          </w:tcPr>
          <w:p w14:paraId="14379383" w14:textId="77777777" w:rsidR="00572F25" w:rsidRPr="00E10A60" w:rsidRDefault="00572F25" w:rsidP="00140544">
            <w:pPr>
              <w:spacing w:after="0"/>
              <w:jc w:val="center"/>
              <w:rPr>
                <w:rFonts w:cs="Arial"/>
                <w:color w:val="000000"/>
                <w:sz w:val="18"/>
                <w:szCs w:val="18"/>
              </w:rPr>
            </w:pPr>
            <w:r w:rsidRPr="00E10A60">
              <w:rPr>
                <w:rFonts w:cs="Arial"/>
                <w:color w:val="000000"/>
                <w:sz w:val="18"/>
                <w:szCs w:val="18"/>
              </w:rPr>
              <w:t>1</w:t>
            </w:r>
            <w:r>
              <w:rPr>
                <w:rFonts w:cs="Arial"/>
                <w:color w:val="000000"/>
                <w:sz w:val="18"/>
                <w:szCs w:val="18"/>
              </w:rPr>
              <w:t>–</w:t>
            </w:r>
            <w:r w:rsidRPr="00E10A60">
              <w:rPr>
                <w:rFonts w:cs="Arial"/>
                <w:color w:val="000000"/>
                <w:sz w:val="18"/>
                <w:szCs w:val="18"/>
              </w:rPr>
              <w:t>22</w:t>
            </w:r>
          </w:p>
        </w:tc>
        <w:tc>
          <w:tcPr>
            <w:tcW w:w="993" w:type="dxa"/>
            <w:tcBorders>
              <w:top w:val="nil"/>
              <w:left w:val="nil"/>
              <w:bottom w:val="nil"/>
              <w:right w:val="nil"/>
            </w:tcBorders>
            <w:shd w:val="clear" w:color="auto" w:fill="auto"/>
            <w:noWrap/>
            <w:vAlign w:val="center"/>
            <w:hideMark/>
          </w:tcPr>
          <w:p w14:paraId="3322BFF7" w14:textId="77777777" w:rsidR="00572F25" w:rsidRPr="00E10A60" w:rsidRDefault="00572F25" w:rsidP="00140544">
            <w:pPr>
              <w:spacing w:after="0"/>
              <w:jc w:val="center"/>
              <w:rPr>
                <w:rFonts w:cs="Arial"/>
                <w:color w:val="000000"/>
                <w:sz w:val="18"/>
                <w:szCs w:val="18"/>
              </w:rPr>
            </w:pPr>
            <w:r w:rsidRPr="00E10A60">
              <w:rPr>
                <w:rFonts w:cs="Arial"/>
                <w:color w:val="000000"/>
                <w:sz w:val="18"/>
                <w:szCs w:val="18"/>
              </w:rPr>
              <w:t>5</w:t>
            </w:r>
          </w:p>
        </w:tc>
        <w:tc>
          <w:tcPr>
            <w:tcW w:w="744" w:type="dxa"/>
            <w:tcBorders>
              <w:top w:val="nil"/>
              <w:left w:val="nil"/>
              <w:bottom w:val="nil"/>
              <w:right w:val="nil"/>
            </w:tcBorders>
            <w:shd w:val="clear" w:color="auto" w:fill="auto"/>
            <w:noWrap/>
            <w:vAlign w:val="center"/>
            <w:hideMark/>
          </w:tcPr>
          <w:p w14:paraId="572B231F" w14:textId="77777777" w:rsidR="00572F25" w:rsidRPr="00E10A60" w:rsidRDefault="00572F25" w:rsidP="00140544">
            <w:pPr>
              <w:spacing w:after="0"/>
              <w:jc w:val="center"/>
              <w:rPr>
                <w:rFonts w:cs="Arial"/>
                <w:color w:val="000000"/>
                <w:sz w:val="18"/>
                <w:szCs w:val="18"/>
              </w:rPr>
            </w:pPr>
            <w:r w:rsidRPr="00E10A60">
              <w:rPr>
                <w:rFonts w:cs="Arial"/>
                <w:color w:val="000000"/>
                <w:sz w:val="18"/>
                <w:szCs w:val="18"/>
              </w:rPr>
              <w:t>230</w:t>
            </w:r>
          </w:p>
        </w:tc>
        <w:tc>
          <w:tcPr>
            <w:tcW w:w="744" w:type="dxa"/>
            <w:tcBorders>
              <w:top w:val="nil"/>
              <w:left w:val="nil"/>
              <w:bottom w:val="nil"/>
              <w:right w:val="nil"/>
            </w:tcBorders>
            <w:shd w:val="clear" w:color="auto" w:fill="auto"/>
            <w:noWrap/>
            <w:vAlign w:val="center"/>
            <w:hideMark/>
          </w:tcPr>
          <w:p w14:paraId="2CEF458A" w14:textId="77777777" w:rsidR="00572F25" w:rsidRPr="00E10A60" w:rsidRDefault="00572F25" w:rsidP="00140544">
            <w:pPr>
              <w:spacing w:after="0"/>
              <w:jc w:val="center"/>
              <w:rPr>
                <w:rFonts w:cs="Arial"/>
                <w:color w:val="000000"/>
                <w:sz w:val="18"/>
                <w:szCs w:val="18"/>
              </w:rPr>
            </w:pPr>
            <w:r w:rsidRPr="00E10A60">
              <w:rPr>
                <w:rFonts w:cs="Arial"/>
                <w:color w:val="000000"/>
                <w:sz w:val="18"/>
                <w:szCs w:val="18"/>
              </w:rPr>
              <w:t>90.9</w:t>
            </w:r>
          </w:p>
        </w:tc>
        <w:tc>
          <w:tcPr>
            <w:tcW w:w="744" w:type="dxa"/>
            <w:tcBorders>
              <w:top w:val="nil"/>
              <w:left w:val="nil"/>
              <w:bottom w:val="nil"/>
              <w:right w:val="nil"/>
            </w:tcBorders>
            <w:shd w:val="clear" w:color="auto" w:fill="auto"/>
            <w:noWrap/>
            <w:vAlign w:val="center"/>
            <w:hideMark/>
          </w:tcPr>
          <w:p w14:paraId="724B7A79" w14:textId="77777777" w:rsidR="00572F25" w:rsidRPr="00E10A60" w:rsidRDefault="00572F25" w:rsidP="00140544">
            <w:pPr>
              <w:spacing w:after="0"/>
              <w:jc w:val="center"/>
              <w:rPr>
                <w:rFonts w:cs="Arial"/>
                <w:color w:val="000000"/>
                <w:sz w:val="18"/>
                <w:szCs w:val="18"/>
              </w:rPr>
            </w:pPr>
            <w:r w:rsidRPr="00E10A60">
              <w:rPr>
                <w:rFonts w:cs="Arial"/>
                <w:color w:val="000000"/>
                <w:sz w:val="18"/>
                <w:szCs w:val="18"/>
              </w:rPr>
              <w:t>182</w:t>
            </w:r>
          </w:p>
        </w:tc>
        <w:tc>
          <w:tcPr>
            <w:tcW w:w="744" w:type="dxa"/>
            <w:tcBorders>
              <w:top w:val="nil"/>
              <w:left w:val="nil"/>
              <w:bottom w:val="nil"/>
              <w:right w:val="single" w:sz="8" w:space="0" w:color="auto"/>
            </w:tcBorders>
            <w:shd w:val="clear" w:color="auto" w:fill="auto"/>
            <w:noWrap/>
            <w:vAlign w:val="center"/>
            <w:hideMark/>
          </w:tcPr>
          <w:p w14:paraId="54A66EC3" w14:textId="77777777" w:rsidR="00572F25" w:rsidRPr="00E10A60" w:rsidRDefault="00572F25" w:rsidP="00140544">
            <w:pPr>
              <w:spacing w:after="0"/>
              <w:jc w:val="center"/>
              <w:rPr>
                <w:rFonts w:cs="Arial"/>
                <w:color w:val="000000"/>
                <w:sz w:val="18"/>
                <w:szCs w:val="18"/>
              </w:rPr>
            </w:pPr>
            <w:r w:rsidRPr="00E10A60">
              <w:rPr>
                <w:rFonts w:cs="Arial"/>
                <w:color w:val="000000"/>
                <w:sz w:val="18"/>
                <w:szCs w:val="18"/>
              </w:rPr>
              <w:t>71.9</w:t>
            </w:r>
          </w:p>
        </w:tc>
      </w:tr>
      <w:tr w:rsidR="00572F25" w:rsidRPr="00E10A60" w14:paraId="00873F19" w14:textId="77777777" w:rsidTr="00140544">
        <w:trPr>
          <w:trHeight w:val="300"/>
        </w:trPr>
        <w:tc>
          <w:tcPr>
            <w:tcW w:w="2684" w:type="dxa"/>
            <w:tcBorders>
              <w:top w:val="nil"/>
              <w:left w:val="single" w:sz="8" w:space="0" w:color="auto"/>
              <w:bottom w:val="nil"/>
              <w:right w:val="single" w:sz="8" w:space="0" w:color="auto"/>
            </w:tcBorders>
            <w:shd w:val="clear" w:color="auto" w:fill="F1F1F2"/>
            <w:noWrap/>
            <w:vAlign w:val="bottom"/>
            <w:hideMark/>
          </w:tcPr>
          <w:p w14:paraId="24141DCF" w14:textId="77777777" w:rsidR="00572F25" w:rsidRPr="00C56C81" w:rsidRDefault="00572F25" w:rsidP="00140544">
            <w:pPr>
              <w:spacing w:after="0"/>
              <w:rPr>
                <w:rFonts w:cs="Arial"/>
                <w:color w:val="000000"/>
                <w:sz w:val="18"/>
              </w:rPr>
            </w:pPr>
            <w:r w:rsidRPr="00C56C81">
              <w:rPr>
                <w:rFonts w:cs="Arial"/>
                <w:color w:val="000000"/>
                <w:sz w:val="18"/>
              </w:rPr>
              <w:t>Abdominal surgery</w:t>
            </w:r>
          </w:p>
        </w:tc>
        <w:tc>
          <w:tcPr>
            <w:tcW w:w="1417" w:type="dxa"/>
            <w:tcBorders>
              <w:top w:val="nil"/>
              <w:left w:val="nil"/>
              <w:bottom w:val="nil"/>
              <w:right w:val="nil"/>
            </w:tcBorders>
            <w:shd w:val="clear" w:color="auto" w:fill="F1F1F2"/>
            <w:noWrap/>
            <w:vAlign w:val="center"/>
            <w:hideMark/>
          </w:tcPr>
          <w:p w14:paraId="32C863B2" w14:textId="77777777" w:rsidR="00572F25" w:rsidRPr="00E10A60" w:rsidRDefault="00572F25" w:rsidP="00140544">
            <w:pPr>
              <w:spacing w:after="0"/>
              <w:jc w:val="center"/>
              <w:rPr>
                <w:rFonts w:cs="Arial"/>
                <w:color w:val="000000"/>
                <w:sz w:val="18"/>
                <w:szCs w:val="18"/>
              </w:rPr>
            </w:pPr>
            <w:r w:rsidRPr="00E10A60">
              <w:rPr>
                <w:rFonts w:cs="Arial"/>
                <w:color w:val="000000"/>
                <w:sz w:val="18"/>
                <w:szCs w:val="18"/>
              </w:rPr>
              <w:t>247</w:t>
            </w:r>
          </w:p>
        </w:tc>
        <w:tc>
          <w:tcPr>
            <w:tcW w:w="992" w:type="dxa"/>
            <w:tcBorders>
              <w:top w:val="nil"/>
              <w:left w:val="nil"/>
              <w:bottom w:val="nil"/>
              <w:right w:val="nil"/>
            </w:tcBorders>
            <w:shd w:val="clear" w:color="000000" w:fill="F1F1F2"/>
            <w:noWrap/>
            <w:vAlign w:val="center"/>
            <w:hideMark/>
          </w:tcPr>
          <w:p w14:paraId="4CA560CE" w14:textId="77777777" w:rsidR="00572F25" w:rsidRPr="00E10A60" w:rsidRDefault="00572F25" w:rsidP="00140544">
            <w:pPr>
              <w:spacing w:after="0"/>
              <w:jc w:val="center"/>
              <w:rPr>
                <w:rFonts w:cs="Arial"/>
                <w:color w:val="000000"/>
                <w:sz w:val="18"/>
                <w:szCs w:val="18"/>
              </w:rPr>
            </w:pPr>
            <w:r w:rsidRPr="00E10A60">
              <w:rPr>
                <w:rFonts w:cs="Arial"/>
                <w:color w:val="000000"/>
                <w:sz w:val="18"/>
                <w:szCs w:val="18"/>
              </w:rPr>
              <w:t>1</w:t>
            </w:r>
            <w:r>
              <w:rPr>
                <w:rFonts w:cs="Arial"/>
                <w:color w:val="000000"/>
                <w:sz w:val="18"/>
                <w:szCs w:val="18"/>
              </w:rPr>
              <w:t>–</w:t>
            </w:r>
            <w:r w:rsidRPr="00E10A60">
              <w:rPr>
                <w:rFonts w:cs="Arial"/>
                <w:color w:val="000000"/>
                <w:sz w:val="18"/>
                <w:szCs w:val="18"/>
              </w:rPr>
              <w:t>19</w:t>
            </w:r>
          </w:p>
        </w:tc>
        <w:tc>
          <w:tcPr>
            <w:tcW w:w="993" w:type="dxa"/>
            <w:tcBorders>
              <w:top w:val="nil"/>
              <w:left w:val="nil"/>
              <w:bottom w:val="nil"/>
              <w:right w:val="nil"/>
            </w:tcBorders>
            <w:shd w:val="clear" w:color="000000" w:fill="F1F1F2"/>
            <w:noWrap/>
            <w:vAlign w:val="center"/>
            <w:hideMark/>
          </w:tcPr>
          <w:p w14:paraId="7F7FA110" w14:textId="77777777" w:rsidR="00572F25" w:rsidRPr="00E10A60" w:rsidRDefault="00572F25" w:rsidP="00140544">
            <w:pPr>
              <w:spacing w:after="0"/>
              <w:jc w:val="center"/>
              <w:rPr>
                <w:rFonts w:cs="Arial"/>
                <w:color w:val="000000"/>
                <w:sz w:val="18"/>
                <w:szCs w:val="18"/>
              </w:rPr>
            </w:pPr>
            <w:r w:rsidRPr="00E10A60">
              <w:rPr>
                <w:rFonts w:cs="Arial"/>
                <w:color w:val="000000"/>
                <w:sz w:val="18"/>
                <w:szCs w:val="18"/>
              </w:rPr>
              <w:t>2</w:t>
            </w:r>
          </w:p>
        </w:tc>
        <w:tc>
          <w:tcPr>
            <w:tcW w:w="744" w:type="dxa"/>
            <w:tcBorders>
              <w:top w:val="nil"/>
              <w:left w:val="nil"/>
              <w:bottom w:val="nil"/>
              <w:right w:val="nil"/>
            </w:tcBorders>
            <w:shd w:val="clear" w:color="000000" w:fill="F1F1F2"/>
            <w:noWrap/>
            <w:vAlign w:val="center"/>
            <w:hideMark/>
          </w:tcPr>
          <w:p w14:paraId="5E52E809" w14:textId="77777777" w:rsidR="00572F25" w:rsidRPr="00E10A60" w:rsidRDefault="00572F25" w:rsidP="00140544">
            <w:pPr>
              <w:spacing w:after="0"/>
              <w:jc w:val="center"/>
              <w:rPr>
                <w:rFonts w:cs="Arial"/>
                <w:color w:val="000000"/>
                <w:sz w:val="18"/>
                <w:szCs w:val="18"/>
              </w:rPr>
            </w:pPr>
            <w:r w:rsidRPr="00E10A60">
              <w:rPr>
                <w:rFonts w:cs="Arial"/>
                <w:color w:val="000000"/>
                <w:sz w:val="18"/>
                <w:szCs w:val="18"/>
              </w:rPr>
              <w:t>194</w:t>
            </w:r>
          </w:p>
        </w:tc>
        <w:tc>
          <w:tcPr>
            <w:tcW w:w="744" w:type="dxa"/>
            <w:tcBorders>
              <w:top w:val="nil"/>
              <w:left w:val="nil"/>
              <w:bottom w:val="nil"/>
              <w:right w:val="nil"/>
            </w:tcBorders>
            <w:shd w:val="clear" w:color="000000" w:fill="F1F1F2"/>
            <w:noWrap/>
            <w:vAlign w:val="center"/>
            <w:hideMark/>
          </w:tcPr>
          <w:p w14:paraId="2D9C799D" w14:textId="77777777" w:rsidR="00572F25" w:rsidRPr="00E10A60" w:rsidRDefault="00572F25" w:rsidP="00140544">
            <w:pPr>
              <w:spacing w:after="0"/>
              <w:jc w:val="center"/>
              <w:rPr>
                <w:rFonts w:cs="Arial"/>
                <w:color w:val="000000"/>
                <w:sz w:val="18"/>
                <w:szCs w:val="18"/>
              </w:rPr>
            </w:pPr>
            <w:r w:rsidRPr="00E10A60">
              <w:rPr>
                <w:rFonts w:cs="Arial"/>
                <w:color w:val="000000"/>
                <w:sz w:val="18"/>
                <w:szCs w:val="18"/>
              </w:rPr>
              <w:t>78.5</w:t>
            </w:r>
          </w:p>
        </w:tc>
        <w:tc>
          <w:tcPr>
            <w:tcW w:w="744" w:type="dxa"/>
            <w:tcBorders>
              <w:top w:val="nil"/>
              <w:left w:val="nil"/>
              <w:bottom w:val="nil"/>
              <w:right w:val="nil"/>
            </w:tcBorders>
            <w:shd w:val="clear" w:color="000000" w:fill="F1F1F2"/>
            <w:noWrap/>
            <w:vAlign w:val="center"/>
            <w:hideMark/>
          </w:tcPr>
          <w:p w14:paraId="66F2356E" w14:textId="77777777" w:rsidR="00572F25" w:rsidRPr="00E10A60" w:rsidRDefault="00572F25" w:rsidP="00140544">
            <w:pPr>
              <w:spacing w:after="0"/>
              <w:jc w:val="center"/>
              <w:rPr>
                <w:rFonts w:cs="Arial"/>
                <w:color w:val="000000"/>
                <w:sz w:val="18"/>
                <w:szCs w:val="18"/>
              </w:rPr>
            </w:pPr>
            <w:r w:rsidRPr="00E10A60">
              <w:rPr>
                <w:rFonts w:cs="Arial"/>
                <w:color w:val="000000"/>
                <w:sz w:val="18"/>
                <w:szCs w:val="18"/>
              </w:rPr>
              <w:t>133</w:t>
            </w:r>
          </w:p>
        </w:tc>
        <w:tc>
          <w:tcPr>
            <w:tcW w:w="744" w:type="dxa"/>
            <w:tcBorders>
              <w:top w:val="nil"/>
              <w:left w:val="nil"/>
              <w:bottom w:val="nil"/>
              <w:right w:val="single" w:sz="8" w:space="0" w:color="auto"/>
            </w:tcBorders>
            <w:shd w:val="clear" w:color="000000" w:fill="F1F1F2"/>
            <w:noWrap/>
            <w:vAlign w:val="center"/>
            <w:hideMark/>
          </w:tcPr>
          <w:p w14:paraId="74F89C0B" w14:textId="77777777" w:rsidR="00572F25" w:rsidRPr="00E10A60" w:rsidRDefault="00572F25" w:rsidP="00140544">
            <w:pPr>
              <w:spacing w:after="0"/>
              <w:jc w:val="center"/>
              <w:rPr>
                <w:rFonts w:cs="Arial"/>
                <w:color w:val="000000"/>
                <w:sz w:val="18"/>
                <w:szCs w:val="18"/>
              </w:rPr>
            </w:pPr>
            <w:r w:rsidRPr="00E10A60">
              <w:rPr>
                <w:rFonts w:cs="Arial"/>
                <w:color w:val="000000"/>
                <w:sz w:val="18"/>
                <w:szCs w:val="18"/>
              </w:rPr>
              <w:t>53.8</w:t>
            </w:r>
          </w:p>
        </w:tc>
      </w:tr>
      <w:tr w:rsidR="00572F25" w:rsidRPr="00E10A60" w14:paraId="3087C15A" w14:textId="77777777" w:rsidTr="00140544">
        <w:trPr>
          <w:trHeight w:val="300"/>
        </w:trPr>
        <w:tc>
          <w:tcPr>
            <w:tcW w:w="2684" w:type="dxa"/>
            <w:tcBorders>
              <w:top w:val="nil"/>
              <w:left w:val="single" w:sz="8" w:space="0" w:color="auto"/>
              <w:bottom w:val="nil"/>
              <w:right w:val="single" w:sz="8" w:space="0" w:color="auto"/>
            </w:tcBorders>
            <w:shd w:val="clear" w:color="auto" w:fill="auto"/>
            <w:noWrap/>
            <w:vAlign w:val="bottom"/>
            <w:hideMark/>
          </w:tcPr>
          <w:p w14:paraId="5F8C412D" w14:textId="77777777" w:rsidR="00572F25" w:rsidRPr="00C56C81" w:rsidRDefault="00572F25" w:rsidP="00140544">
            <w:pPr>
              <w:spacing w:after="0"/>
              <w:rPr>
                <w:rFonts w:cs="Arial"/>
                <w:color w:val="000000"/>
                <w:sz w:val="18"/>
              </w:rPr>
            </w:pPr>
            <w:r w:rsidRPr="00C56C81">
              <w:rPr>
                <w:rFonts w:cs="Arial"/>
                <w:color w:val="000000"/>
                <w:sz w:val="18"/>
              </w:rPr>
              <w:t>Neurosurgery</w:t>
            </w:r>
          </w:p>
        </w:tc>
        <w:tc>
          <w:tcPr>
            <w:tcW w:w="1417" w:type="dxa"/>
            <w:tcBorders>
              <w:top w:val="nil"/>
              <w:left w:val="nil"/>
              <w:bottom w:val="nil"/>
              <w:right w:val="nil"/>
            </w:tcBorders>
            <w:shd w:val="clear" w:color="auto" w:fill="auto"/>
            <w:noWrap/>
            <w:vAlign w:val="center"/>
            <w:hideMark/>
          </w:tcPr>
          <w:p w14:paraId="22AD43CD" w14:textId="77777777" w:rsidR="00572F25" w:rsidRPr="00E10A60" w:rsidRDefault="00572F25" w:rsidP="00140544">
            <w:pPr>
              <w:spacing w:after="0"/>
              <w:jc w:val="center"/>
              <w:rPr>
                <w:rFonts w:cs="Arial"/>
                <w:color w:val="000000"/>
                <w:sz w:val="18"/>
                <w:szCs w:val="18"/>
              </w:rPr>
            </w:pPr>
            <w:r w:rsidRPr="00E10A60">
              <w:rPr>
                <w:rFonts w:cs="Arial"/>
                <w:color w:val="000000"/>
                <w:sz w:val="18"/>
                <w:szCs w:val="18"/>
              </w:rPr>
              <w:t>215</w:t>
            </w:r>
          </w:p>
        </w:tc>
        <w:tc>
          <w:tcPr>
            <w:tcW w:w="992" w:type="dxa"/>
            <w:tcBorders>
              <w:top w:val="nil"/>
              <w:left w:val="nil"/>
              <w:bottom w:val="nil"/>
              <w:right w:val="nil"/>
            </w:tcBorders>
            <w:shd w:val="clear" w:color="auto" w:fill="auto"/>
            <w:noWrap/>
            <w:vAlign w:val="center"/>
            <w:hideMark/>
          </w:tcPr>
          <w:p w14:paraId="6C0ED65A" w14:textId="77777777" w:rsidR="00572F25" w:rsidRPr="00E10A60" w:rsidRDefault="00572F25" w:rsidP="00140544">
            <w:pPr>
              <w:spacing w:after="0"/>
              <w:jc w:val="center"/>
              <w:rPr>
                <w:rFonts w:cs="Arial"/>
                <w:color w:val="000000"/>
                <w:sz w:val="18"/>
                <w:szCs w:val="18"/>
              </w:rPr>
            </w:pPr>
            <w:r w:rsidRPr="00E10A60">
              <w:rPr>
                <w:rFonts w:cs="Arial"/>
                <w:color w:val="000000"/>
                <w:sz w:val="18"/>
                <w:szCs w:val="18"/>
              </w:rPr>
              <w:t>1</w:t>
            </w:r>
            <w:r>
              <w:rPr>
                <w:rFonts w:cs="Arial"/>
                <w:color w:val="000000"/>
                <w:sz w:val="18"/>
                <w:szCs w:val="18"/>
              </w:rPr>
              <w:t>–</w:t>
            </w:r>
            <w:r w:rsidRPr="00E10A60">
              <w:rPr>
                <w:rFonts w:cs="Arial"/>
                <w:color w:val="000000"/>
                <w:sz w:val="18"/>
                <w:szCs w:val="18"/>
              </w:rPr>
              <w:t>15</w:t>
            </w:r>
          </w:p>
        </w:tc>
        <w:tc>
          <w:tcPr>
            <w:tcW w:w="993" w:type="dxa"/>
            <w:tcBorders>
              <w:top w:val="nil"/>
              <w:left w:val="nil"/>
              <w:bottom w:val="nil"/>
              <w:right w:val="nil"/>
            </w:tcBorders>
            <w:shd w:val="clear" w:color="auto" w:fill="auto"/>
            <w:noWrap/>
            <w:vAlign w:val="center"/>
            <w:hideMark/>
          </w:tcPr>
          <w:p w14:paraId="10423475" w14:textId="77777777" w:rsidR="00572F25" w:rsidRPr="00E10A60" w:rsidRDefault="00572F25" w:rsidP="00140544">
            <w:pPr>
              <w:spacing w:after="0"/>
              <w:jc w:val="center"/>
              <w:rPr>
                <w:rFonts w:cs="Arial"/>
                <w:color w:val="000000"/>
                <w:sz w:val="18"/>
                <w:szCs w:val="18"/>
              </w:rPr>
            </w:pPr>
            <w:r w:rsidRPr="00E10A60">
              <w:rPr>
                <w:rFonts w:cs="Arial"/>
                <w:color w:val="000000"/>
                <w:sz w:val="18"/>
                <w:szCs w:val="18"/>
              </w:rPr>
              <w:t>1</w:t>
            </w:r>
          </w:p>
        </w:tc>
        <w:tc>
          <w:tcPr>
            <w:tcW w:w="744" w:type="dxa"/>
            <w:tcBorders>
              <w:top w:val="nil"/>
              <w:left w:val="nil"/>
              <w:bottom w:val="nil"/>
              <w:right w:val="nil"/>
            </w:tcBorders>
            <w:shd w:val="clear" w:color="auto" w:fill="auto"/>
            <w:noWrap/>
            <w:vAlign w:val="center"/>
            <w:hideMark/>
          </w:tcPr>
          <w:p w14:paraId="56E3266C" w14:textId="77777777" w:rsidR="00572F25" w:rsidRPr="00E10A60" w:rsidRDefault="00572F25" w:rsidP="00140544">
            <w:pPr>
              <w:spacing w:after="0"/>
              <w:jc w:val="center"/>
              <w:rPr>
                <w:rFonts w:cs="Arial"/>
                <w:color w:val="000000"/>
                <w:sz w:val="18"/>
                <w:szCs w:val="18"/>
              </w:rPr>
            </w:pPr>
            <w:r w:rsidRPr="00E10A60">
              <w:rPr>
                <w:rFonts w:cs="Arial"/>
                <w:color w:val="000000"/>
                <w:sz w:val="18"/>
                <w:szCs w:val="18"/>
              </w:rPr>
              <w:t>147</w:t>
            </w:r>
          </w:p>
        </w:tc>
        <w:tc>
          <w:tcPr>
            <w:tcW w:w="744" w:type="dxa"/>
            <w:tcBorders>
              <w:top w:val="nil"/>
              <w:left w:val="nil"/>
              <w:bottom w:val="nil"/>
              <w:right w:val="nil"/>
            </w:tcBorders>
            <w:shd w:val="clear" w:color="auto" w:fill="auto"/>
            <w:noWrap/>
            <w:vAlign w:val="center"/>
            <w:hideMark/>
          </w:tcPr>
          <w:p w14:paraId="6345E6BB" w14:textId="77777777" w:rsidR="00572F25" w:rsidRPr="00E10A60" w:rsidRDefault="00572F25" w:rsidP="00140544">
            <w:pPr>
              <w:spacing w:after="0"/>
              <w:jc w:val="center"/>
              <w:rPr>
                <w:rFonts w:cs="Arial"/>
                <w:color w:val="000000"/>
                <w:sz w:val="18"/>
                <w:szCs w:val="18"/>
              </w:rPr>
            </w:pPr>
            <w:r w:rsidRPr="00E10A60">
              <w:rPr>
                <w:rFonts w:cs="Arial"/>
                <w:color w:val="000000"/>
                <w:sz w:val="18"/>
                <w:szCs w:val="18"/>
              </w:rPr>
              <w:t>68.4</w:t>
            </w:r>
          </w:p>
        </w:tc>
        <w:tc>
          <w:tcPr>
            <w:tcW w:w="744" w:type="dxa"/>
            <w:tcBorders>
              <w:top w:val="nil"/>
              <w:left w:val="nil"/>
              <w:bottom w:val="nil"/>
              <w:right w:val="nil"/>
            </w:tcBorders>
            <w:shd w:val="clear" w:color="auto" w:fill="auto"/>
            <w:noWrap/>
            <w:vAlign w:val="center"/>
            <w:hideMark/>
          </w:tcPr>
          <w:p w14:paraId="0BB18A8C" w14:textId="77777777" w:rsidR="00572F25" w:rsidRPr="00E10A60" w:rsidRDefault="00572F25" w:rsidP="00140544">
            <w:pPr>
              <w:spacing w:after="0"/>
              <w:jc w:val="center"/>
              <w:rPr>
                <w:rFonts w:cs="Arial"/>
                <w:color w:val="000000"/>
                <w:sz w:val="18"/>
                <w:szCs w:val="18"/>
              </w:rPr>
            </w:pPr>
            <w:r w:rsidRPr="00E10A60">
              <w:rPr>
                <w:rFonts w:cs="Arial"/>
                <w:color w:val="000000"/>
                <w:sz w:val="18"/>
                <w:szCs w:val="18"/>
              </w:rPr>
              <w:t>32</w:t>
            </w:r>
          </w:p>
        </w:tc>
        <w:tc>
          <w:tcPr>
            <w:tcW w:w="744" w:type="dxa"/>
            <w:tcBorders>
              <w:top w:val="nil"/>
              <w:left w:val="nil"/>
              <w:bottom w:val="nil"/>
              <w:right w:val="single" w:sz="8" w:space="0" w:color="auto"/>
            </w:tcBorders>
            <w:shd w:val="clear" w:color="auto" w:fill="auto"/>
            <w:noWrap/>
            <w:vAlign w:val="center"/>
            <w:hideMark/>
          </w:tcPr>
          <w:p w14:paraId="351CE4F1" w14:textId="77777777" w:rsidR="00572F25" w:rsidRPr="00E10A60" w:rsidRDefault="00572F25" w:rsidP="00140544">
            <w:pPr>
              <w:spacing w:after="0"/>
              <w:jc w:val="center"/>
              <w:rPr>
                <w:rFonts w:cs="Arial"/>
                <w:color w:val="000000"/>
                <w:sz w:val="18"/>
                <w:szCs w:val="18"/>
              </w:rPr>
            </w:pPr>
            <w:r w:rsidRPr="00E10A60">
              <w:rPr>
                <w:rFonts w:cs="Arial"/>
                <w:color w:val="000000"/>
                <w:sz w:val="18"/>
                <w:szCs w:val="18"/>
              </w:rPr>
              <w:t>14.9</w:t>
            </w:r>
          </w:p>
        </w:tc>
      </w:tr>
      <w:tr w:rsidR="00572F25" w:rsidRPr="00E10A60" w14:paraId="4F0FD42B" w14:textId="77777777" w:rsidTr="00140544">
        <w:trPr>
          <w:trHeight w:val="300"/>
        </w:trPr>
        <w:tc>
          <w:tcPr>
            <w:tcW w:w="2684" w:type="dxa"/>
            <w:tcBorders>
              <w:top w:val="nil"/>
              <w:left w:val="single" w:sz="8" w:space="0" w:color="auto"/>
              <w:bottom w:val="nil"/>
              <w:right w:val="single" w:sz="8" w:space="0" w:color="auto"/>
            </w:tcBorders>
            <w:shd w:val="clear" w:color="auto" w:fill="F1F1F2"/>
            <w:noWrap/>
            <w:vAlign w:val="bottom"/>
            <w:hideMark/>
          </w:tcPr>
          <w:p w14:paraId="63115E54" w14:textId="77777777" w:rsidR="00572F25" w:rsidRPr="00C56C81" w:rsidRDefault="00572F25" w:rsidP="00140544">
            <w:pPr>
              <w:spacing w:after="0"/>
              <w:rPr>
                <w:rFonts w:cs="Arial"/>
                <w:color w:val="000000"/>
                <w:sz w:val="18"/>
              </w:rPr>
            </w:pPr>
            <w:r w:rsidRPr="00C56C81">
              <w:rPr>
                <w:rFonts w:cs="Arial"/>
                <w:color w:val="000000"/>
                <w:sz w:val="18"/>
              </w:rPr>
              <w:t>Breast surgery</w:t>
            </w:r>
          </w:p>
        </w:tc>
        <w:tc>
          <w:tcPr>
            <w:tcW w:w="1417" w:type="dxa"/>
            <w:tcBorders>
              <w:top w:val="nil"/>
              <w:left w:val="nil"/>
              <w:bottom w:val="nil"/>
              <w:right w:val="nil"/>
            </w:tcBorders>
            <w:shd w:val="clear" w:color="000000" w:fill="F1F1F2"/>
            <w:noWrap/>
            <w:vAlign w:val="center"/>
            <w:hideMark/>
          </w:tcPr>
          <w:p w14:paraId="2C5CA50B" w14:textId="77777777" w:rsidR="00572F25" w:rsidRPr="00E10A60" w:rsidRDefault="00572F25" w:rsidP="00140544">
            <w:pPr>
              <w:spacing w:after="0"/>
              <w:jc w:val="center"/>
              <w:rPr>
                <w:rFonts w:cs="Arial"/>
                <w:color w:val="000000"/>
                <w:sz w:val="18"/>
                <w:szCs w:val="18"/>
              </w:rPr>
            </w:pPr>
            <w:r w:rsidRPr="00E10A60">
              <w:rPr>
                <w:rFonts w:cs="Arial"/>
                <w:color w:val="000000"/>
                <w:sz w:val="18"/>
                <w:szCs w:val="18"/>
              </w:rPr>
              <w:t>186</w:t>
            </w:r>
          </w:p>
        </w:tc>
        <w:tc>
          <w:tcPr>
            <w:tcW w:w="992" w:type="dxa"/>
            <w:tcBorders>
              <w:top w:val="nil"/>
              <w:left w:val="nil"/>
              <w:bottom w:val="nil"/>
              <w:right w:val="nil"/>
            </w:tcBorders>
            <w:shd w:val="clear" w:color="000000" w:fill="F1F1F2"/>
            <w:noWrap/>
            <w:vAlign w:val="center"/>
            <w:hideMark/>
          </w:tcPr>
          <w:p w14:paraId="79345961" w14:textId="77777777" w:rsidR="00572F25" w:rsidRPr="00E10A60" w:rsidRDefault="00572F25" w:rsidP="00140544">
            <w:pPr>
              <w:spacing w:after="0"/>
              <w:jc w:val="center"/>
              <w:rPr>
                <w:rFonts w:cs="Arial"/>
                <w:color w:val="000000"/>
                <w:sz w:val="18"/>
                <w:szCs w:val="18"/>
              </w:rPr>
            </w:pPr>
            <w:r w:rsidRPr="00E10A60">
              <w:rPr>
                <w:rFonts w:cs="Arial"/>
                <w:color w:val="000000"/>
                <w:sz w:val="18"/>
                <w:szCs w:val="18"/>
              </w:rPr>
              <w:t>1</w:t>
            </w:r>
            <w:r>
              <w:rPr>
                <w:rFonts w:cs="Arial"/>
                <w:color w:val="000000"/>
                <w:sz w:val="18"/>
                <w:szCs w:val="18"/>
              </w:rPr>
              <w:t>–</w:t>
            </w:r>
            <w:r w:rsidRPr="00E10A60">
              <w:rPr>
                <w:rFonts w:cs="Arial"/>
                <w:color w:val="000000"/>
                <w:sz w:val="18"/>
                <w:szCs w:val="18"/>
              </w:rPr>
              <w:t>49</w:t>
            </w:r>
          </w:p>
        </w:tc>
        <w:tc>
          <w:tcPr>
            <w:tcW w:w="993" w:type="dxa"/>
            <w:tcBorders>
              <w:top w:val="nil"/>
              <w:left w:val="nil"/>
              <w:bottom w:val="nil"/>
              <w:right w:val="nil"/>
            </w:tcBorders>
            <w:shd w:val="clear" w:color="000000" w:fill="F1F1F2"/>
            <w:noWrap/>
            <w:vAlign w:val="center"/>
            <w:hideMark/>
          </w:tcPr>
          <w:p w14:paraId="6855DBE4" w14:textId="77777777" w:rsidR="00572F25" w:rsidRPr="00E10A60" w:rsidRDefault="00572F25" w:rsidP="00140544">
            <w:pPr>
              <w:spacing w:after="0"/>
              <w:jc w:val="center"/>
              <w:rPr>
                <w:rFonts w:cs="Arial"/>
                <w:color w:val="000000"/>
                <w:sz w:val="18"/>
                <w:szCs w:val="18"/>
              </w:rPr>
            </w:pPr>
            <w:r w:rsidRPr="00E10A60">
              <w:rPr>
                <w:rFonts w:cs="Arial"/>
                <w:color w:val="000000"/>
                <w:sz w:val="18"/>
                <w:szCs w:val="18"/>
              </w:rPr>
              <w:t>5</w:t>
            </w:r>
          </w:p>
        </w:tc>
        <w:tc>
          <w:tcPr>
            <w:tcW w:w="744" w:type="dxa"/>
            <w:tcBorders>
              <w:top w:val="nil"/>
              <w:left w:val="nil"/>
              <w:bottom w:val="nil"/>
              <w:right w:val="nil"/>
            </w:tcBorders>
            <w:shd w:val="clear" w:color="000000" w:fill="F1F1F2"/>
            <w:noWrap/>
            <w:vAlign w:val="center"/>
            <w:hideMark/>
          </w:tcPr>
          <w:p w14:paraId="40E1AB32" w14:textId="77777777" w:rsidR="00572F25" w:rsidRPr="00E10A60" w:rsidRDefault="00572F25" w:rsidP="00140544">
            <w:pPr>
              <w:spacing w:after="0"/>
              <w:jc w:val="center"/>
              <w:rPr>
                <w:rFonts w:cs="Arial"/>
                <w:color w:val="000000"/>
                <w:sz w:val="18"/>
                <w:szCs w:val="18"/>
              </w:rPr>
            </w:pPr>
            <w:r w:rsidRPr="00E10A60">
              <w:rPr>
                <w:rFonts w:cs="Arial"/>
                <w:color w:val="000000"/>
                <w:sz w:val="18"/>
                <w:szCs w:val="18"/>
              </w:rPr>
              <w:t>142</w:t>
            </w:r>
          </w:p>
        </w:tc>
        <w:tc>
          <w:tcPr>
            <w:tcW w:w="744" w:type="dxa"/>
            <w:tcBorders>
              <w:top w:val="nil"/>
              <w:left w:val="nil"/>
              <w:bottom w:val="nil"/>
              <w:right w:val="nil"/>
            </w:tcBorders>
            <w:shd w:val="clear" w:color="000000" w:fill="F1F1F2"/>
            <w:noWrap/>
            <w:vAlign w:val="center"/>
            <w:hideMark/>
          </w:tcPr>
          <w:p w14:paraId="2C717030" w14:textId="77777777" w:rsidR="00572F25" w:rsidRPr="00E10A60" w:rsidRDefault="00572F25" w:rsidP="00140544">
            <w:pPr>
              <w:spacing w:after="0"/>
              <w:jc w:val="center"/>
              <w:rPr>
                <w:rFonts w:cs="Arial"/>
                <w:color w:val="000000"/>
                <w:sz w:val="18"/>
                <w:szCs w:val="18"/>
              </w:rPr>
            </w:pPr>
            <w:r w:rsidRPr="00E10A60">
              <w:rPr>
                <w:rFonts w:cs="Arial"/>
                <w:color w:val="000000"/>
                <w:sz w:val="18"/>
                <w:szCs w:val="18"/>
              </w:rPr>
              <w:t>76.3</w:t>
            </w:r>
          </w:p>
        </w:tc>
        <w:tc>
          <w:tcPr>
            <w:tcW w:w="744" w:type="dxa"/>
            <w:tcBorders>
              <w:top w:val="nil"/>
              <w:left w:val="nil"/>
              <w:bottom w:val="nil"/>
              <w:right w:val="nil"/>
            </w:tcBorders>
            <w:shd w:val="clear" w:color="000000" w:fill="F1F1F2"/>
            <w:noWrap/>
            <w:vAlign w:val="center"/>
            <w:hideMark/>
          </w:tcPr>
          <w:p w14:paraId="16E99ECE" w14:textId="77777777" w:rsidR="00572F25" w:rsidRPr="00E10A60" w:rsidRDefault="00572F25" w:rsidP="00140544">
            <w:pPr>
              <w:spacing w:after="0"/>
              <w:jc w:val="center"/>
              <w:rPr>
                <w:rFonts w:cs="Arial"/>
                <w:color w:val="000000"/>
                <w:sz w:val="18"/>
                <w:szCs w:val="18"/>
              </w:rPr>
            </w:pPr>
            <w:r w:rsidRPr="00E10A60">
              <w:rPr>
                <w:rFonts w:cs="Arial"/>
                <w:color w:val="000000"/>
                <w:sz w:val="18"/>
                <w:szCs w:val="18"/>
              </w:rPr>
              <w:t>118</w:t>
            </w:r>
          </w:p>
        </w:tc>
        <w:tc>
          <w:tcPr>
            <w:tcW w:w="744" w:type="dxa"/>
            <w:tcBorders>
              <w:top w:val="nil"/>
              <w:left w:val="nil"/>
              <w:bottom w:val="nil"/>
              <w:right w:val="single" w:sz="8" w:space="0" w:color="auto"/>
            </w:tcBorders>
            <w:shd w:val="clear" w:color="000000" w:fill="F1F1F2"/>
            <w:noWrap/>
            <w:vAlign w:val="center"/>
            <w:hideMark/>
          </w:tcPr>
          <w:p w14:paraId="1B7E159C" w14:textId="77777777" w:rsidR="00572F25" w:rsidRPr="00E10A60" w:rsidRDefault="00572F25" w:rsidP="00140544">
            <w:pPr>
              <w:spacing w:after="0"/>
              <w:jc w:val="center"/>
              <w:rPr>
                <w:rFonts w:cs="Arial"/>
                <w:color w:val="000000"/>
                <w:sz w:val="18"/>
                <w:szCs w:val="18"/>
              </w:rPr>
            </w:pPr>
            <w:r w:rsidRPr="00E10A60">
              <w:rPr>
                <w:rFonts w:cs="Arial"/>
                <w:color w:val="000000"/>
                <w:sz w:val="18"/>
                <w:szCs w:val="18"/>
              </w:rPr>
              <w:t>63.4</w:t>
            </w:r>
          </w:p>
        </w:tc>
      </w:tr>
      <w:tr w:rsidR="00572F25" w:rsidRPr="00E10A60" w14:paraId="23356EF1" w14:textId="77777777" w:rsidTr="00140544">
        <w:trPr>
          <w:trHeight w:val="300"/>
        </w:trPr>
        <w:tc>
          <w:tcPr>
            <w:tcW w:w="2684" w:type="dxa"/>
            <w:tcBorders>
              <w:top w:val="nil"/>
              <w:left w:val="single" w:sz="8" w:space="0" w:color="auto"/>
              <w:bottom w:val="nil"/>
              <w:right w:val="single" w:sz="8" w:space="0" w:color="auto"/>
            </w:tcBorders>
            <w:shd w:val="clear" w:color="auto" w:fill="auto"/>
            <w:noWrap/>
            <w:vAlign w:val="bottom"/>
            <w:hideMark/>
          </w:tcPr>
          <w:p w14:paraId="2D4B4EF0" w14:textId="77777777" w:rsidR="00572F25" w:rsidRPr="00C56C81" w:rsidRDefault="00572F25" w:rsidP="00140544">
            <w:pPr>
              <w:spacing w:after="0"/>
              <w:rPr>
                <w:rFonts w:cs="Arial"/>
                <w:color w:val="000000"/>
                <w:sz w:val="18"/>
              </w:rPr>
            </w:pPr>
            <w:r w:rsidRPr="00C56C81">
              <w:rPr>
                <w:rFonts w:cs="Arial"/>
                <w:color w:val="000000"/>
                <w:sz w:val="18"/>
              </w:rPr>
              <w:t>Urological surgery</w:t>
            </w:r>
          </w:p>
        </w:tc>
        <w:tc>
          <w:tcPr>
            <w:tcW w:w="1417" w:type="dxa"/>
            <w:tcBorders>
              <w:top w:val="nil"/>
              <w:left w:val="nil"/>
              <w:bottom w:val="nil"/>
              <w:right w:val="nil"/>
            </w:tcBorders>
            <w:shd w:val="clear" w:color="auto" w:fill="auto"/>
            <w:noWrap/>
            <w:vAlign w:val="center"/>
            <w:hideMark/>
          </w:tcPr>
          <w:p w14:paraId="3D201472" w14:textId="77777777" w:rsidR="00572F25" w:rsidRPr="00E10A60" w:rsidRDefault="00572F25" w:rsidP="00140544">
            <w:pPr>
              <w:spacing w:after="0"/>
              <w:jc w:val="center"/>
              <w:rPr>
                <w:rFonts w:cs="Arial"/>
                <w:color w:val="000000"/>
                <w:sz w:val="18"/>
                <w:szCs w:val="18"/>
              </w:rPr>
            </w:pPr>
            <w:r w:rsidRPr="00E10A60">
              <w:rPr>
                <w:rFonts w:cs="Arial"/>
                <w:color w:val="000000"/>
                <w:sz w:val="18"/>
                <w:szCs w:val="18"/>
              </w:rPr>
              <w:t>178</w:t>
            </w:r>
          </w:p>
        </w:tc>
        <w:tc>
          <w:tcPr>
            <w:tcW w:w="992" w:type="dxa"/>
            <w:tcBorders>
              <w:top w:val="nil"/>
              <w:left w:val="nil"/>
              <w:bottom w:val="nil"/>
              <w:right w:val="nil"/>
            </w:tcBorders>
            <w:shd w:val="clear" w:color="auto" w:fill="auto"/>
            <w:noWrap/>
            <w:vAlign w:val="center"/>
            <w:hideMark/>
          </w:tcPr>
          <w:p w14:paraId="12BD294A" w14:textId="77777777" w:rsidR="00572F25" w:rsidRPr="00E10A60" w:rsidRDefault="00572F25" w:rsidP="00140544">
            <w:pPr>
              <w:spacing w:after="0"/>
              <w:jc w:val="center"/>
              <w:rPr>
                <w:rFonts w:cs="Arial"/>
                <w:color w:val="000000"/>
                <w:sz w:val="18"/>
                <w:szCs w:val="18"/>
              </w:rPr>
            </w:pPr>
            <w:r w:rsidRPr="00E10A60">
              <w:rPr>
                <w:rFonts w:cs="Arial"/>
                <w:color w:val="000000"/>
                <w:sz w:val="18"/>
                <w:szCs w:val="18"/>
              </w:rPr>
              <w:t>1</w:t>
            </w:r>
            <w:r>
              <w:rPr>
                <w:rFonts w:cs="Arial"/>
                <w:color w:val="000000"/>
                <w:sz w:val="18"/>
                <w:szCs w:val="18"/>
              </w:rPr>
              <w:t>–</w:t>
            </w:r>
            <w:r w:rsidRPr="00E10A60">
              <w:rPr>
                <w:rFonts w:cs="Arial"/>
                <w:color w:val="000000"/>
                <w:sz w:val="18"/>
                <w:szCs w:val="18"/>
              </w:rPr>
              <w:t>30</w:t>
            </w:r>
          </w:p>
        </w:tc>
        <w:tc>
          <w:tcPr>
            <w:tcW w:w="993" w:type="dxa"/>
            <w:tcBorders>
              <w:top w:val="nil"/>
              <w:left w:val="nil"/>
              <w:bottom w:val="nil"/>
              <w:right w:val="nil"/>
            </w:tcBorders>
            <w:shd w:val="clear" w:color="auto" w:fill="auto"/>
            <w:noWrap/>
            <w:vAlign w:val="center"/>
            <w:hideMark/>
          </w:tcPr>
          <w:p w14:paraId="7DE5C77B" w14:textId="77777777" w:rsidR="00572F25" w:rsidRPr="00E10A60" w:rsidRDefault="00572F25" w:rsidP="00140544">
            <w:pPr>
              <w:spacing w:after="0"/>
              <w:jc w:val="center"/>
              <w:rPr>
                <w:rFonts w:cs="Arial"/>
                <w:color w:val="000000"/>
                <w:sz w:val="18"/>
                <w:szCs w:val="18"/>
              </w:rPr>
            </w:pPr>
            <w:r w:rsidRPr="00E10A60">
              <w:rPr>
                <w:rFonts w:cs="Arial"/>
                <w:color w:val="000000"/>
                <w:sz w:val="18"/>
                <w:szCs w:val="18"/>
              </w:rPr>
              <w:t>2</w:t>
            </w:r>
          </w:p>
        </w:tc>
        <w:tc>
          <w:tcPr>
            <w:tcW w:w="744" w:type="dxa"/>
            <w:tcBorders>
              <w:top w:val="nil"/>
              <w:left w:val="nil"/>
              <w:bottom w:val="nil"/>
              <w:right w:val="nil"/>
            </w:tcBorders>
            <w:shd w:val="clear" w:color="auto" w:fill="auto"/>
            <w:noWrap/>
            <w:vAlign w:val="center"/>
            <w:hideMark/>
          </w:tcPr>
          <w:p w14:paraId="7322C473" w14:textId="77777777" w:rsidR="00572F25" w:rsidRPr="00E10A60" w:rsidRDefault="00572F25" w:rsidP="00140544">
            <w:pPr>
              <w:spacing w:after="0"/>
              <w:jc w:val="center"/>
              <w:rPr>
                <w:rFonts w:cs="Arial"/>
                <w:color w:val="000000"/>
                <w:sz w:val="18"/>
                <w:szCs w:val="18"/>
              </w:rPr>
            </w:pPr>
            <w:r w:rsidRPr="00E10A60">
              <w:rPr>
                <w:rFonts w:cs="Arial"/>
                <w:color w:val="000000"/>
                <w:sz w:val="18"/>
                <w:szCs w:val="18"/>
              </w:rPr>
              <w:t>141</w:t>
            </w:r>
          </w:p>
        </w:tc>
        <w:tc>
          <w:tcPr>
            <w:tcW w:w="744" w:type="dxa"/>
            <w:tcBorders>
              <w:top w:val="nil"/>
              <w:left w:val="nil"/>
              <w:bottom w:val="nil"/>
              <w:right w:val="nil"/>
            </w:tcBorders>
            <w:shd w:val="clear" w:color="auto" w:fill="auto"/>
            <w:noWrap/>
            <w:vAlign w:val="center"/>
            <w:hideMark/>
          </w:tcPr>
          <w:p w14:paraId="17D758E8" w14:textId="77777777" w:rsidR="00572F25" w:rsidRPr="00E10A60" w:rsidRDefault="00572F25" w:rsidP="00140544">
            <w:pPr>
              <w:spacing w:after="0"/>
              <w:jc w:val="center"/>
              <w:rPr>
                <w:rFonts w:cs="Arial"/>
                <w:color w:val="000000"/>
                <w:sz w:val="18"/>
                <w:szCs w:val="18"/>
              </w:rPr>
            </w:pPr>
            <w:r w:rsidRPr="00E10A60">
              <w:rPr>
                <w:rFonts w:cs="Arial"/>
                <w:color w:val="000000"/>
                <w:sz w:val="18"/>
                <w:szCs w:val="18"/>
              </w:rPr>
              <w:t>79.2</w:t>
            </w:r>
          </w:p>
        </w:tc>
        <w:tc>
          <w:tcPr>
            <w:tcW w:w="744" w:type="dxa"/>
            <w:tcBorders>
              <w:top w:val="nil"/>
              <w:left w:val="nil"/>
              <w:bottom w:val="nil"/>
              <w:right w:val="nil"/>
            </w:tcBorders>
            <w:shd w:val="clear" w:color="auto" w:fill="auto"/>
            <w:noWrap/>
            <w:vAlign w:val="center"/>
            <w:hideMark/>
          </w:tcPr>
          <w:p w14:paraId="3B7A69C3" w14:textId="77777777" w:rsidR="00572F25" w:rsidRPr="00E10A60" w:rsidRDefault="00572F25" w:rsidP="00140544">
            <w:pPr>
              <w:spacing w:after="0"/>
              <w:jc w:val="center"/>
              <w:rPr>
                <w:rFonts w:cs="Arial"/>
                <w:color w:val="000000"/>
                <w:sz w:val="18"/>
                <w:szCs w:val="18"/>
              </w:rPr>
            </w:pPr>
            <w:r w:rsidRPr="00E10A60">
              <w:rPr>
                <w:rFonts w:cs="Arial"/>
                <w:color w:val="000000"/>
                <w:sz w:val="18"/>
                <w:szCs w:val="18"/>
              </w:rPr>
              <w:t>90</w:t>
            </w:r>
          </w:p>
        </w:tc>
        <w:tc>
          <w:tcPr>
            <w:tcW w:w="744" w:type="dxa"/>
            <w:tcBorders>
              <w:top w:val="nil"/>
              <w:left w:val="nil"/>
              <w:bottom w:val="nil"/>
              <w:right w:val="single" w:sz="8" w:space="0" w:color="auto"/>
            </w:tcBorders>
            <w:shd w:val="clear" w:color="auto" w:fill="auto"/>
            <w:noWrap/>
            <w:vAlign w:val="center"/>
            <w:hideMark/>
          </w:tcPr>
          <w:p w14:paraId="6238417E" w14:textId="77777777" w:rsidR="00572F25" w:rsidRPr="00E10A60" w:rsidRDefault="00572F25" w:rsidP="00140544">
            <w:pPr>
              <w:spacing w:after="0"/>
              <w:jc w:val="center"/>
              <w:rPr>
                <w:rFonts w:cs="Arial"/>
                <w:color w:val="000000"/>
                <w:sz w:val="18"/>
                <w:szCs w:val="18"/>
              </w:rPr>
            </w:pPr>
            <w:r w:rsidRPr="00E10A60">
              <w:rPr>
                <w:rFonts w:cs="Arial"/>
                <w:color w:val="000000"/>
                <w:sz w:val="18"/>
                <w:szCs w:val="18"/>
              </w:rPr>
              <w:t>50.6</w:t>
            </w:r>
          </w:p>
        </w:tc>
      </w:tr>
      <w:tr w:rsidR="00572F25" w:rsidRPr="00E10A60" w14:paraId="0B7B7AAB" w14:textId="77777777" w:rsidTr="00140544">
        <w:trPr>
          <w:trHeight w:val="300"/>
        </w:trPr>
        <w:tc>
          <w:tcPr>
            <w:tcW w:w="2684" w:type="dxa"/>
            <w:tcBorders>
              <w:top w:val="nil"/>
              <w:left w:val="single" w:sz="8" w:space="0" w:color="auto"/>
              <w:bottom w:val="nil"/>
              <w:right w:val="single" w:sz="8" w:space="0" w:color="auto"/>
            </w:tcBorders>
            <w:shd w:val="clear" w:color="auto" w:fill="F1F1F2"/>
            <w:noWrap/>
            <w:vAlign w:val="bottom"/>
            <w:hideMark/>
          </w:tcPr>
          <w:p w14:paraId="53EDEA2B" w14:textId="77777777" w:rsidR="00572F25" w:rsidRPr="00C56C81" w:rsidRDefault="00572F25" w:rsidP="00140544">
            <w:pPr>
              <w:spacing w:after="0"/>
              <w:rPr>
                <w:rFonts w:cs="Arial"/>
                <w:color w:val="000000"/>
                <w:sz w:val="18"/>
              </w:rPr>
            </w:pPr>
            <w:r w:rsidRPr="00C56C81">
              <w:rPr>
                <w:rFonts w:cs="Arial"/>
                <w:color w:val="000000"/>
                <w:sz w:val="18"/>
              </w:rPr>
              <w:t>Dentoalveolar surgery</w:t>
            </w:r>
          </w:p>
        </w:tc>
        <w:tc>
          <w:tcPr>
            <w:tcW w:w="1417" w:type="dxa"/>
            <w:tcBorders>
              <w:top w:val="nil"/>
              <w:left w:val="nil"/>
              <w:bottom w:val="nil"/>
              <w:right w:val="nil"/>
            </w:tcBorders>
            <w:shd w:val="clear" w:color="000000" w:fill="F1F1F2"/>
            <w:noWrap/>
            <w:vAlign w:val="center"/>
            <w:hideMark/>
          </w:tcPr>
          <w:p w14:paraId="693D4C8F" w14:textId="77777777" w:rsidR="00572F25" w:rsidRPr="00E10A60" w:rsidRDefault="00572F25" w:rsidP="00140544">
            <w:pPr>
              <w:spacing w:after="0"/>
              <w:jc w:val="center"/>
              <w:rPr>
                <w:rFonts w:cs="Arial"/>
                <w:color w:val="000000"/>
                <w:sz w:val="18"/>
                <w:szCs w:val="18"/>
              </w:rPr>
            </w:pPr>
            <w:r w:rsidRPr="00E10A60">
              <w:rPr>
                <w:rFonts w:cs="Arial"/>
                <w:color w:val="000000"/>
                <w:sz w:val="18"/>
                <w:szCs w:val="18"/>
              </w:rPr>
              <w:t>130</w:t>
            </w:r>
          </w:p>
        </w:tc>
        <w:tc>
          <w:tcPr>
            <w:tcW w:w="992" w:type="dxa"/>
            <w:tcBorders>
              <w:top w:val="nil"/>
              <w:left w:val="nil"/>
              <w:bottom w:val="nil"/>
              <w:right w:val="nil"/>
            </w:tcBorders>
            <w:shd w:val="clear" w:color="000000" w:fill="F1F1F2"/>
            <w:noWrap/>
            <w:vAlign w:val="center"/>
            <w:hideMark/>
          </w:tcPr>
          <w:p w14:paraId="6FAEFB17" w14:textId="77777777" w:rsidR="00572F25" w:rsidRPr="00E10A60" w:rsidRDefault="00572F25" w:rsidP="00140544">
            <w:pPr>
              <w:spacing w:after="0"/>
              <w:jc w:val="center"/>
              <w:rPr>
                <w:rFonts w:cs="Arial"/>
                <w:color w:val="000000"/>
                <w:sz w:val="18"/>
                <w:szCs w:val="18"/>
              </w:rPr>
            </w:pPr>
            <w:r w:rsidRPr="00E10A60">
              <w:rPr>
                <w:rFonts w:cs="Arial"/>
                <w:color w:val="000000"/>
                <w:sz w:val="18"/>
                <w:szCs w:val="18"/>
              </w:rPr>
              <w:t>1</w:t>
            </w:r>
            <w:r>
              <w:rPr>
                <w:rFonts w:cs="Arial"/>
                <w:color w:val="000000"/>
                <w:sz w:val="18"/>
                <w:szCs w:val="18"/>
              </w:rPr>
              <w:t>–</w:t>
            </w:r>
            <w:r w:rsidRPr="00E10A60">
              <w:rPr>
                <w:rFonts w:cs="Arial"/>
                <w:color w:val="000000"/>
                <w:sz w:val="18"/>
                <w:szCs w:val="18"/>
              </w:rPr>
              <w:t>15</w:t>
            </w:r>
          </w:p>
        </w:tc>
        <w:tc>
          <w:tcPr>
            <w:tcW w:w="993" w:type="dxa"/>
            <w:tcBorders>
              <w:top w:val="nil"/>
              <w:left w:val="nil"/>
              <w:bottom w:val="nil"/>
              <w:right w:val="nil"/>
            </w:tcBorders>
            <w:shd w:val="clear" w:color="000000" w:fill="F1F1F2"/>
            <w:noWrap/>
            <w:vAlign w:val="center"/>
            <w:hideMark/>
          </w:tcPr>
          <w:p w14:paraId="26E385D6" w14:textId="77777777" w:rsidR="00572F25" w:rsidRPr="00E10A60" w:rsidRDefault="00572F25" w:rsidP="00140544">
            <w:pPr>
              <w:spacing w:after="0"/>
              <w:jc w:val="center"/>
              <w:rPr>
                <w:rFonts w:cs="Arial"/>
                <w:color w:val="000000"/>
                <w:sz w:val="18"/>
                <w:szCs w:val="18"/>
              </w:rPr>
            </w:pPr>
            <w:r w:rsidRPr="00E10A60">
              <w:rPr>
                <w:rFonts w:cs="Arial"/>
                <w:color w:val="000000"/>
                <w:sz w:val="18"/>
                <w:szCs w:val="18"/>
              </w:rPr>
              <w:t>5</w:t>
            </w:r>
          </w:p>
        </w:tc>
        <w:tc>
          <w:tcPr>
            <w:tcW w:w="744" w:type="dxa"/>
            <w:tcBorders>
              <w:top w:val="nil"/>
              <w:left w:val="nil"/>
              <w:bottom w:val="nil"/>
              <w:right w:val="nil"/>
            </w:tcBorders>
            <w:shd w:val="clear" w:color="000000" w:fill="F1F1F2"/>
            <w:noWrap/>
            <w:vAlign w:val="center"/>
            <w:hideMark/>
          </w:tcPr>
          <w:p w14:paraId="01922C8D" w14:textId="77777777" w:rsidR="00572F25" w:rsidRPr="00E10A60" w:rsidRDefault="00572F25" w:rsidP="00140544">
            <w:pPr>
              <w:spacing w:after="0"/>
              <w:jc w:val="center"/>
              <w:rPr>
                <w:rFonts w:cs="Arial"/>
                <w:color w:val="000000"/>
                <w:sz w:val="18"/>
                <w:szCs w:val="18"/>
              </w:rPr>
            </w:pPr>
            <w:r w:rsidRPr="00E10A60">
              <w:rPr>
                <w:rFonts w:cs="Arial"/>
                <w:color w:val="000000"/>
                <w:sz w:val="18"/>
                <w:szCs w:val="18"/>
              </w:rPr>
              <w:t>127</w:t>
            </w:r>
          </w:p>
        </w:tc>
        <w:tc>
          <w:tcPr>
            <w:tcW w:w="744" w:type="dxa"/>
            <w:tcBorders>
              <w:top w:val="nil"/>
              <w:left w:val="nil"/>
              <w:bottom w:val="nil"/>
              <w:right w:val="nil"/>
            </w:tcBorders>
            <w:shd w:val="clear" w:color="000000" w:fill="F1F1F2"/>
            <w:noWrap/>
            <w:vAlign w:val="center"/>
            <w:hideMark/>
          </w:tcPr>
          <w:p w14:paraId="5FC3CD7A" w14:textId="77777777" w:rsidR="00572F25" w:rsidRPr="00E10A60" w:rsidRDefault="00572F25" w:rsidP="00140544">
            <w:pPr>
              <w:spacing w:after="0"/>
              <w:jc w:val="center"/>
              <w:rPr>
                <w:rFonts w:cs="Arial"/>
                <w:color w:val="000000"/>
                <w:sz w:val="18"/>
                <w:szCs w:val="18"/>
              </w:rPr>
            </w:pPr>
            <w:r w:rsidRPr="00E10A60">
              <w:rPr>
                <w:rFonts w:cs="Arial"/>
                <w:color w:val="000000"/>
                <w:sz w:val="18"/>
                <w:szCs w:val="18"/>
              </w:rPr>
              <w:t>97.7</w:t>
            </w:r>
          </w:p>
        </w:tc>
        <w:tc>
          <w:tcPr>
            <w:tcW w:w="744" w:type="dxa"/>
            <w:tcBorders>
              <w:top w:val="nil"/>
              <w:left w:val="nil"/>
              <w:bottom w:val="nil"/>
              <w:right w:val="nil"/>
            </w:tcBorders>
            <w:shd w:val="clear" w:color="000000" w:fill="F1F1F2"/>
            <w:noWrap/>
            <w:vAlign w:val="center"/>
            <w:hideMark/>
          </w:tcPr>
          <w:p w14:paraId="75AE9A42" w14:textId="77777777" w:rsidR="00572F25" w:rsidRPr="00E10A60" w:rsidRDefault="00572F25" w:rsidP="00140544">
            <w:pPr>
              <w:spacing w:after="0"/>
              <w:jc w:val="center"/>
              <w:rPr>
                <w:rFonts w:cs="Arial"/>
                <w:color w:val="000000"/>
                <w:sz w:val="18"/>
                <w:szCs w:val="18"/>
              </w:rPr>
            </w:pPr>
            <w:r w:rsidRPr="00E10A60">
              <w:rPr>
                <w:rFonts w:cs="Arial"/>
                <w:color w:val="000000"/>
                <w:sz w:val="18"/>
                <w:szCs w:val="18"/>
              </w:rPr>
              <w:t>126</w:t>
            </w:r>
          </w:p>
        </w:tc>
        <w:tc>
          <w:tcPr>
            <w:tcW w:w="744" w:type="dxa"/>
            <w:tcBorders>
              <w:top w:val="nil"/>
              <w:left w:val="nil"/>
              <w:bottom w:val="nil"/>
              <w:right w:val="single" w:sz="8" w:space="0" w:color="auto"/>
            </w:tcBorders>
            <w:shd w:val="clear" w:color="000000" w:fill="F1F1F2"/>
            <w:noWrap/>
            <w:vAlign w:val="center"/>
            <w:hideMark/>
          </w:tcPr>
          <w:p w14:paraId="4660D295" w14:textId="77777777" w:rsidR="00572F25" w:rsidRPr="00E10A60" w:rsidRDefault="00572F25" w:rsidP="00140544">
            <w:pPr>
              <w:spacing w:after="0"/>
              <w:jc w:val="center"/>
              <w:rPr>
                <w:rFonts w:cs="Arial"/>
                <w:color w:val="000000"/>
                <w:sz w:val="18"/>
                <w:szCs w:val="18"/>
              </w:rPr>
            </w:pPr>
            <w:r w:rsidRPr="00E10A60">
              <w:rPr>
                <w:rFonts w:cs="Arial"/>
                <w:color w:val="000000"/>
                <w:sz w:val="18"/>
                <w:szCs w:val="18"/>
              </w:rPr>
              <w:t>96.9</w:t>
            </w:r>
          </w:p>
        </w:tc>
      </w:tr>
      <w:tr w:rsidR="00572F25" w:rsidRPr="00E10A60" w14:paraId="03D4C142" w14:textId="77777777" w:rsidTr="00140544">
        <w:trPr>
          <w:trHeight w:val="300"/>
        </w:trPr>
        <w:tc>
          <w:tcPr>
            <w:tcW w:w="2684" w:type="dxa"/>
            <w:tcBorders>
              <w:top w:val="nil"/>
              <w:left w:val="single" w:sz="8" w:space="0" w:color="auto"/>
              <w:bottom w:val="nil"/>
              <w:right w:val="single" w:sz="8" w:space="0" w:color="auto"/>
            </w:tcBorders>
            <w:shd w:val="clear" w:color="auto" w:fill="auto"/>
            <w:noWrap/>
            <w:vAlign w:val="bottom"/>
            <w:hideMark/>
          </w:tcPr>
          <w:p w14:paraId="1B1DB21D" w14:textId="77777777" w:rsidR="00572F25" w:rsidRPr="00C56C81" w:rsidRDefault="00572F25" w:rsidP="00140544">
            <w:pPr>
              <w:spacing w:after="0"/>
              <w:rPr>
                <w:rFonts w:cs="Arial"/>
                <w:color w:val="000000"/>
                <w:sz w:val="18"/>
              </w:rPr>
            </w:pPr>
            <w:r w:rsidRPr="00C56C81">
              <w:rPr>
                <w:rFonts w:cs="Arial"/>
                <w:color w:val="000000"/>
                <w:sz w:val="18"/>
              </w:rPr>
              <w:t>Gynaecological surgery</w:t>
            </w:r>
          </w:p>
        </w:tc>
        <w:tc>
          <w:tcPr>
            <w:tcW w:w="1417" w:type="dxa"/>
            <w:tcBorders>
              <w:top w:val="nil"/>
              <w:left w:val="nil"/>
              <w:bottom w:val="nil"/>
              <w:right w:val="nil"/>
            </w:tcBorders>
            <w:shd w:val="clear" w:color="auto" w:fill="auto"/>
            <w:noWrap/>
            <w:vAlign w:val="center"/>
            <w:hideMark/>
          </w:tcPr>
          <w:p w14:paraId="5D46BAA8" w14:textId="77777777" w:rsidR="00572F25" w:rsidRPr="00E10A60" w:rsidRDefault="00572F25" w:rsidP="00140544">
            <w:pPr>
              <w:spacing w:after="0"/>
              <w:jc w:val="center"/>
              <w:rPr>
                <w:rFonts w:cs="Arial"/>
                <w:color w:val="000000"/>
                <w:sz w:val="18"/>
                <w:szCs w:val="18"/>
              </w:rPr>
            </w:pPr>
            <w:r w:rsidRPr="00E10A60">
              <w:rPr>
                <w:rFonts w:cs="Arial"/>
                <w:color w:val="000000"/>
                <w:sz w:val="18"/>
                <w:szCs w:val="18"/>
              </w:rPr>
              <w:t>78</w:t>
            </w:r>
          </w:p>
        </w:tc>
        <w:tc>
          <w:tcPr>
            <w:tcW w:w="992" w:type="dxa"/>
            <w:tcBorders>
              <w:top w:val="nil"/>
              <w:left w:val="nil"/>
              <w:bottom w:val="nil"/>
              <w:right w:val="nil"/>
            </w:tcBorders>
            <w:shd w:val="clear" w:color="auto" w:fill="auto"/>
            <w:noWrap/>
            <w:vAlign w:val="center"/>
            <w:hideMark/>
          </w:tcPr>
          <w:p w14:paraId="7D739ABD" w14:textId="77777777" w:rsidR="00572F25" w:rsidRPr="00E10A60" w:rsidRDefault="00572F25" w:rsidP="00140544">
            <w:pPr>
              <w:spacing w:after="0"/>
              <w:jc w:val="center"/>
              <w:rPr>
                <w:rFonts w:cs="Arial"/>
                <w:color w:val="000000"/>
                <w:sz w:val="18"/>
                <w:szCs w:val="18"/>
              </w:rPr>
            </w:pPr>
            <w:r w:rsidRPr="00E10A60">
              <w:rPr>
                <w:rFonts w:cs="Arial"/>
                <w:color w:val="000000"/>
                <w:sz w:val="18"/>
                <w:szCs w:val="18"/>
              </w:rPr>
              <w:t>1</w:t>
            </w:r>
            <w:r>
              <w:rPr>
                <w:rFonts w:cs="Arial"/>
                <w:color w:val="000000"/>
                <w:sz w:val="18"/>
                <w:szCs w:val="18"/>
              </w:rPr>
              <w:t>–</w:t>
            </w:r>
            <w:r w:rsidRPr="00E10A60">
              <w:rPr>
                <w:rFonts w:cs="Arial"/>
                <w:color w:val="000000"/>
                <w:sz w:val="18"/>
                <w:szCs w:val="18"/>
              </w:rPr>
              <w:t>12</w:t>
            </w:r>
          </w:p>
        </w:tc>
        <w:tc>
          <w:tcPr>
            <w:tcW w:w="993" w:type="dxa"/>
            <w:tcBorders>
              <w:top w:val="nil"/>
              <w:left w:val="nil"/>
              <w:bottom w:val="nil"/>
              <w:right w:val="nil"/>
            </w:tcBorders>
            <w:shd w:val="clear" w:color="auto" w:fill="auto"/>
            <w:noWrap/>
            <w:vAlign w:val="center"/>
            <w:hideMark/>
          </w:tcPr>
          <w:p w14:paraId="57045173" w14:textId="77777777" w:rsidR="00572F25" w:rsidRPr="00E10A60" w:rsidRDefault="00572F25" w:rsidP="00140544">
            <w:pPr>
              <w:spacing w:after="0"/>
              <w:jc w:val="center"/>
              <w:rPr>
                <w:rFonts w:cs="Arial"/>
                <w:color w:val="000000"/>
                <w:sz w:val="18"/>
                <w:szCs w:val="18"/>
              </w:rPr>
            </w:pPr>
            <w:r w:rsidRPr="00E10A60">
              <w:rPr>
                <w:rFonts w:cs="Arial"/>
                <w:color w:val="000000"/>
                <w:sz w:val="18"/>
                <w:szCs w:val="18"/>
              </w:rPr>
              <w:t>1</w:t>
            </w:r>
          </w:p>
        </w:tc>
        <w:tc>
          <w:tcPr>
            <w:tcW w:w="744" w:type="dxa"/>
            <w:tcBorders>
              <w:top w:val="nil"/>
              <w:left w:val="nil"/>
              <w:bottom w:val="nil"/>
              <w:right w:val="nil"/>
            </w:tcBorders>
            <w:shd w:val="clear" w:color="auto" w:fill="auto"/>
            <w:noWrap/>
            <w:vAlign w:val="center"/>
            <w:hideMark/>
          </w:tcPr>
          <w:p w14:paraId="5BB58E4E" w14:textId="77777777" w:rsidR="00572F25" w:rsidRPr="00E10A60" w:rsidRDefault="00572F25" w:rsidP="00140544">
            <w:pPr>
              <w:spacing w:after="0"/>
              <w:jc w:val="center"/>
              <w:rPr>
                <w:rFonts w:cs="Arial"/>
                <w:color w:val="000000"/>
                <w:sz w:val="18"/>
                <w:szCs w:val="18"/>
              </w:rPr>
            </w:pPr>
            <w:r w:rsidRPr="00E10A60">
              <w:rPr>
                <w:rFonts w:cs="Arial"/>
                <w:color w:val="000000"/>
                <w:sz w:val="18"/>
                <w:szCs w:val="18"/>
              </w:rPr>
              <w:t>60</w:t>
            </w:r>
          </w:p>
        </w:tc>
        <w:tc>
          <w:tcPr>
            <w:tcW w:w="744" w:type="dxa"/>
            <w:tcBorders>
              <w:top w:val="nil"/>
              <w:left w:val="nil"/>
              <w:bottom w:val="nil"/>
              <w:right w:val="nil"/>
            </w:tcBorders>
            <w:shd w:val="clear" w:color="auto" w:fill="auto"/>
            <w:noWrap/>
            <w:vAlign w:val="center"/>
            <w:hideMark/>
          </w:tcPr>
          <w:p w14:paraId="5F2124E5" w14:textId="77777777" w:rsidR="00572F25" w:rsidRPr="00E10A60" w:rsidRDefault="00572F25" w:rsidP="00140544">
            <w:pPr>
              <w:spacing w:after="0"/>
              <w:jc w:val="center"/>
              <w:rPr>
                <w:rFonts w:cs="Arial"/>
                <w:color w:val="000000"/>
                <w:sz w:val="18"/>
                <w:szCs w:val="18"/>
              </w:rPr>
            </w:pPr>
            <w:r w:rsidRPr="00E10A60">
              <w:rPr>
                <w:rFonts w:cs="Arial"/>
                <w:color w:val="000000"/>
                <w:sz w:val="18"/>
                <w:szCs w:val="18"/>
              </w:rPr>
              <w:t>76.9</w:t>
            </w:r>
          </w:p>
        </w:tc>
        <w:tc>
          <w:tcPr>
            <w:tcW w:w="744" w:type="dxa"/>
            <w:tcBorders>
              <w:top w:val="nil"/>
              <w:left w:val="nil"/>
              <w:bottom w:val="nil"/>
              <w:right w:val="nil"/>
            </w:tcBorders>
            <w:shd w:val="clear" w:color="auto" w:fill="auto"/>
            <w:noWrap/>
            <w:vAlign w:val="center"/>
            <w:hideMark/>
          </w:tcPr>
          <w:p w14:paraId="159147E0" w14:textId="77777777" w:rsidR="00572F25" w:rsidRPr="00E10A60" w:rsidRDefault="00572F25" w:rsidP="00140544">
            <w:pPr>
              <w:spacing w:after="0"/>
              <w:jc w:val="center"/>
              <w:rPr>
                <w:rFonts w:cs="Arial"/>
                <w:color w:val="000000"/>
                <w:sz w:val="18"/>
                <w:szCs w:val="18"/>
              </w:rPr>
            </w:pPr>
            <w:r w:rsidRPr="00E10A60">
              <w:rPr>
                <w:rFonts w:cs="Arial"/>
                <w:color w:val="000000"/>
                <w:sz w:val="18"/>
                <w:szCs w:val="18"/>
              </w:rPr>
              <w:t>31</w:t>
            </w:r>
          </w:p>
        </w:tc>
        <w:tc>
          <w:tcPr>
            <w:tcW w:w="744" w:type="dxa"/>
            <w:tcBorders>
              <w:top w:val="nil"/>
              <w:left w:val="nil"/>
              <w:bottom w:val="nil"/>
              <w:right w:val="single" w:sz="8" w:space="0" w:color="auto"/>
            </w:tcBorders>
            <w:shd w:val="clear" w:color="auto" w:fill="auto"/>
            <w:noWrap/>
            <w:vAlign w:val="center"/>
            <w:hideMark/>
          </w:tcPr>
          <w:p w14:paraId="017F1852" w14:textId="77777777" w:rsidR="00572F25" w:rsidRPr="00E10A60" w:rsidRDefault="00572F25" w:rsidP="00140544">
            <w:pPr>
              <w:spacing w:after="0"/>
              <w:jc w:val="center"/>
              <w:rPr>
                <w:rFonts w:cs="Arial"/>
                <w:color w:val="000000"/>
                <w:sz w:val="18"/>
                <w:szCs w:val="18"/>
              </w:rPr>
            </w:pPr>
            <w:r w:rsidRPr="00E10A60">
              <w:rPr>
                <w:rFonts w:cs="Arial"/>
                <w:color w:val="000000"/>
                <w:sz w:val="18"/>
                <w:szCs w:val="18"/>
              </w:rPr>
              <w:t>39.7</w:t>
            </w:r>
          </w:p>
        </w:tc>
      </w:tr>
      <w:tr w:rsidR="00572F25" w:rsidRPr="00E10A60" w14:paraId="21E9F471" w14:textId="77777777" w:rsidTr="00140544">
        <w:trPr>
          <w:trHeight w:val="300"/>
        </w:trPr>
        <w:tc>
          <w:tcPr>
            <w:tcW w:w="2684" w:type="dxa"/>
            <w:tcBorders>
              <w:top w:val="nil"/>
              <w:left w:val="single" w:sz="8" w:space="0" w:color="auto"/>
              <w:bottom w:val="nil"/>
              <w:right w:val="single" w:sz="8" w:space="0" w:color="auto"/>
            </w:tcBorders>
            <w:shd w:val="clear" w:color="auto" w:fill="F1F1F2"/>
            <w:noWrap/>
            <w:vAlign w:val="bottom"/>
            <w:hideMark/>
          </w:tcPr>
          <w:p w14:paraId="1406AEB0" w14:textId="77777777" w:rsidR="00572F25" w:rsidRPr="00C56C81" w:rsidRDefault="00572F25" w:rsidP="00140544">
            <w:pPr>
              <w:spacing w:after="0"/>
              <w:rPr>
                <w:rFonts w:cs="Arial"/>
                <w:color w:val="000000"/>
                <w:sz w:val="18"/>
              </w:rPr>
            </w:pPr>
            <w:r w:rsidRPr="00C56C81">
              <w:rPr>
                <w:rFonts w:cs="Arial"/>
                <w:color w:val="000000"/>
                <w:sz w:val="18"/>
              </w:rPr>
              <w:t>Obstetrics</w:t>
            </w:r>
          </w:p>
        </w:tc>
        <w:tc>
          <w:tcPr>
            <w:tcW w:w="1417" w:type="dxa"/>
            <w:tcBorders>
              <w:top w:val="nil"/>
              <w:left w:val="nil"/>
              <w:bottom w:val="nil"/>
              <w:right w:val="nil"/>
            </w:tcBorders>
            <w:shd w:val="clear" w:color="000000" w:fill="F1F1F2"/>
            <w:noWrap/>
            <w:vAlign w:val="center"/>
            <w:hideMark/>
          </w:tcPr>
          <w:p w14:paraId="5F684D44" w14:textId="77777777" w:rsidR="00572F25" w:rsidRPr="00E10A60" w:rsidRDefault="00572F25" w:rsidP="00140544">
            <w:pPr>
              <w:spacing w:after="0"/>
              <w:jc w:val="center"/>
              <w:rPr>
                <w:rFonts w:cs="Arial"/>
                <w:color w:val="000000"/>
                <w:sz w:val="18"/>
                <w:szCs w:val="18"/>
              </w:rPr>
            </w:pPr>
            <w:r w:rsidRPr="00E10A60">
              <w:rPr>
                <w:rFonts w:cs="Arial"/>
                <w:color w:val="000000"/>
                <w:sz w:val="18"/>
                <w:szCs w:val="18"/>
              </w:rPr>
              <w:t>75</w:t>
            </w:r>
          </w:p>
        </w:tc>
        <w:tc>
          <w:tcPr>
            <w:tcW w:w="992" w:type="dxa"/>
            <w:tcBorders>
              <w:top w:val="nil"/>
              <w:left w:val="nil"/>
              <w:bottom w:val="nil"/>
              <w:right w:val="nil"/>
            </w:tcBorders>
            <w:shd w:val="clear" w:color="000000" w:fill="F1F1F2"/>
            <w:noWrap/>
            <w:vAlign w:val="center"/>
            <w:hideMark/>
          </w:tcPr>
          <w:p w14:paraId="3F691488" w14:textId="77777777" w:rsidR="00572F25" w:rsidRPr="00E10A60" w:rsidRDefault="00572F25" w:rsidP="00140544">
            <w:pPr>
              <w:spacing w:after="0"/>
              <w:jc w:val="center"/>
              <w:rPr>
                <w:rFonts w:cs="Arial"/>
                <w:color w:val="000000"/>
                <w:sz w:val="18"/>
                <w:szCs w:val="18"/>
              </w:rPr>
            </w:pPr>
            <w:r w:rsidRPr="00E10A60">
              <w:rPr>
                <w:rFonts w:cs="Arial"/>
                <w:color w:val="000000"/>
                <w:sz w:val="18"/>
                <w:szCs w:val="18"/>
              </w:rPr>
              <w:t>1</w:t>
            </w:r>
            <w:r>
              <w:rPr>
                <w:rFonts w:cs="Arial"/>
                <w:color w:val="000000"/>
                <w:sz w:val="18"/>
                <w:szCs w:val="18"/>
              </w:rPr>
              <w:t>–</w:t>
            </w:r>
            <w:r w:rsidRPr="00E10A60">
              <w:rPr>
                <w:rFonts w:cs="Arial"/>
                <w:color w:val="000000"/>
                <w:sz w:val="18"/>
                <w:szCs w:val="18"/>
              </w:rPr>
              <w:t>7</w:t>
            </w:r>
          </w:p>
        </w:tc>
        <w:tc>
          <w:tcPr>
            <w:tcW w:w="993" w:type="dxa"/>
            <w:tcBorders>
              <w:top w:val="nil"/>
              <w:left w:val="nil"/>
              <w:bottom w:val="nil"/>
              <w:right w:val="nil"/>
            </w:tcBorders>
            <w:shd w:val="clear" w:color="000000" w:fill="F1F1F2"/>
            <w:noWrap/>
            <w:vAlign w:val="center"/>
            <w:hideMark/>
          </w:tcPr>
          <w:p w14:paraId="3D4587DD" w14:textId="77777777" w:rsidR="00572F25" w:rsidRPr="00E10A60" w:rsidRDefault="00572F25" w:rsidP="00140544">
            <w:pPr>
              <w:spacing w:after="0"/>
              <w:jc w:val="center"/>
              <w:rPr>
                <w:rFonts w:cs="Arial"/>
                <w:color w:val="000000"/>
                <w:sz w:val="18"/>
                <w:szCs w:val="18"/>
              </w:rPr>
            </w:pPr>
            <w:r w:rsidRPr="00E10A60">
              <w:rPr>
                <w:rFonts w:cs="Arial"/>
                <w:color w:val="000000"/>
                <w:sz w:val="18"/>
                <w:szCs w:val="18"/>
              </w:rPr>
              <w:t>1</w:t>
            </w:r>
          </w:p>
        </w:tc>
        <w:tc>
          <w:tcPr>
            <w:tcW w:w="744" w:type="dxa"/>
            <w:tcBorders>
              <w:top w:val="nil"/>
              <w:left w:val="nil"/>
              <w:bottom w:val="nil"/>
              <w:right w:val="nil"/>
            </w:tcBorders>
            <w:shd w:val="clear" w:color="000000" w:fill="F1F1F2"/>
            <w:noWrap/>
            <w:vAlign w:val="center"/>
            <w:hideMark/>
          </w:tcPr>
          <w:p w14:paraId="2F79F6B0" w14:textId="77777777" w:rsidR="00572F25" w:rsidRPr="00E10A60" w:rsidRDefault="00572F25" w:rsidP="00140544">
            <w:pPr>
              <w:spacing w:after="0"/>
              <w:jc w:val="center"/>
              <w:rPr>
                <w:rFonts w:cs="Arial"/>
                <w:color w:val="000000"/>
                <w:sz w:val="18"/>
                <w:szCs w:val="18"/>
              </w:rPr>
            </w:pPr>
            <w:r w:rsidRPr="00E10A60">
              <w:rPr>
                <w:rFonts w:cs="Arial"/>
                <w:color w:val="000000"/>
                <w:sz w:val="18"/>
                <w:szCs w:val="18"/>
              </w:rPr>
              <w:t>48</w:t>
            </w:r>
          </w:p>
        </w:tc>
        <w:tc>
          <w:tcPr>
            <w:tcW w:w="744" w:type="dxa"/>
            <w:tcBorders>
              <w:top w:val="nil"/>
              <w:left w:val="nil"/>
              <w:bottom w:val="nil"/>
              <w:right w:val="nil"/>
            </w:tcBorders>
            <w:shd w:val="clear" w:color="000000" w:fill="F1F1F2"/>
            <w:noWrap/>
            <w:vAlign w:val="center"/>
            <w:hideMark/>
          </w:tcPr>
          <w:p w14:paraId="74F989C3" w14:textId="77777777" w:rsidR="00572F25" w:rsidRPr="00E10A60" w:rsidRDefault="00572F25" w:rsidP="00140544">
            <w:pPr>
              <w:spacing w:after="0"/>
              <w:jc w:val="center"/>
              <w:rPr>
                <w:rFonts w:cs="Arial"/>
                <w:color w:val="000000"/>
                <w:sz w:val="18"/>
                <w:szCs w:val="18"/>
              </w:rPr>
            </w:pPr>
            <w:r w:rsidRPr="00E10A60">
              <w:rPr>
                <w:rFonts w:cs="Arial"/>
                <w:color w:val="000000"/>
                <w:sz w:val="18"/>
                <w:szCs w:val="18"/>
              </w:rPr>
              <w:t>64.0</w:t>
            </w:r>
          </w:p>
        </w:tc>
        <w:tc>
          <w:tcPr>
            <w:tcW w:w="744" w:type="dxa"/>
            <w:tcBorders>
              <w:top w:val="nil"/>
              <w:left w:val="nil"/>
              <w:bottom w:val="nil"/>
              <w:right w:val="nil"/>
            </w:tcBorders>
            <w:shd w:val="clear" w:color="000000" w:fill="F1F1F2"/>
            <w:noWrap/>
            <w:vAlign w:val="center"/>
            <w:hideMark/>
          </w:tcPr>
          <w:p w14:paraId="2426F727" w14:textId="77777777" w:rsidR="00572F25" w:rsidRPr="00E10A60" w:rsidRDefault="00572F25" w:rsidP="00140544">
            <w:pPr>
              <w:spacing w:after="0"/>
              <w:jc w:val="center"/>
              <w:rPr>
                <w:rFonts w:cs="Arial"/>
                <w:color w:val="000000"/>
                <w:sz w:val="18"/>
                <w:szCs w:val="18"/>
              </w:rPr>
            </w:pPr>
            <w:r w:rsidRPr="00E10A60">
              <w:rPr>
                <w:rFonts w:cs="Arial"/>
                <w:color w:val="000000"/>
                <w:sz w:val="18"/>
                <w:szCs w:val="18"/>
              </w:rPr>
              <w:t>18</w:t>
            </w:r>
          </w:p>
        </w:tc>
        <w:tc>
          <w:tcPr>
            <w:tcW w:w="744" w:type="dxa"/>
            <w:tcBorders>
              <w:top w:val="nil"/>
              <w:left w:val="nil"/>
              <w:bottom w:val="nil"/>
              <w:right w:val="single" w:sz="8" w:space="0" w:color="auto"/>
            </w:tcBorders>
            <w:shd w:val="clear" w:color="000000" w:fill="F1F1F2"/>
            <w:noWrap/>
            <w:vAlign w:val="center"/>
            <w:hideMark/>
          </w:tcPr>
          <w:p w14:paraId="05E449A5" w14:textId="77777777" w:rsidR="00572F25" w:rsidRPr="00E10A60" w:rsidRDefault="00572F25" w:rsidP="00140544">
            <w:pPr>
              <w:spacing w:after="0"/>
              <w:jc w:val="center"/>
              <w:rPr>
                <w:rFonts w:cs="Arial"/>
                <w:color w:val="000000"/>
                <w:sz w:val="18"/>
                <w:szCs w:val="18"/>
              </w:rPr>
            </w:pPr>
            <w:r w:rsidRPr="00E10A60">
              <w:rPr>
                <w:rFonts w:cs="Arial"/>
                <w:color w:val="000000"/>
                <w:sz w:val="18"/>
                <w:szCs w:val="18"/>
              </w:rPr>
              <w:t>24</w:t>
            </w:r>
          </w:p>
        </w:tc>
      </w:tr>
      <w:tr w:rsidR="00572F25" w:rsidRPr="00E10A60" w14:paraId="08927A80" w14:textId="77777777" w:rsidTr="00140544">
        <w:trPr>
          <w:trHeight w:val="300"/>
        </w:trPr>
        <w:tc>
          <w:tcPr>
            <w:tcW w:w="2684" w:type="dxa"/>
            <w:tcBorders>
              <w:top w:val="nil"/>
              <w:left w:val="single" w:sz="8" w:space="0" w:color="auto"/>
              <w:bottom w:val="nil"/>
              <w:right w:val="single" w:sz="8" w:space="0" w:color="auto"/>
            </w:tcBorders>
            <w:shd w:val="clear" w:color="auto" w:fill="auto"/>
            <w:noWrap/>
            <w:vAlign w:val="bottom"/>
            <w:hideMark/>
          </w:tcPr>
          <w:p w14:paraId="2753610E" w14:textId="77777777" w:rsidR="00572F25" w:rsidRPr="00C56C81" w:rsidRDefault="00572F25" w:rsidP="00140544">
            <w:pPr>
              <w:spacing w:after="0"/>
              <w:rPr>
                <w:rFonts w:cs="Arial"/>
                <w:color w:val="000000"/>
                <w:sz w:val="18"/>
              </w:rPr>
            </w:pPr>
            <w:r w:rsidRPr="00C56C81">
              <w:rPr>
                <w:rFonts w:cs="Arial"/>
                <w:color w:val="000000"/>
                <w:sz w:val="18"/>
              </w:rPr>
              <w:t>Thoracic surgery</w:t>
            </w:r>
          </w:p>
        </w:tc>
        <w:tc>
          <w:tcPr>
            <w:tcW w:w="1417" w:type="dxa"/>
            <w:tcBorders>
              <w:top w:val="nil"/>
              <w:left w:val="nil"/>
              <w:bottom w:val="nil"/>
              <w:right w:val="nil"/>
            </w:tcBorders>
            <w:shd w:val="clear" w:color="auto" w:fill="auto"/>
            <w:noWrap/>
            <w:vAlign w:val="center"/>
            <w:hideMark/>
          </w:tcPr>
          <w:p w14:paraId="44BF0CEF" w14:textId="77777777" w:rsidR="00572F25" w:rsidRPr="00E10A60" w:rsidRDefault="00572F25" w:rsidP="00140544">
            <w:pPr>
              <w:spacing w:after="0"/>
              <w:jc w:val="center"/>
              <w:rPr>
                <w:rFonts w:cs="Arial"/>
                <w:color w:val="000000"/>
                <w:sz w:val="18"/>
                <w:szCs w:val="18"/>
              </w:rPr>
            </w:pPr>
            <w:r w:rsidRPr="00E10A60">
              <w:rPr>
                <w:rFonts w:cs="Arial"/>
                <w:color w:val="000000"/>
                <w:sz w:val="18"/>
                <w:szCs w:val="18"/>
              </w:rPr>
              <w:t>49</w:t>
            </w:r>
          </w:p>
        </w:tc>
        <w:tc>
          <w:tcPr>
            <w:tcW w:w="992" w:type="dxa"/>
            <w:tcBorders>
              <w:top w:val="nil"/>
              <w:left w:val="nil"/>
              <w:bottom w:val="nil"/>
              <w:right w:val="nil"/>
            </w:tcBorders>
            <w:shd w:val="clear" w:color="auto" w:fill="auto"/>
            <w:noWrap/>
            <w:vAlign w:val="center"/>
            <w:hideMark/>
          </w:tcPr>
          <w:p w14:paraId="70600529" w14:textId="77777777" w:rsidR="00572F25" w:rsidRPr="00E10A60" w:rsidRDefault="00572F25" w:rsidP="00140544">
            <w:pPr>
              <w:spacing w:after="0"/>
              <w:jc w:val="center"/>
              <w:rPr>
                <w:rFonts w:cs="Arial"/>
                <w:color w:val="000000"/>
                <w:sz w:val="18"/>
                <w:szCs w:val="18"/>
              </w:rPr>
            </w:pPr>
            <w:r w:rsidRPr="00E10A60">
              <w:rPr>
                <w:rFonts w:cs="Arial"/>
                <w:color w:val="000000"/>
                <w:sz w:val="18"/>
                <w:szCs w:val="18"/>
              </w:rPr>
              <w:t>1</w:t>
            </w:r>
            <w:r>
              <w:rPr>
                <w:rFonts w:cs="Arial"/>
                <w:color w:val="000000"/>
                <w:sz w:val="18"/>
                <w:szCs w:val="18"/>
              </w:rPr>
              <w:t>–</w:t>
            </w:r>
            <w:r w:rsidRPr="00E10A60">
              <w:rPr>
                <w:rFonts w:cs="Arial"/>
                <w:color w:val="000000"/>
                <w:sz w:val="18"/>
                <w:szCs w:val="18"/>
              </w:rPr>
              <w:t>7</w:t>
            </w:r>
          </w:p>
        </w:tc>
        <w:tc>
          <w:tcPr>
            <w:tcW w:w="993" w:type="dxa"/>
            <w:tcBorders>
              <w:top w:val="nil"/>
              <w:left w:val="nil"/>
              <w:bottom w:val="nil"/>
              <w:right w:val="nil"/>
            </w:tcBorders>
            <w:shd w:val="clear" w:color="auto" w:fill="auto"/>
            <w:noWrap/>
            <w:vAlign w:val="center"/>
            <w:hideMark/>
          </w:tcPr>
          <w:p w14:paraId="2EB2FC04" w14:textId="77777777" w:rsidR="00572F25" w:rsidRPr="00E10A60" w:rsidRDefault="00572F25" w:rsidP="00140544">
            <w:pPr>
              <w:spacing w:after="0"/>
              <w:jc w:val="center"/>
              <w:rPr>
                <w:rFonts w:cs="Arial"/>
                <w:color w:val="000000"/>
                <w:sz w:val="18"/>
                <w:szCs w:val="18"/>
              </w:rPr>
            </w:pPr>
            <w:r w:rsidRPr="00E10A60">
              <w:rPr>
                <w:rFonts w:cs="Arial"/>
                <w:color w:val="000000"/>
                <w:sz w:val="18"/>
                <w:szCs w:val="18"/>
              </w:rPr>
              <w:t>1</w:t>
            </w:r>
          </w:p>
        </w:tc>
        <w:tc>
          <w:tcPr>
            <w:tcW w:w="744" w:type="dxa"/>
            <w:tcBorders>
              <w:top w:val="nil"/>
              <w:left w:val="nil"/>
              <w:bottom w:val="nil"/>
              <w:right w:val="nil"/>
            </w:tcBorders>
            <w:shd w:val="clear" w:color="auto" w:fill="auto"/>
            <w:noWrap/>
            <w:vAlign w:val="center"/>
            <w:hideMark/>
          </w:tcPr>
          <w:p w14:paraId="237B04B0" w14:textId="77777777" w:rsidR="00572F25" w:rsidRPr="00E10A60" w:rsidRDefault="00572F25" w:rsidP="00140544">
            <w:pPr>
              <w:spacing w:after="0"/>
              <w:jc w:val="center"/>
              <w:rPr>
                <w:rFonts w:cs="Arial"/>
                <w:color w:val="000000"/>
                <w:sz w:val="18"/>
                <w:szCs w:val="18"/>
              </w:rPr>
            </w:pPr>
            <w:r w:rsidRPr="00E10A60">
              <w:rPr>
                <w:rFonts w:cs="Arial"/>
                <w:color w:val="000000"/>
                <w:sz w:val="18"/>
                <w:szCs w:val="18"/>
              </w:rPr>
              <w:t>33</w:t>
            </w:r>
          </w:p>
        </w:tc>
        <w:tc>
          <w:tcPr>
            <w:tcW w:w="744" w:type="dxa"/>
            <w:tcBorders>
              <w:top w:val="nil"/>
              <w:left w:val="nil"/>
              <w:bottom w:val="nil"/>
              <w:right w:val="nil"/>
            </w:tcBorders>
            <w:shd w:val="clear" w:color="auto" w:fill="auto"/>
            <w:noWrap/>
            <w:vAlign w:val="center"/>
            <w:hideMark/>
          </w:tcPr>
          <w:p w14:paraId="416FA89B" w14:textId="77777777" w:rsidR="00572F25" w:rsidRPr="00E10A60" w:rsidRDefault="00572F25" w:rsidP="00140544">
            <w:pPr>
              <w:spacing w:after="0"/>
              <w:jc w:val="center"/>
              <w:rPr>
                <w:rFonts w:cs="Arial"/>
                <w:color w:val="000000"/>
                <w:sz w:val="18"/>
                <w:szCs w:val="18"/>
              </w:rPr>
            </w:pPr>
            <w:r w:rsidRPr="00E10A60">
              <w:rPr>
                <w:rFonts w:cs="Arial"/>
                <w:color w:val="000000"/>
                <w:sz w:val="18"/>
                <w:szCs w:val="18"/>
              </w:rPr>
              <w:t>67.3</w:t>
            </w:r>
          </w:p>
        </w:tc>
        <w:tc>
          <w:tcPr>
            <w:tcW w:w="744" w:type="dxa"/>
            <w:tcBorders>
              <w:top w:val="nil"/>
              <w:left w:val="nil"/>
              <w:bottom w:val="nil"/>
              <w:right w:val="nil"/>
            </w:tcBorders>
            <w:shd w:val="clear" w:color="auto" w:fill="auto"/>
            <w:noWrap/>
            <w:vAlign w:val="center"/>
            <w:hideMark/>
          </w:tcPr>
          <w:p w14:paraId="73A425E3" w14:textId="77777777" w:rsidR="00572F25" w:rsidRPr="00E10A60" w:rsidRDefault="00572F25" w:rsidP="00140544">
            <w:pPr>
              <w:spacing w:after="0"/>
              <w:jc w:val="center"/>
              <w:rPr>
                <w:rFonts w:cs="Arial"/>
                <w:color w:val="000000"/>
                <w:sz w:val="18"/>
                <w:szCs w:val="18"/>
              </w:rPr>
            </w:pPr>
            <w:r w:rsidRPr="00E10A60">
              <w:rPr>
                <w:rFonts w:cs="Arial"/>
                <w:color w:val="000000"/>
                <w:sz w:val="18"/>
                <w:szCs w:val="18"/>
              </w:rPr>
              <w:t>13</w:t>
            </w:r>
          </w:p>
        </w:tc>
        <w:tc>
          <w:tcPr>
            <w:tcW w:w="744" w:type="dxa"/>
            <w:tcBorders>
              <w:top w:val="nil"/>
              <w:left w:val="nil"/>
              <w:bottom w:val="nil"/>
              <w:right w:val="single" w:sz="8" w:space="0" w:color="auto"/>
            </w:tcBorders>
            <w:shd w:val="clear" w:color="auto" w:fill="auto"/>
            <w:noWrap/>
            <w:vAlign w:val="center"/>
            <w:hideMark/>
          </w:tcPr>
          <w:p w14:paraId="7B4E5EA9" w14:textId="77777777" w:rsidR="00572F25" w:rsidRPr="00E10A60" w:rsidRDefault="00572F25" w:rsidP="00140544">
            <w:pPr>
              <w:spacing w:after="0"/>
              <w:jc w:val="center"/>
              <w:rPr>
                <w:rFonts w:cs="Arial"/>
                <w:color w:val="000000"/>
                <w:sz w:val="18"/>
                <w:szCs w:val="18"/>
              </w:rPr>
            </w:pPr>
            <w:r w:rsidRPr="00E10A60">
              <w:rPr>
                <w:rFonts w:cs="Arial"/>
                <w:color w:val="000000"/>
                <w:sz w:val="18"/>
                <w:szCs w:val="18"/>
              </w:rPr>
              <w:t>26.5</w:t>
            </w:r>
          </w:p>
        </w:tc>
      </w:tr>
      <w:tr w:rsidR="00572F25" w:rsidRPr="00E10A60" w14:paraId="1D3F36EF" w14:textId="77777777" w:rsidTr="00140544">
        <w:trPr>
          <w:trHeight w:val="300"/>
        </w:trPr>
        <w:tc>
          <w:tcPr>
            <w:tcW w:w="2684" w:type="dxa"/>
            <w:tcBorders>
              <w:top w:val="nil"/>
              <w:left w:val="single" w:sz="8" w:space="0" w:color="auto"/>
              <w:bottom w:val="nil"/>
              <w:right w:val="single" w:sz="8" w:space="0" w:color="auto"/>
            </w:tcBorders>
            <w:shd w:val="clear" w:color="auto" w:fill="F1F1F2"/>
            <w:noWrap/>
            <w:vAlign w:val="bottom"/>
            <w:hideMark/>
          </w:tcPr>
          <w:p w14:paraId="767232C6" w14:textId="77777777" w:rsidR="00572F25" w:rsidRPr="00C56C81" w:rsidRDefault="00572F25" w:rsidP="00140544">
            <w:pPr>
              <w:spacing w:after="0"/>
              <w:rPr>
                <w:rFonts w:cs="Arial"/>
                <w:color w:val="000000"/>
                <w:sz w:val="18"/>
              </w:rPr>
            </w:pPr>
            <w:r w:rsidRPr="00C56C81">
              <w:rPr>
                <w:rFonts w:cs="Arial"/>
                <w:color w:val="000000"/>
                <w:sz w:val="18"/>
              </w:rPr>
              <w:t>Vascular surgery</w:t>
            </w:r>
          </w:p>
        </w:tc>
        <w:tc>
          <w:tcPr>
            <w:tcW w:w="1417" w:type="dxa"/>
            <w:tcBorders>
              <w:top w:val="nil"/>
              <w:left w:val="nil"/>
              <w:bottom w:val="nil"/>
              <w:right w:val="nil"/>
            </w:tcBorders>
            <w:shd w:val="clear" w:color="000000" w:fill="F1F1F2"/>
            <w:noWrap/>
            <w:vAlign w:val="center"/>
            <w:hideMark/>
          </w:tcPr>
          <w:p w14:paraId="1612D190" w14:textId="77777777" w:rsidR="00572F25" w:rsidRPr="00E10A60" w:rsidRDefault="00572F25" w:rsidP="00140544">
            <w:pPr>
              <w:spacing w:after="0"/>
              <w:jc w:val="center"/>
              <w:rPr>
                <w:rFonts w:cs="Arial"/>
                <w:color w:val="000000"/>
                <w:sz w:val="18"/>
                <w:szCs w:val="18"/>
              </w:rPr>
            </w:pPr>
            <w:r w:rsidRPr="00E10A60">
              <w:rPr>
                <w:rFonts w:cs="Arial"/>
                <w:color w:val="000000"/>
                <w:sz w:val="18"/>
                <w:szCs w:val="18"/>
              </w:rPr>
              <w:t>30</w:t>
            </w:r>
          </w:p>
        </w:tc>
        <w:tc>
          <w:tcPr>
            <w:tcW w:w="992" w:type="dxa"/>
            <w:tcBorders>
              <w:top w:val="nil"/>
              <w:left w:val="nil"/>
              <w:bottom w:val="nil"/>
              <w:right w:val="nil"/>
            </w:tcBorders>
            <w:shd w:val="clear" w:color="000000" w:fill="F1F1F2"/>
            <w:noWrap/>
            <w:vAlign w:val="center"/>
            <w:hideMark/>
          </w:tcPr>
          <w:p w14:paraId="6AFE500F" w14:textId="77777777" w:rsidR="00572F25" w:rsidRPr="00E10A60" w:rsidRDefault="00572F25" w:rsidP="00140544">
            <w:pPr>
              <w:spacing w:after="0"/>
              <w:jc w:val="center"/>
              <w:rPr>
                <w:rFonts w:cs="Arial"/>
                <w:color w:val="000000"/>
                <w:sz w:val="18"/>
                <w:szCs w:val="18"/>
              </w:rPr>
            </w:pPr>
            <w:r w:rsidRPr="00E10A60">
              <w:rPr>
                <w:rFonts w:cs="Arial"/>
                <w:color w:val="000000"/>
                <w:sz w:val="18"/>
                <w:szCs w:val="18"/>
              </w:rPr>
              <w:t>1</w:t>
            </w:r>
            <w:r>
              <w:rPr>
                <w:rFonts w:cs="Arial"/>
                <w:color w:val="000000"/>
                <w:sz w:val="18"/>
                <w:szCs w:val="18"/>
              </w:rPr>
              <w:t>–</w:t>
            </w:r>
            <w:r w:rsidRPr="00E10A60">
              <w:rPr>
                <w:rFonts w:cs="Arial"/>
                <w:color w:val="000000"/>
                <w:sz w:val="18"/>
                <w:szCs w:val="18"/>
              </w:rPr>
              <w:t>9</w:t>
            </w:r>
          </w:p>
        </w:tc>
        <w:tc>
          <w:tcPr>
            <w:tcW w:w="993" w:type="dxa"/>
            <w:tcBorders>
              <w:top w:val="nil"/>
              <w:left w:val="nil"/>
              <w:bottom w:val="nil"/>
              <w:right w:val="nil"/>
            </w:tcBorders>
            <w:shd w:val="clear" w:color="000000" w:fill="F1F1F2"/>
            <w:noWrap/>
            <w:vAlign w:val="center"/>
            <w:hideMark/>
          </w:tcPr>
          <w:p w14:paraId="39524BFB" w14:textId="77777777" w:rsidR="00572F25" w:rsidRPr="00E10A60" w:rsidRDefault="00572F25" w:rsidP="00140544">
            <w:pPr>
              <w:spacing w:after="0"/>
              <w:jc w:val="center"/>
              <w:rPr>
                <w:rFonts w:cs="Arial"/>
                <w:color w:val="000000"/>
                <w:sz w:val="18"/>
                <w:szCs w:val="18"/>
              </w:rPr>
            </w:pPr>
            <w:r w:rsidRPr="00E10A60">
              <w:rPr>
                <w:rFonts w:cs="Arial"/>
                <w:color w:val="000000"/>
                <w:sz w:val="18"/>
                <w:szCs w:val="18"/>
              </w:rPr>
              <w:t>1</w:t>
            </w:r>
          </w:p>
        </w:tc>
        <w:tc>
          <w:tcPr>
            <w:tcW w:w="744" w:type="dxa"/>
            <w:tcBorders>
              <w:top w:val="nil"/>
              <w:left w:val="nil"/>
              <w:bottom w:val="nil"/>
              <w:right w:val="nil"/>
            </w:tcBorders>
            <w:shd w:val="clear" w:color="000000" w:fill="F1F1F2"/>
            <w:noWrap/>
            <w:vAlign w:val="center"/>
            <w:hideMark/>
          </w:tcPr>
          <w:p w14:paraId="2539B1D4" w14:textId="77777777" w:rsidR="00572F25" w:rsidRPr="00E10A60" w:rsidRDefault="00572F25" w:rsidP="00140544">
            <w:pPr>
              <w:spacing w:after="0"/>
              <w:jc w:val="center"/>
              <w:rPr>
                <w:rFonts w:cs="Arial"/>
                <w:color w:val="000000"/>
                <w:sz w:val="18"/>
                <w:szCs w:val="18"/>
              </w:rPr>
            </w:pPr>
            <w:r w:rsidRPr="00E10A60">
              <w:rPr>
                <w:rFonts w:cs="Arial"/>
                <w:color w:val="000000"/>
                <w:sz w:val="18"/>
                <w:szCs w:val="18"/>
              </w:rPr>
              <w:t>21</w:t>
            </w:r>
          </w:p>
        </w:tc>
        <w:tc>
          <w:tcPr>
            <w:tcW w:w="744" w:type="dxa"/>
            <w:tcBorders>
              <w:top w:val="nil"/>
              <w:left w:val="nil"/>
              <w:bottom w:val="nil"/>
              <w:right w:val="nil"/>
            </w:tcBorders>
            <w:shd w:val="clear" w:color="000000" w:fill="F1F1F2"/>
            <w:noWrap/>
            <w:vAlign w:val="center"/>
            <w:hideMark/>
          </w:tcPr>
          <w:p w14:paraId="3167DD18" w14:textId="77777777" w:rsidR="00572F25" w:rsidRPr="00E10A60" w:rsidRDefault="00572F25" w:rsidP="00140544">
            <w:pPr>
              <w:spacing w:after="0"/>
              <w:jc w:val="center"/>
              <w:rPr>
                <w:rFonts w:cs="Arial"/>
                <w:color w:val="000000"/>
                <w:sz w:val="18"/>
                <w:szCs w:val="18"/>
              </w:rPr>
            </w:pPr>
            <w:r w:rsidRPr="00E10A60">
              <w:rPr>
                <w:rFonts w:cs="Arial"/>
                <w:color w:val="000000"/>
                <w:sz w:val="18"/>
                <w:szCs w:val="18"/>
              </w:rPr>
              <w:t>70.0</w:t>
            </w:r>
          </w:p>
        </w:tc>
        <w:tc>
          <w:tcPr>
            <w:tcW w:w="744" w:type="dxa"/>
            <w:tcBorders>
              <w:top w:val="nil"/>
              <w:left w:val="nil"/>
              <w:bottom w:val="nil"/>
              <w:right w:val="nil"/>
            </w:tcBorders>
            <w:shd w:val="clear" w:color="000000" w:fill="F1F1F2"/>
            <w:noWrap/>
            <w:vAlign w:val="center"/>
            <w:hideMark/>
          </w:tcPr>
          <w:p w14:paraId="7899BBB4" w14:textId="77777777" w:rsidR="00572F25" w:rsidRPr="00E10A60" w:rsidRDefault="00572F25" w:rsidP="00140544">
            <w:pPr>
              <w:spacing w:after="0"/>
              <w:jc w:val="center"/>
              <w:rPr>
                <w:rFonts w:cs="Arial"/>
                <w:color w:val="000000"/>
                <w:sz w:val="18"/>
                <w:szCs w:val="18"/>
              </w:rPr>
            </w:pPr>
            <w:r w:rsidRPr="00E10A60">
              <w:rPr>
                <w:rFonts w:cs="Arial"/>
                <w:color w:val="000000"/>
                <w:sz w:val="18"/>
                <w:szCs w:val="18"/>
              </w:rPr>
              <w:t>9</w:t>
            </w:r>
          </w:p>
        </w:tc>
        <w:tc>
          <w:tcPr>
            <w:tcW w:w="744" w:type="dxa"/>
            <w:tcBorders>
              <w:top w:val="nil"/>
              <w:left w:val="nil"/>
              <w:bottom w:val="nil"/>
              <w:right w:val="single" w:sz="8" w:space="0" w:color="auto"/>
            </w:tcBorders>
            <w:shd w:val="clear" w:color="000000" w:fill="F1F1F2"/>
            <w:noWrap/>
            <w:vAlign w:val="center"/>
            <w:hideMark/>
          </w:tcPr>
          <w:p w14:paraId="3CC2EE5D" w14:textId="77777777" w:rsidR="00572F25" w:rsidRPr="00E10A60" w:rsidRDefault="00572F25" w:rsidP="00140544">
            <w:pPr>
              <w:spacing w:after="0"/>
              <w:jc w:val="center"/>
              <w:rPr>
                <w:rFonts w:cs="Arial"/>
                <w:color w:val="000000"/>
                <w:sz w:val="18"/>
                <w:szCs w:val="18"/>
              </w:rPr>
            </w:pPr>
            <w:r w:rsidRPr="00E10A60">
              <w:rPr>
                <w:rFonts w:cs="Arial"/>
                <w:color w:val="000000"/>
                <w:sz w:val="18"/>
                <w:szCs w:val="18"/>
              </w:rPr>
              <w:t>30</w:t>
            </w:r>
          </w:p>
        </w:tc>
      </w:tr>
      <w:tr w:rsidR="00572F25" w:rsidRPr="00E10A60" w14:paraId="4655288B" w14:textId="77777777" w:rsidTr="00140544">
        <w:trPr>
          <w:trHeight w:val="300"/>
        </w:trPr>
        <w:tc>
          <w:tcPr>
            <w:tcW w:w="2684" w:type="dxa"/>
            <w:tcBorders>
              <w:top w:val="nil"/>
              <w:left w:val="single" w:sz="8" w:space="0" w:color="auto"/>
              <w:bottom w:val="nil"/>
              <w:right w:val="single" w:sz="8" w:space="0" w:color="auto"/>
            </w:tcBorders>
            <w:shd w:val="clear" w:color="auto" w:fill="auto"/>
            <w:noWrap/>
            <w:vAlign w:val="bottom"/>
            <w:hideMark/>
          </w:tcPr>
          <w:p w14:paraId="1D2B3DCD" w14:textId="77777777" w:rsidR="00572F25" w:rsidRPr="00C56C81" w:rsidRDefault="00572F25" w:rsidP="00140544">
            <w:pPr>
              <w:spacing w:after="0"/>
              <w:rPr>
                <w:rFonts w:cs="Arial"/>
                <w:color w:val="000000"/>
                <w:sz w:val="18"/>
              </w:rPr>
            </w:pPr>
            <w:r w:rsidRPr="00C56C81">
              <w:rPr>
                <w:rFonts w:cs="Arial"/>
                <w:color w:val="000000"/>
                <w:sz w:val="18"/>
              </w:rPr>
              <w:t>Gastrointestinal endoscopic procedures</w:t>
            </w:r>
          </w:p>
        </w:tc>
        <w:tc>
          <w:tcPr>
            <w:tcW w:w="1417" w:type="dxa"/>
            <w:tcBorders>
              <w:top w:val="nil"/>
              <w:left w:val="nil"/>
              <w:bottom w:val="nil"/>
              <w:right w:val="nil"/>
            </w:tcBorders>
            <w:shd w:val="clear" w:color="auto" w:fill="auto"/>
            <w:noWrap/>
            <w:vAlign w:val="center"/>
            <w:hideMark/>
          </w:tcPr>
          <w:p w14:paraId="1EEEA62F" w14:textId="77777777" w:rsidR="00572F25" w:rsidRPr="00E10A60" w:rsidRDefault="00572F25" w:rsidP="00140544">
            <w:pPr>
              <w:spacing w:after="0"/>
              <w:jc w:val="center"/>
              <w:rPr>
                <w:rFonts w:cs="Arial"/>
                <w:color w:val="000000"/>
                <w:sz w:val="18"/>
                <w:szCs w:val="18"/>
              </w:rPr>
            </w:pPr>
            <w:r w:rsidRPr="00E10A60">
              <w:rPr>
                <w:rFonts w:cs="Arial"/>
                <w:color w:val="000000"/>
                <w:sz w:val="18"/>
                <w:szCs w:val="18"/>
              </w:rPr>
              <w:t>4</w:t>
            </w:r>
          </w:p>
        </w:tc>
        <w:tc>
          <w:tcPr>
            <w:tcW w:w="992" w:type="dxa"/>
            <w:tcBorders>
              <w:top w:val="nil"/>
              <w:left w:val="nil"/>
              <w:bottom w:val="nil"/>
              <w:right w:val="nil"/>
            </w:tcBorders>
            <w:shd w:val="clear" w:color="auto" w:fill="auto"/>
            <w:noWrap/>
            <w:vAlign w:val="center"/>
            <w:hideMark/>
          </w:tcPr>
          <w:p w14:paraId="446A2234" w14:textId="77777777" w:rsidR="00572F25" w:rsidRPr="00E10A60" w:rsidRDefault="00572F25" w:rsidP="00140544">
            <w:pPr>
              <w:spacing w:after="0"/>
              <w:jc w:val="center"/>
              <w:rPr>
                <w:rFonts w:cs="Arial"/>
                <w:color w:val="000000"/>
                <w:sz w:val="18"/>
                <w:szCs w:val="18"/>
              </w:rPr>
            </w:pPr>
            <w:r w:rsidRPr="00E10A60">
              <w:rPr>
                <w:rFonts w:cs="Arial"/>
                <w:color w:val="000000"/>
                <w:sz w:val="18"/>
                <w:szCs w:val="18"/>
              </w:rPr>
              <w:t>2</w:t>
            </w:r>
            <w:r>
              <w:rPr>
                <w:rFonts w:cs="Arial"/>
                <w:color w:val="000000"/>
                <w:sz w:val="18"/>
                <w:szCs w:val="18"/>
              </w:rPr>
              <w:t>–</w:t>
            </w:r>
            <w:r w:rsidRPr="00E10A60">
              <w:rPr>
                <w:rFonts w:cs="Arial"/>
                <w:color w:val="000000"/>
                <w:sz w:val="18"/>
                <w:szCs w:val="18"/>
              </w:rPr>
              <w:t>4</w:t>
            </w:r>
          </w:p>
        </w:tc>
        <w:tc>
          <w:tcPr>
            <w:tcW w:w="993" w:type="dxa"/>
            <w:tcBorders>
              <w:top w:val="nil"/>
              <w:left w:val="nil"/>
              <w:bottom w:val="nil"/>
              <w:right w:val="nil"/>
            </w:tcBorders>
            <w:shd w:val="clear" w:color="auto" w:fill="auto"/>
            <w:noWrap/>
            <w:vAlign w:val="center"/>
            <w:hideMark/>
          </w:tcPr>
          <w:p w14:paraId="36AF0985" w14:textId="77777777" w:rsidR="00572F25" w:rsidRPr="00E10A60" w:rsidRDefault="00572F25" w:rsidP="00140544">
            <w:pPr>
              <w:spacing w:after="0"/>
              <w:jc w:val="center"/>
              <w:rPr>
                <w:rFonts w:cs="Arial"/>
                <w:color w:val="000000"/>
                <w:sz w:val="18"/>
                <w:szCs w:val="18"/>
              </w:rPr>
            </w:pPr>
            <w:r w:rsidRPr="00E10A60">
              <w:rPr>
                <w:rFonts w:cs="Arial"/>
                <w:color w:val="000000"/>
                <w:sz w:val="18"/>
                <w:szCs w:val="18"/>
              </w:rPr>
              <w:t>3</w:t>
            </w:r>
          </w:p>
        </w:tc>
        <w:tc>
          <w:tcPr>
            <w:tcW w:w="744" w:type="dxa"/>
            <w:tcBorders>
              <w:top w:val="nil"/>
              <w:left w:val="nil"/>
              <w:bottom w:val="nil"/>
              <w:right w:val="nil"/>
            </w:tcBorders>
            <w:shd w:val="clear" w:color="auto" w:fill="auto"/>
            <w:noWrap/>
            <w:vAlign w:val="center"/>
            <w:hideMark/>
          </w:tcPr>
          <w:p w14:paraId="740D0AFB" w14:textId="77777777" w:rsidR="00572F25" w:rsidRPr="00E10A60" w:rsidRDefault="00572F25" w:rsidP="00140544">
            <w:pPr>
              <w:spacing w:after="0"/>
              <w:jc w:val="center"/>
              <w:rPr>
                <w:rFonts w:cs="Arial"/>
                <w:color w:val="000000"/>
                <w:sz w:val="18"/>
                <w:szCs w:val="18"/>
              </w:rPr>
            </w:pPr>
            <w:r w:rsidRPr="00E10A60">
              <w:rPr>
                <w:rFonts w:cs="Arial"/>
                <w:color w:val="000000"/>
                <w:sz w:val="18"/>
                <w:szCs w:val="18"/>
              </w:rPr>
              <w:t>4</w:t>
            </w:r>
          </w:p>
        </w:tc>
        <w:tc>
          <w:tcPr>
            <w:tcW w:w="744" w:type="dxa"/>
            <w:tcBorders>
              <w:top w:val="nil"/>
              <w:left w:val="nil"/>
              <w:bottom w:val="nil"/>
              <w:right w:val="nil"/>
            </w:tcBorders>
            <w:shd w:val="clear" w:color="auto" w:fill="auto"/>
            <w:noWrap/>
            <w:vAlign w:val="center"/>
            <w:hideMark/>
          </w:tcPr>
          <w:p w14:paraId="336B2CF4" w14:textId="77777777" w:rsidR="00572F25" w:rsidRPr="00E10A60" w:rsidRDefault="00572F25" w:rsidP="00140544">
            <w:pPr>
              <w:spacing w:after="0"/>
              <w:jc w:val="center"/>
              <w:rPr>
                <w:rFonts w:cs="Arial"/>
                <w:color w:val="000000"/>
                <w:sz w:val="18"/>
                <w:szCs w:val="18"/>
              </w:rPr>
            </w:pPr>
            <w:r w:rsidRPr="00E10A60">
              <w:rPr>
                <w:rFonts w:cs="Arial"/>
                <w:color w:val="000000"/>
                <w:sz w:val="18"/>
                <w:szCs w:val="18"/>
              </w:rPr>
              <w:t>100.0</w:t>
            </w:r>
          </w:p>
        </w:tc>
        <w:tc>
          <w:tcPr>
            <w:tcW w:w="744" w:type="dxa"/>
            <w:tcBorders>
              <w:top w:val="nil"/>
              <w:left w:val="nil"/>
              <w:bottom w:val="nil"/>
              <w:right w:val="nil"/>
            </w:tcBorders>
            <w:shd w:val="clear" w:color="auto" w:fill="auto"/>
            <w:noWrap/>
            <w:vAlign w:val="center"/>
            <w:hideMark/>
          </w:tcPr>
          <w:p w14:paraId="31A86A87" w14:textId="77777777" w:rsidR="00572F25" w:rsidRPr="00E10A60" w:rsidRDefault="00572F25" w:rsidP="00140544">
            <w:pPr>
              <w:spacing w:after="0"/>
              <w:jc w:val="center"/>
              <w:rPr>
                <w:rFonts w:cs="Arial"/>
                <w:color w:val="000000"/>
                <w:sz w:val="18"/>
                <w:szCs w:val="18"/>
              </w:rPr>
            </w:pPr>
            <w:r w:rsidRPr="00E10A60">
              <w:rPr>
                <w:rFonts w:cs="Arial"/>
                <w:color w:val="000000"/>
                <w:sz w:val="18"/>
                <w:szCs w:val="18"/>
              </w:rPr>
              <w:t>3</w:t>
            </w:r>
          </w:p>
        </w:tc>
        <w:tc>
          <w:tcPr>
            <w:tcW w:w="744" w:type="dxa"/>
            <w:tcBorders>
              <w:top w:val="nil"/>
              <w:left w:val="nil"/>
              <w:bottom w:val="nil"/>
              <w:right w:val="single" w:sz="8" w:space="0" w:color="auto"/>
            </w:tcBorders>
            <w:shd w:val="clear" w:color="auto" w:fill="auto"/>
            <w:noWrap/>
            <w:vAlign w:val="center"/>
            <w:hideMark/>
          </w:tcPr>
          <w:p w14:paraId="250B8760" w14:textId="77777777" w:rsidR="00572F25" w:rsidRPr="00E10A60" w:rsidRDefault="00572F25" w:rsidP="00140544">
            <w:pPr>
              <w:spacing w:after="0"/>
              <w:jc w:val="center"/>
              <w:rPr>
                <w:rFonts w:cs="Arial"/>
                <w:color w:val="000000"/>
                <w:sz w:val="18"/>
                <w:szCs w:val="18"/>
              </w:rPr>
            </w:pPr>
            <w:r w:rsidRPr="00E10A60">
              <w:rPr>
                <w:rFonts w:cs="Arial"/>
                <w:color w:val="000000"/>
                <w:sz w:val="18"/>
                <w:szCs w:val="18"/>
              </w:rPr>
              <w:t>75</w:t>
            </w:r>
          </w:p>
        </w:tc>
      </w:tr>
      <w:tr w:rsidR="00572F25" w:rsidRPr="00E10A60" w14:paraId="0047BB44" w14:textId="77777777" w:rsidTr="00140544">
        <w:trPr>
          <w:trHeight w:val="315"/>
        </w:trPr>
        <w:tc>
          <w:tcPr>
            <w:tcW w:w="2684" w:type="dxa"/>
            <w:tcBorders>
              <w:top w:val="nil"/>
              <w:left w:val="single" w:sz="8" w:space="0" w:color="auto"/>
              <w:bottom w:val="single" w:sz="8" w:space="0" w:color="auto"/>
              <w:right w:val="nil"/>
            </w:tcBorders>
            <w:shd w:val="clear" w:color="000000" w:fill="007D75"/>
            <w:noWrap/>
            <w:vAlign w:val="center"/>
            <w:hideMark/>
          </w:tcPr>
          <w:p w14:paraId="4C013EF4" w14:textId="77777777" w:rsidR="00572F25" w:rsidRPr="00E10A60" w:rsidRDefault="00572F25" w:rsidP="00140544">
            <w:pPr>
              <w:spacing w:after="0"/>
              <w:rPr>
                <w:rFonts w:cs="Arial"/>
                <w:color w:val="FFFFFF"/>
                <w:sz w:val="18"/>
                <w:szCs w:val="18"/>
              </w:rPr>
            </w:pPr>
            <w:r w:rsidRPr="00E10A60">
              <w:rPr>
                <w:rFonts w:cs="Arial"/>
                <w:color w:val="FFFFFF"/>
                <w:sz w:val="18"/>
                <w:szCs w:val="18"/>
              </w:rPr>
              <w:t>Total</w:t>
            </w:r>
          </w:p>
        </w:tc>
        <w:tc>
          <w:tcPr>
            <w:tcW w:w="1417" w:type="dxa"/>
            <w:tcBorders>
              <w:top w:val="nil"/>
              <w:left w:val="nil"/>
              <w:bottom w:val="single" w:sz="8" w:space="0" w:color="auto"/>
              <w:right w:val="nil"/>
            </w:tcBorders>
            <w:shd w:val="clear" w:color="000000" w:fill="007D75"/>
            <w:noWrap/>
            <w:vAlign w:val="center"/>
            <w:hideMark/>
          </w:tcPr>
          <w:p w14:paraId="66D8E40A" w14:textId="77777777" w:rsidR="00572F25" w:rsidRPr="00E10A60" w:rsidRDefault="00572F25" w:rsidP="00140544">
            <w:pPr>
              <w:spacing w:after="0"/>
              <w:jc w:val="center"/>
              <w:rPr>
                <w:rFonts w:cs="Arial"/>
                <w:color w:val="FFFFFF"/>
                <w:sz w:val="18"/>
                <w:szCs w:val="18"/>
              </w:rPr>
            </w:pPr>
            <w:r w:rsidRPr="00E10A60">
              <w:rPr>
                <w:rFonts w:cs="Arial"/>
                <w:color w:val="FFFFFF"/>
                <w:sz w:val="18"/>
                <w:szCs w:val="18"/>
              </w:rPr>
              <w:t>4,585</w:t>
            </w:r>
          </w:p>
        </w:tc>
        <w:tc>
          <w:tcPr>
            <w:tcW w:w="992" w:type="dxa"/>
            <w:tcBorders>
              <w:top w:val="nil"/>
              <w:left w:val="nil"/>
              <w:bottom w:val="single" w:sz="8" w:space="0" w:color="auto"/>
              <w:right w:val="nil"/>
            </w:tcBorders>
            <w:shd w:val="clear" w:color="000000" w:fill="007D75"/>
            <w:noWrap/>
            <w:vAlign w:val="center"/>
            <w:hideMark/>
          </w:tcPr>
          <w:p w14:paraId="29B145D3" w14:textId="77777777" w:rsidR="00572F25" w:rsidRPr="00E10A60" w:rsidRDefault="00572F25" w:rsidP="00140544">
            <w:pPr>
              <w:spacing w:after="0"/>
              <w:jc w:val="center"/>
              <w:rPr>
                <w:rFonts w:cs="Arial"/>
                <w:color w:val="FFFFFF"/>
                <w:sz w:val="18"/>
                <w:szCs w:val="18"/>
              </w:rPr>
            </w:pPr>
            <w:r w:rsidRPr="00E10A60">
              <w:rPr>
                <w:rFonts w:cs="Arial"/>
                <w:color w:val="FFFFFF"/>
                <w:sz w:val="18"/>
                <w:szCs w:val="18"/>
              </w:rPr>
              <w:t>1–49</w:t>
            </w:r>
          </w:p>
        </w:tc>
        <w:tc>
          <w:tcPr>
            <w:tcW w:w="993" w:type="dxa"/>
            <w:tcBorders>
              <w:top w:val="nil"/>
              <w:left w:val="nil"/>
              <w:bottom w:val="single" w:sz="8" w:space="0" w:color="auto"/>
              <w:right w:val="nil"/>
            </w:tcBorders>
            <w:shd w:val="clear" w:color="000000" w:fill="007D75"/>
            <w:noWrap/>
            <w:vAlign w:val="center"/>
            <w:hideMark/>
          </w:tcPr>
          <w:p w14:paraId="10D0829A" w14:textId="77777777" w:rsidR="00572F25" w:rsidRPr="00E10A60" w:rsidRDefault="00572F25" w:rsidP="00140544">
            <w:pPr>
              <w:spacing w:after="0"/>
              <w:jc w:val="center"/>
              <w:rPr>
                <w:rFonts w:cs="Arial"/>
                <w:color w:val="FFFFFF"/>
                <w:sz w:val="18"/>
                <w:szCs w:val="18"/>
              </w:rPr>
            </w:pPr>
            <w:r w:rsidRPr="00E10A60">
              <w:rPr>
                <w:rFonts w:cs="Arial"/>
                <w:color w:val="FFFFFF"/>
                <w:sz w:val="18"/>
                <w:szCs w:val="18"/>
              </w:rPr>
              <w:t>1</w:t>
            </w:r>
          </w:p>
        </w:tc>
        <w:tc>
          <w:tcPr>
            <w:tcW w:w="744" w:type="dxa"/>
            <w:tcBorders>
              <w:top w:val="nil"/>
              <w:left w:val="nil"/>
              <w:bottom w:val="single" w:sz="8" w:space="0" w:color="auto"/>
              <w:right w:val="nil"/>
            </w:tcBorders>
            <w:shd w:val="clear" w:color="000000" w:fill="007D75"/>
            <w:noWrap/>
            <w:vAlign w:val="center"/>
            <w:hideMark/>
          </w:tcPr>
          <w:p w14:paraId="2A2F0458" w14:textId="77777777" w:rsidR="00572F25" w:rsidRPr="00E10A60" w:rsidRDefault="00572F25" w:rsidP="00140544">
            <w:pPr>
              <w:spacing w:after="0"/>
              <w:jc w:val="center"/>
              <w:rPr>
                <w:rFonts w:cs="Arial"/>
                <w:color w:val="FFFFFF"/>
                <w:sz w:val="18"/>
                <w:szCs w:val="18"/>
              </w:rPr>
            </w:pPr>
            <w:r w:rsidRPr="00E10A60">
              <w:rPr>
                <w:rFonts w:cs="Arial"/>
                <w:color w:val="FFFFFF"/>
                <w:sz w:val="18"/>
                <w:szCs w:val="18"/>
              </w:rPr>
              <w:t>3,161</w:t>
            </w:r>
          </w:p>
        </w:tc>
        <w:tc>
          <w:tcPr>
            <w:tcW w:w="744" w:type="dxa"/>
            <w:tcBorders>
              <w:top w:val="nil"/>
              <w:left w:val="nil"/>
              <w:bottom w:val="single" w:sz="8" w:space="0" w:color="auto"/>
              <w:right w:val="nil"/>
            </w:tcBorders>
            <w:shd w:val="clear" w:color="000000" w:fill="007D75"/>
            <w:noWrap/>
            <w:vAlign w:val="center"/>
            <w:hideMark/>
          </w:tcPr>
          <w:p w14:paraId="68C678DC" w14:textId="77777777" w:rsidR="00572F25" w:rsidRPr="00E10A60" w:rsidRDefault="00572F25" w:rsidP="00140544">
            <w:pPr>
              <w:spacing w:after="0"/>
              <w:jc w:val="center"/>
              <w:rPr>
                <w:rFonts w:cs="Arial"/>
                <w:color w:val="FFFFFF"/>
                <w:sz w:val="18"/>
                <w:szCs w:val="18"/>
              </w:rPr>
            </w:pPr>
            <w:r w:rsidRPr="00E10A60">
              <w:rPr>
                <w:rFonts w:cs="Arial"/>
                <w:color w:val="FFFFFF"/>
                <w:sz w:val="18"/>
                <w:szCs w:val="18"/>
              </w:rPr>
              <w:t>68.9</w:t>
            </w:r>
          </w:p>
        </w:tc>
        <w:tc>
          <w:tcPr>
            <w:tcW w:w="744" w:type="dxa"/>
            <w:tcBorders>
              <w:top w:val="nil"/>
              <w:left w:val="nil"/>
              <w:bottom w:val="single" w:sz="8" w:space="0" w:color="auto"/>
              <w:right w:val="nil"/>
            </w:tcBorders>
            <w:shd w:val="clear" w:color="000000" w:fill="007D75"/>
            <w:noWrap/>
            <w:vAlign w:val="center"/>
            <w:hideMark/>
          </w:tcPr>
          <w:p w14:paraId="21178869" w14:textId="77777777" w:rsidR="00572F25" w:rsidRPr="00E10A60" w:rsidRDefault="00572F25" w:rsidP="00140544">
            <w:pPr>
              <w:spacing w:after="0"/>
              <w:jc w:val="center"/>
              <w:rPr>
                <w:rFonts w:cs="Arial"/>
                <w:color w:val="FFFFFF"/>
                <w:sz w:val="18"/>
                <w:szCs w:val="18"/>
              </w:rPr>
            </w:pPr>
            <w:r w:rsidRPr="00E10A60">
              <w:rPr>
                <w:rFonts w:cs="Arial"/>
                <w:color w:val="FFFFFF"/>
                <w:sz w:val="18"/>
                <w:szCs w:val="18"/>
              </w:rPr>
              <w:t>1,944</w:t>
            </w:r>
          </w:p>
        </w:tc>
        <w:tc>
          <w:tcPr>
            <w:tcW w:w="744" w:type="dxa"/>
            <w:tcBorders>
              <w:top w:val="nil"/>
              <w:left w:val="nil"/>
              <w:bottom w:val="single" w:sz="8" w:space="0" w:color="auto"/>
              <w:right w:val="single" w:sz="8" w:space="0" w:color="auto"/>
            </w:tcBorders>
            <w:shd w:val="clear" w:color="000000" w:fill="007D75"/>
            <w:noWrap/>
            <w:vAlign w:val="center"/>
            <w:hideMark/>
          </w:tcPr>
          <w:p w14:paraId="1ED8DA9F" w14:textId="77777777" w:rsidR="00572F25" w:rsidRPr="00E10A60" w:rsidRDefault="00572F25" w:rsidP="00140544">
            <w:pPr>
              <w:spacing w:after="0"/>
              <w:jc w:val="center"/>
              <w:rPr>
                <w:rFonts w:cs="Arial"/>
                <w:color w:val="FFFFFF"/>
                <w:sz w:val="18"/>
                <w:szCs w:val="18"/>
              </w:rPr>
            </w:pPr>
            <w:r w:rsidRPr="00E10A60">
              <w:rPr>
                <w:rFonts w:cs="Arial"/>
                <w:color w:val="FFFFFF"/>
                <w:sz w:val="18"/>
                <w:szCs w:val="18"/>
              </w:rPr>
              <w:t>42.4</w:t>
            </w:r>
          </w:p>
        </w:tc>
      </w:tr>
    </w:tbl>
    <w:p w14:paraId="5AE7C757" w14:textId="77777777" w:rsidR="00572F25" w:rsidRDefault="00572F25" w:rsidP="00572F25"/>
    <w:p w14:paraId="08D731D2" w14:textId="77777777" w:rsidR="00572F25" w:rsidRDefault="00572F25" w:rsidP="00572F25">
      <w:r>
        <w:t>It is promising that the range of duration of surgical prophylaxis has reduced over time. The overall range of duration for 2021 was 1–49 days, compared to 1–65 days in the 2016 report.</w:t>
      </w:r>
    </w:p>
    <w:p w14:paraId="429F05A7" w14:textId="77777777" w:rsidR="00572F25" w:rsidRDefault="00572F25" w:rsidP="00572F25">
      <w:r w:rsidRPr="0038565A">
        <w:t>Despite the strong evidence</w:t>
      </w:r>
      <w:r>
        <w:t xml:space="preserve"> of recent </w:t>
      </w:r>
      <w:r w:rsidRPr="008A603A">
        <w:t>randomised</w:t>
      </w:r>
      <w:r>
        <w:t xml:space="preserve"> </w:t>
      </w:r>
      <w:r w:rsidRPr="008A603A">
        <w:t>controlled</w:t>
      </w:r>
      <w:r>
        <w:t xml:space="preserve"> trials and systematic reviews</w:t>
      </w:r>
      <w:r w:rsidRPr="0038565A">
        <w:t xml:space="preserve"> to advocate for single-dose surgical antimicrobial prophylaxis</w:t>
      </w:r>
      <w:r>
        <w:t>,</w:t>
      </w:r>
      <w:r w:rsidRPr="008A603A">
        <w:rPr>
          <w:vertAlign w:val="superscript"/>
        </w:rPr>
        <w:t>12-14</w:t>
      </w:r>
      <w:r w:rsidRPr="0038565A">
        <w:t xml:space="preserve"> i</w:t>
      </w:r>
      <w:r w:rsidRPr="0069682D">
        <w:t>mprovements in post-procedural prescribing may be more challenging to achieve</w:t>
      </w:r>
      <w:r w:rsidRPr="0038565A">
        <w:t xml:space="preserve"> as this</w:t>
      </w:r>
      <w:r>
        <w:t xml:space="preserve"> will</w:t>
      </w:r>
      <w:r w:rsidRPr="0038565A">
        <w:t xml:space="preserve"> require de-implementation of current practice</w:t>
      </w:r>
      <w:r>
        <w:t>s</w:t>
      </w:r>
      <w:r w:rsidRPr="0038565A">
        <w:t xml:space="preserve">, </w:t>
      </w:r>
      <w:r>
        <w:t>despite</w:t>
      </w:r>
      <w:r w:rsidRPr="0038565A">
        <w:t xml:space="preserve"> </w:t>
      </w:r>
      <w:r>
        <w:t>their</w:t>
      </w:r>
      <w:r w:rsidRPr="0038565A">
        <w:t xml:space="preserve"> inappropriateness.</w:t>
      </w:r>
      <w:r w:rsidRPr="0069682D">
        <w:t xml:space="preserve"> </w:t>
      </w:r>
      <w:r w:rsidRPr="0038565A">
        <w:t xml:space="preserve">To support optimisation of post-procedural antimicrobial use, </w:t>
      </w:r>
      <w:r w:rsidRPr="0069682D">
        <w:t>engagement with the</w:t>
      </w:r>
      <w:r w:rsidRPr="0038565A">
        <w:t xml:space="preserve"> relevant</w:t>
      </w:r>
      <w:r w:rsidRPr="0069682D">
        <w:t xml:space="preserve"> surgical specialties</w:t>
      </w:r>
      <w:r w:rsidRPr="0038565A">
        <w:t xml:space="preserve"> is critical.</w:t>
      </w:r>
      <w:r>
        <w:t xml:space="preserve"> </w:t>
      </w:r>
      <w:r w:rsidRPr="0038565A">
        <w:t>This may</w:t>
      </w:r>
      <w:r w:rsidRPr="0069682D">
        <w:t xml:space="preserve"> includ</w:t>
      </w:r>
      <w:r w:rsidRPr="0038565A">
        <w:t>e</w:t>
      </w:r>
      <w:r w:rsidRPr="0069682D">
        <w:t xml:space="preserve"> co-design and leadership of initiatives</w:t>
      </w:r>
      <w:r w:rsidRPr="0038565A">
        <w:t xml:space="preserve"> targeted to </w:t>
      </w:r>
      <w:r w:rsidRPr="008A603A">
        <w:t>their</w:t>
      </w:r>
      <w:r w:rsidRPr="0038565A">
        <w:t xml:space="preserve"> surgical specialty unit</w:t>
      </w:r>
      <w:r w:rsidRPr="0069682D">
        <w:t>. Peer review of prescribing practices and benchmarking of outcomes may contribute to changes in practice. Nurse</w:t>
      </w:r>
      <w:r w:rsidRPr="0038565A">
        <w:t>,</w:t>
      </w:r>
      <w:r w:rsidRPr="0069682D">
        <w:t xml:space="preserve"> </w:t>
      </w:r>
      <w:proofErr w:type="gramStart"/>
      <w:r w:rsidRPr="0069682D">
        <w:t>pharmacist</w:t>
      </w:r>
      <w:proofErr w:type="gramEnd"/>
      <w:r w:rsidRPr="0069682D">
        <w:t xml:space="preserve"> </w:t>
      </w:r>
      <w:r w:rsidRPr="0038565A">
        <w:t xml:space="preserve">or anaesthetist </w:t>
      </w:r>
      <w:r w:rsidRPr="0069682D">
        <w:t xml:space="preserve">led automatic stop orders may be useful if extended duration of antimicrobial use is impacted by the frequency of antimicrobial review. </w:t>
      </w:r>
      <w:r>
        <w:t>AMS</w:t>
      </w:r>
      <w:r w:rsidRPr="0069682D">
        <w:t xml:space="preserve"> programs in Surgical NAPS contributor organisations can develop targeted initiatives informed by analyses of their own data. Local </w:t>
      </w:r>
      <w:r w:rsidRPr="0038565A">
        <w:t xml:space="preserve">data </w:t>
      </w:r>
      <w:r w:rsidRPr="0069682D">
        <w:t xml:space="preserve">evaluation will assist </w:t>
      </w:r>
      <w:r>
        <w:t>AMS</w:t>
      </w:r>
      <w:r w:rsidRPr="0069682D">
        <w:t xml:space="preserve"> programs to identify which specialties they should target to improve surgical prophylaxis</w:t>
      </w:r>
      <w:r w:rsidRPr="0038565A">
        <w:t xml:space="preserve"> prescribing</w:t>
      </w:r>
      <w:r w:rsidRPr="0069682D">
        <w:t xml:space="preserve">, and where return on investment is likely to be greatest based on </w:t>
      </w:r>
      <w:r w:rsidRPr="0038565A">
        <w:t xml:space="preserve">the </w:t>
      </w:r>
      <w:r w:rsidRPr="0069682D">
        <w:t>volume of procedures and the appropriateness</w:t>
      </w:r>
      <w:r>
        <w:t xml:space="preserve"> of prescribing</w:t>
      </w:r>
      <w:r w:rsidRPr="0069682D">
        <w:t xml:space="preserve">. </w:t>
      </w:r>
    </w:p>
    <w:p w14:paraId="69A8B2A1" w14:textId="77777777" w:rsidR="00572F25" w:rsidRPr="0069682D" w:rsidRDefault="00572F25" w:rsidP="00572F25">
      <w:r w:rsidRPr="0069682D">
        <w:lastRenderedPageBreak/>
        <w:t xml:space="preserve">The summary analyses included in this report for procedure groups (see </w:t>
      </w:r>
      <w:hyperlink w:anchor="_Procedure_group_analysis" w:history="1">
        <w:r w:rsidRPr="00150C51">
          <w:rPr>
            <w:rStyle w:val="Hyperlink"/>
          </w:rPr>
          <w:t>Appendix 3</w:t>
        </w:r>
      </w:hyperlink>
      <w:r w:rsidRPr="0069682D">
        <w:t>) are intended to support focused quality improvement approaches, such as local benchmarking of surgical antimicrobial prophylaxis by specialty and targeted interventions. These include orthopaedic, abdominal</w:t>
      </w:r>
      <w:r>
        <w:t xml:space="preserve">, </w:t>
      </w:r>
      <w:proofErr w:type="gramStart"/>
      <w:r>
        <w:t>plastic</w:t>
      </w:r>
      <w:proofErr w:type="gramEnd"/>
      <w:r>
        <w:t xml:space="preserve"> and reconstructive</w:t>
      </w:r>
      <w:r w:rsidRPr="0069682D">
        <w:t xml:space="preserve">, </w:t>
      </w:r>
      <w:r>
        <w:t>ophthalmic, breast</w:t>
      </w:r>
      <w:r w:rsidRPr="0038565A">
        <w:t xml:space="preserve"> </w:t>
      </w:r>
      <w:r w:rsidRPr="0069682D">
        <w:t xml:space="preserve">and urological surgery, because of either increased </w:t>
      </w:r>
      <w:r w:rsidRPr="00C35E6B">
        <w:t>surgical</w:t>
      </w:r>
      <w:r>
        <w:t xml:space="preserve"> procedure volume</w:t>
      </w:r>
      <w:r w:rsidRPr="00C35E6B">
        <w:t xml:space="preserve"> in these specialties, or high rates of inappropriate prescribing in specific circumstances. </w:t>
      </w:r>
    </w:p>
    <w:p w14:paraId="07D9B7F6" w14:textId="77777777" w:rsidR="00572F25" w:rsidRDefault="00572F25" w:rsidP="00572F25">
      <w:r w:rsidRPr="0069682D">
        <w:t>For many procedures, there is no evidence that prophylactic antimicrobial use procedurally or post</w:t>
      </w:r>
      <w:r>
        <w:t>-</w:t>
      </w:r>
      <w:r w:rsidRPr="0069682D">
        <w:t>procedurally is of benefit in reducing post-operative infections</w:t>
      </w:r>
      <w:r>
        <w:t>;</w:t>
      </w:r>
      <w:r w:rsidRPr="0069682D">
        <w:t xml:space="preserve"> </w:t>
      </w:r>
      <w:r>
        <w:t>therefore</w:t>
      </w:r>
      <w:r w:rsidRPr="0069682D">
        <w:t>, it is not recommended by guidelines for these procedures. There are very few procedures or clinical situations where available evidence supports antimicrobial use for other than a single pre-operative dose. Even in these situations, the total duration of antimicrobial prophylaxis should not exceed 24 hours. An exception to this is ophthalmic surgery, for which use of chloramphenicol for up to a week post</w:t>
      </w:r>
      <w:r>
        <w:t>-</w:t>
      </w:r>
      <w:r w:rsidRPr="0069682D">
        <w:t>procedurally may be considered.</w:t>
      </w:r>
      <w:r>
        <w:rPr>
          <w:vertAlign w:val="superscript"/>
        </w:rPr>
        <w:t>10</w:t>
      </w:r>
      <w:r w:rsidRPr="00BB25BB">
        <w:t xml:space="preserve"> </w:t>
      </w:r>
      <w:r w:rsidRPr="0069682D">
        <w:t xml:space="preserve"> </w:t>
      </w:r>
    </w:p>
    <w:p w14:paraId="46731A4E" w14:textId="77777777" w:rsidR="00572F25" w:rsidRDefault="00CE34C8" w:rsidP="00CE34C8">
      <w:pPr>
        <w:pStyle w:val="Heading2"/>
        <w:ind w:left="142"/>
      </w:pPr>
      <w:bookmarkStart w:id="110" w:name="_Toc106731789"/>
      <w:bookmarkStart w:id="111" w:name="_Toc126664206"/>
      <w:r>
        <w:t xml:space="preserve">3.3 </w:t>
      </w:r>
      <w:r w:rsidR="00572F25">
        <w:t xml:space="preserve">Impact of </w:t>
      </w:r>
      <w:r w:rsidR="00572F25" w:rsidRPr="009576EA">
        <w:t>SARS</w:t>
      </w:r>
      <w:r w:rsidR="00572F25">
        <w:t>-CoV-2 on the Surgical NAPS in 202</w:t>
      </w:r>
      <w:bookmarkEnd w:id="110"/>
      <w:r w:rsidR="00572F25">
        <w:t>1</w:t>
      </w:r>
      <w:bookmarkEnd w:id="111"/>
    </w:p>
    <w:p w14:paraId="48C4F62E" w14:textId="77777777" w:rsidR="00572F25" w:rsidRDefault="00572F25" w:rsidP="00572F25">
      <w:pPr>
        <w:spacing w:before="240" w:after="80"/>
      </w:pPr>
      <w:r>
        <w:t xml:space="preserve">The global coronavirus disease 19 (COVID-19) pandemic, caused by SARS-CoV-2, had a significant impact on the Australian healthcare system in 2021. During periods of high community transmission, elective surgery was cancelled within both the public and private systems. </w:t>
      </w:r>
      <w:r w:rsidRPr="00A43FB5">
        <w:t>This had a major impact on the ability of hospitals to perform the Surgical NAPS</w:t>
      </w:r>
      <w:r>
        <w:t>,</w:t>
      </w:r>
      <w:r w:rsidRPr="00A43FB5">
        <w:t xml:space="preserve"> particular</w:t>
      </w:r>
      <w:r>
        <w:t>ly</w:t>
      </w:r>
      <w:r w:rsidRPr="00A43FB5">
        <w:t xml:space="preserve"> within the Victorian public system</w:t>
      </w:r>
      <w:r>
        <w:t>,</w:t>
      </w:r>
      <w:r w:rsidRPr="00A43FB5">
        <w:t xml:space="preserve"> where there was a prolonged period of lockdown (82 days) and a total of 113 days </w:t>
      </w:r>
      <w:r>
        <w:t>of</w:t>
      </w:r>
      <w:r w:rsidRPr="00A43FB5">
        <w:t xml:space="preserve"> lockdown </w:t>
      </w:r>
      <w:r>
        <w:t>in</w:t>
      </w:r>
      <w:r w:rsidRPr="00A43FB5">
        <w:t xml:space="preserve"> 2021, with </w:t>
      </w:r>
      <w:r>
        <w:t>few</w:t>
      </w:r>
      <w:r w:rsidRPr="00A43FB5">
        <w:t xml:space="preserve"> to no surgi</w:t>
      </w:r>
      <w:r>
        <w:t>cal procedures being performed.</w:t>
      </w:r>
    </w:p>
    <w:p w14:paraId="4725265E" w14:textId="77777777" w:rsidR="00572F25" w:rsidRDefault="00572F25" w:rsidP="00572F25">
      <w:pPr>
        <w:spacing w:before="240" w:after="80"/>
      </w:pPr>
      <w:r w:rsidRPr="00A43FB5">
        <w:rPr>
          <w:rFonts w:cs="Arial"/>
        </w:rPr>
        <w:t>Nationally, lockdowns have had a flow-on impact on the public hospital elective surgery waiting lists and admissions.</w:t>
      </w:r>
      <w:r>
        <w:rPr>
          <w:rFonts w:cs="Arial"/>
          <w:vertAlign w:val="superscript"/>
        </w:rPr>
        <w:t>15</w:t>
      </w:r>
      <w:r w:rsidRPr="00A43FB5">
        <w:rPr>
          <w:rFonts w:cs="Arial"/>
        </w:rPr>
        <w:t xml:space="preserve"> There were 688,000 admissions to hospital from the public elective surgery waiting lists in</w:t>
      </w:r>
      <w:r>
        <w:rPr>
          <w:rFonts w:cs="Arial"/>
        </w:rPr>
        <w:t xml:space="preserve"> the</w:t>
      </w:r>
      <w:r w:rsidRPr="00A43FB5">
        <w:rPr>
          <w:rFonts w:cs="Arial"/>
        </w:rPr>
        <w:t xml:space="preserve"> 2019–20</w:t>
      </w:r>
      <w:r>
        <w:rPr>
          <w:rFonts w:cs="Arial"/>
        </w:rPr>
        <w:t xml:space="preserve"> financial year (the beginning of the COVID-19 pandemic)</w:t>
      </w:r>
      <w:r w:rsidRPr="00A43FB5">
        <w:rPr>
          <w:rFonts w:cs="Arial"/>
        </w:rPr>
        <w:t>, which was lower than the 758,000 admissions in</w:t>
      </w:r>
      <w:r>
        <w:rPr>
          <w:rFonts w:cs="Arial"/>
        </w:rPr>
        <w:t xml:space="preserve"> the</w:t>
      </w:r>
      <w:r w:rsidRPr="00A43FB5">
        <w:rPr>
          <w:rFonts w:cs="Arial"/>
        </w:rPr>
        <w:t xml:space="preserve"> 2018</w:t>
      </w:r>
      <w:r>
        <w:rPr>
          <w:rFonts w:cs="Arial"/>
        </w:rPr>
        <w:t>–</w:t>
      </w:r>
      <w:r w:rsidRPr="00A43FB5">
        <w:rPr>
          <w:rFonts w:cs="Arial"/>
        </w:rPr>
        <w:t>19</w:t>
      </w:r>
      <w:r>
        <w:rPr>
          <w:rFonts w:cs="Arial"/>
        </w:rPr>
        <w:t xml:space="preserve"> financial year</w:t>
      </w:r>
      <w:r w:rsidRPr="00A43FB5">
        <w:rPr>
          <w:rFonts w:cs="Arial"/>
        </w:rPr>
        <w:t xml:space="preserve">. Suspension of surgeries in 2020 then contributed to a backlog of delayed surgeries and a subsequent increase in admissions </w:t>
      </w:r>
      <w:r>
        <w:rPr>
          <w:rFonts w:cs="Arial"/>
        </w:rPr>
        <w:t>in</w:t>
      </w:r>
      <w:r w:rsidRPr="00A43FB5">
        <w:rPr>
          <w:rFonts w:cs="Arial"/>
        </w:rPr>
        <w:t xml:space="preserve"> 2020</w:t>
      </w:r>
      <w:r>
        <w:rPr>
          <w:rFonts w:cs="Arial"/>
        </w:rPr>
        <w:t>–</w:t>
      </w:r>
      <w:r w:rsidRPr="00A43FB5">
        <w:rPr>
          <w:rFonts w:cs="Arial"/>
        </w:rPr>
        <w:t>21 (754,600 admissions)</w:t>
      </w:r>
      <w:proofErr w:type="gramStart"/>
      <w:r w:rsidRPr="00A43FB5">
        <w:rPr>
          <w:rFonts w:cs="Arial"/>
        </w:rPr>
        <w:t>.</w:t>
      </w:r>
      <w:r>
        <w:rPr>
          <w:rFonts w:cs="Arial"/>
          <w:vertAlign w:val="superscript"/>
        </w:rPr>
        <w:t>15</w:t>
      </w:r>
      <w:proofErr w:type="gramEnd"/>
      <w:r w:rsidRPr="00A43FB5">
        <w:rPr>
          <w:rFonts w:cs="Arial"/>
        </w:rPr>
        <w:t xml:space="preserve"> </w:t>
      </w:r>
    </w:p>
    <w:p w14:paraId="773DADF3" w14:textId="77777777" w:rsidR="00572F25" w:rsidRPr="00F072E6" w:rsidRDefault="00572F25" w:rsidP="00572F25">
      <w:pPr>
        <w:spacing w:before="240" w:after="80"/>
      </w:pPr>
      <w:r w:rsidRPr="00F072E6">
        <w:t xml:space="preserve">The strain on the healthcare workforce caused by </w:t>
      </w:r>
      <w:r>
        <w:t>the COVID-</w:t>
      </w:r>
      <w:r w:rsidRPr="00F072E6">
        <w:t xml:space="preserve">19 </w:t>
      </w:r>
      <w:r>
        <w:t>pandemic is</w:t>
      </w:r>
      <w:r w:rsidRPr="00F072E6">
        <w:t xml:space="preserve"> also likely</w:t>
      </w:r>
      <w:r>
        <w:t xml:space="preserve"> to</w:t>
      </w:r>
      <w:r w:rsidRPr="00F072E6">
        <w:t xml:space="preserve"> have impacted on the resources available to conduct the Surgical NAPS</w:t>
      </w:r>
      <w:r>
        <w:t>,</w:t>
      </w:r>
      <w:r w:rsidRPr="00F072E6">
        <w:t xml:space="preserve"> as demonstrated in the 2020 report. However, for 2021 there was an increase in contributing facilities. Most states and territories remained stable in terms of the number of contributing health care facilities, with the greatest increase in Victorian h</w:t>
      </w:r>
      <w:r>
        <w:t>ospitals (n=22 more facilities</w:t>
      </w:r>
      <w:r w:rsidRPr="00AF3C89">
        <w:t xml:space="preserve">) (Figure A2.1). </w:t>
      </w:r>
    </w:p>
    <w:p w14:paraId="14474043" w14:textId="77777777" w:rsidR="00572F25" w:rsidRDefault="00572F25" w:rsidP="00572F25">
      <w:pPr>
        <w:spacing w:before="240" w:after="80"/>
        <w:rPr>
          <w:rFonts w:cs="Arial"/>
        </w:rPr>
      </w:pPr>
      <w:r w:rsidRPr="002856C7">
        <w:t>Comparing the</w:t>
      </w:r>
      <w:r>
        <w:t xml:space="preserve"> 2019,</w:t>
      </w:r>
      <w:r w:rsidRPr="002856C7">
        <w:t xml:space="preserve"> 2020 and 2021 Surgical NAPS report data</w:t>
      </w:r>
      <w:r>
        <w:t>,</w:t>
      </w:r>
      <w:r w:rsidRPr="002856C7">
        <w:t xml:space="preserve"> the number of elective surgical procedures audited </w:t>
      </w:r>
      <w:proofErr w:type="gramStart"/>
      <w:r w:rsidRPr="002856C7">
        <w:t>increased</w:t>
      </w:r>
      <w:proofErr w:type="gramEnd"/>
      <w:r>
        <w:t xml:space="preserve"> but</w:t>
      </w:r>
      <w:r w:rsidRPr="002856C7">
        <w:t xml:space="preserve"> the proportion</w:t>
      </w:r>
      <w:r>
        <w:t>s</w:t>
      </w:r>
      <w:r w:rsidRPr="002856C7">
        <w:t xml:space="preserve"> remained similar (</w:t>
      </w:r>
      <w:r>
        <w:t xml:space="preserve">2019: n=7,971, 85.6%; 2020: </w:t>
      </w:r>
      <w:r w:rsidRPr="002856C7">
        <w:rPr>
          <w:rFonts w:cs="Arial"/>
        </w:rPr>
        <w:t>n=7,</w:t>
      </w:r>
      <w:r>
        <w:rPr>
          <w:rFonts w:cs="Arial"/>
        </w:rPr>
        <w:t>857, 87.3</w:t>
      </w:r>
      <w:r w:rsidRPr="002856C7">
        <w:rPr>
          <w:rFonts w:cs="Arial"/>
        </w:rPr>
        <w:t>%</w:t>
      </w:r>
      <w:r>
        <w:rPr>
          <w:rFonts w:cs="Arial"/>
        </w:rPr>
        <w:t>;</w:t>
      </w:r>
      <w:r w:rsidRPr="002856C7">
        <w:rPr>
          <w:rFonts w:cs="Arial"/>
        </w:rPr>
        <w:t xml:space="preserve"> </w:t>
      </w:r>
      <w:r>
        <w:rPr>
          <w:rFonts w:cs="Arial"/>
        </w:rPr>
        <w:t>2021: n=9,436, 86.4%</w:t>
      </w:r>
      <w:r w:rsidRPr="002856C7">
        <w:rPr>
          <w:rFonts w:cs="Arial"/>
        </w:rPr>
        <w:t>). Additionally, the rates of trauma</w:t>
      </w:r>
      <w:r>
        <w:rPr>
          <w:rFonts w:cs="Arial"/>
        </w:rPr>
        <w:t>-</w:t>
      </w:r>
      <w:r w:rsidRPr="002856C7">
        <w:rPr>
          <w:rFonts w:cs="Arial"/>
        </w:rPr>
        <w:t>related surgical episodes</w:t>
      </w:r>
      <w:r>
        <w:rPr>
          <w:rFonts w:cs="Arial"/>
        </w:rPr>
        <w:t xml:space="preserve"> audited</w:t>
      </w:r>
      <w:r w:rsidRPr="002856C7">
        <w:rPr>
          <w:rFonts w:cs="Arial"/>
        </w:rPr>
        <w:t xml:space="preserve"> in 2020 and 2021 were also similar (</w:t>
      </w:r>
      <w:r>
        <w:rPr>
          <w:rFonts w:cs="Arial"/>
        </w:rPr>
        <w:t xml:space="preserve">2020: </w:t>
      </w:r>
      <w:r w:rsidRPr="002856C7">
        <w:rPr>
          <w:rFonts w:cs="Arial"/>
        </w:rPr>
        <w:t xml:space="preserve">n=249, 3.1%; </w:t>
      </w:r>
      <w:r>
        <w:rPr>
          <w:rFonts w:cs="Arial"/>
        </w:rPr>
        <w:t xml:space="preserve">2021: </w:t>
      </w:r>
      <w:r w:rsidRPr="002856C7">
        <w:rPr>
          <w:rFonts w:cs="Arial"/>
        </w:rPr>
        <w:t>n=437, 4.0%).</w:t>
      </w:r>
    </w:p>
    <w:p w14:paraId="0C78FCEB" w14:textId="77777777" w:rsidR="00572F25" w:rsidRDefault="00572F25" w:rsidP="00572F25">
      <w:pPr>
        <w:spacing w:after="0"/>
        <w:rPr>
          <w:rFonts w:cs="Arial"/>
        </w:rPr>
      </w:pPr>
      <w:r>
        <w:rPr>
          <w:rFonts w:cs="Arial"/>
        </w:rPr>
        <w:br w:type="page"/>
      </w:r>
    </w:p>
    <w:p w14:paraId="188B8E27" w14:textId="77777777" w:rsidR="00572F25" w:rsidRDefault="00572F25" w:rsidP="00572F25">
      <w:pPr>
        <w:spacing w:before="240" w:after="80"/>
        <w:jc w:val="both"/>
        <w:rPr>
          <w:rFonts w:cs="Arial"/>
        </w:rPr>
      </w:pPr>
      <w:r w:rsidRPr="002856C7">
        <w:rPr>
          <w:rFonts w:cs="Arial"/>
        </w:rPr>
        <w:lastRenderedPageBreak/>
        <w:t xml:space="preserve"> </w:t>
      </w:r>
    </w:p>
    <w:p w14:paraId="3CD92C49" w14:textId="77777777" w:rsidR="00572F25" w:rsidRDefault="00977AD6" w:rsidP="00977AD6">
      <w:pPr>
        <w:pStyle w:val="Heading1"/>
      </w:pPr>
      <w:bookmarkStart w:id="112" w:name="_Toc126664207"/>
      <w:bookmarkStart w:id="113" w:name="_Toc74651647"/>
      <w:r>
        <w:t>4</w:t>
      </w:r>
      <w:r>
        <w:tab/>
      </w:r>
      <w:r w:rsidR="00572F25">
        <w:t>Implications for clinical practice</w:t>
      </w:r>
      <w:bookmarkEnd w:id="112"/>
      <w:r w:rsidR="00572F25" w:rsidDel="00640A79">
        <w:t xml:space="preserve"> </w:t>
      </w:r>
      <w:bookmarkEnd w:id="113"/>
    </w:p>
    <w:p w14:paraId="7284B63F" w14:textId="77777777" w:rsidR="00572F25" w:rsidRPr="003315CB" w:rsidRDefault="00572F25" w:rsidP="00572F25">
      <w:pPr>
        <w:pStyle w:val="Heading4"/>
        <w:ind w:left="864" w:hanging="864"/>
      </w:pPr>
      <w:bookmarkStart w:id="114" w:name="_Methods"/>
      <w:bookmarkEnd w:id="114"/>
      <w:r w:rsidRPr="003315CB">
        <w:t xml:space="preserve">Suboptimal documentation </w:t>
      </w:r>
    </w:p>
    <w:p w14:paraId="685084E6" w14:textId="77777777" w:rsidR="00572F25" w:rsidRDefault="00572F25" w:rsidP="00572F25">
      <w:r>
        <w:t xml:space="preserve">Documentation is an important component of comprehensive medical care as it allows timely and accurate communication between members of the clinical care team and contributes to effective safety and quality of patient care. Failure to document important components of surgical care was </w:t>
      </w:r>
      <w:r w:rsidRPr="00260E82">
        <w:t xml:space="preserve">reported for between 1 in 4 surgical procedures for incision time, and 1 in 10 surgical procedures for administration time. </w:t>
      </w:r>
    </w:p>
    <w:p w14:paraId="740748B0" w14:textId="77777777" w:rsidR="00572F25" w:rsidRDefault="00572F25" w:rsidP="00572F25">
      <w:r w:rsidRPr="00260E82">
        <w:t>Correct timing</w:t>
      </w:r>
      <w:r>
        <w:t xml:space="preserve"> of antimicrobial administration ensures a high concentration of antimicrobial at the time of surgical incision, which reduces the risk of surgical site infection and the need for post-operative antimicrobials. Improving documentation is an important step in ensuring appropriate timing of antimicrobial administration and should be addressed in targeted improvement strategies. </w:t>
      </w:r>
    </w:p>
    <w:p w14:paraId="567C7FAC" w14:textId="77777777" w:rsidR="00572F25" w:rsidRPr="003C6AA4" w:rsidRDefault="00572F25" w:rsidP="00572F25">
      <w:pPr>
        <w:pStyle w:val="Heading4"/>
        <w:ind w:left="864" w:hanging="864"/>
      </w:pPr>
      <w:r w:rsidRPr="003315CB">
        <w:t xml:space="preserve">Compliance with guidelines and appropriateness of prescribing </w:t>
      </w:r>
    </w:p>
    <w:p w14:paraId="013ACD85" w14:textId="77777777" w:rsidR="00572F25" w:rsidRDefault="00572F25" w:rsidP="00572F25">
      <w:r>
        <w:t xml:space="preserve">Compliance with guidelines for surgical antimicrobial prophylaxis, and consequently appropriateness of prescribing, continues to be poor overall, but even more so for post-procedural prescriptions. This relates to prescription of antimicrobials that are not required and prolonged duration of antimicrobial use. Procedurally, inappropriate antimicrobial use is primarily due to suboptimal timing of administration. </w:t>
      </w:r>
    </w:p>
    <w:p w14:paraId="47EB073C" w14:textId="77777777" w:rsidR="00572F25" w:rsidRDefault="00572F25" w:rsidP="00572F25">
      <w:r>
        <w:t xml:space="preserve">In practice, for many procedures there is no evidence that prophylactic antimicrobial use, either procedurally or post-procedurally, reduces post-operative infections. Unnecessary surgical antimicrobial prophylaxis has been shown to cause harm to patients such as drug-related toxicities (e.g., renal failure) and other adverse reactions; and likely contributes to antimicrobial resistance. Reducing inappropriate surgical antimicrobial prophylaxis balances the unintended harms of antimicrobial use with the benefits of evidence-based care. </w:t>
      </w:r>
    </w:p>
    <w:p w14:paraId="1E81712D" w14:textId="77777777" w:rsidR="00572F25" w:rsidRDefault="00572F25" w:rsidP="00572F25">
      <w:pPr>
        <w:pStyle w:val="Heading4"/>
        <w:ind w:left="864" w:hanging="864"/>
      </w:pPr>
      <w:r w:rsidRPr="003315CB">
        <w:t>Surgical specialty specific issues</w:t>
      </w:r>
      <w:r>
        <w:t xml:space="preserve"> </w:t>
      </w:r>
    </w:p>
    <w:p w14:paraId="66DF8B42" w14:textId="77777777" w:rsidR="00572F25" w:rsidRDefault="00572F25" w:rsidP="00572F25">
      <w:r>
        <w:t xml:space="preserve">There are specific patterns of inappropriate prescribing for some surgical specialities, such as prolonged duration of use, or choice of antimicrobials. Targeting specialties with high rates of inappropriate prescribing, such as </w:t>
      </w:r>
      <w:r w:rsidRPr="00497D29">
        <w:rPr>
          <w:rFonts w:cs="Arial"/>
        </w:rPr>
        <w:t>thoracic surgery, vascular surgery, dentoalveolar surgery</w:t>
      </w:r>
      <w:r>
        <w:rPr>
          <w:rFonts w:cs="Arial"/>
        </w:rPr>
        <w:t xml:space="preserve">, breast surgery, </w:t>
      </w:r>
      <w:r>
        <w:t xml:space="preserve">neurosurgery and cardiac surgery is a priority for AMS programs. </w:t>
      </w:r>
    </w:p>
    <w:p w14:paraId="28EE60DC" w14:textId="77777777" w:rsidR="00572F25" w:rsidRPr="006F6AE8" w:rsidRDefault="00572F25" w:rsidP="00572F25">
      <w:r>
        <w:t xml:space="preserve">Similarly, it is important to consider targeting specialties that are audited at higher volumes – such as orthopaedic surgery, abdominal </w:t>
      </w:r>
      <w:proofErr w:type="gramStart"/>
      <w:r>
        <w:t>surgery</w:t>
      </w:r>
      <w:proofErr w:type="gramEnd"/>
      <w:r>
        <w:t xml:space="preserve"> and obstetrics – to generate greater impact. Additional specific targets include the surgical specialties that together represented 53.7% of all surgical prophylaxis use for up to or greater than 48 hours: </w:t>
      </w:r>
      <w:r w:rsidRPr="006F6AE8">
        <w:t>orthopaedic surgery, ophthalmology</w:t>
      </w:r>
      <w:r>
        <w:t>,</w:t>
      </w:r>
      <w:r w:rsidRPr="006F6AE8">
        <w:t xml:space="preserve"> and plastic and reconstructive surgery.</w:t>
      </w:r>
    </w:p>
    <w:p w14:paraId="5C069164" w14:textId="77777777" w:rsidR="00572F25" w:rsidRPr="008A3BA1" w:rsidRDefault="00572F25" w:rsidP="00572F25">
      <w:r>
        <w:t>Ensuring that these specialties have patient care aligned with prescribing guidelines and are supported to engage in the quality improvement process to improve prescribing will help to deliver consistent high-quality care and improve the use of surgical antimicrobial prophylaxis in Australian health service organisations.</w:t>
      </w:r>
    </w:p>
    <w:p w14:paraId="03048F62" w14:textId="77777777" w:rsidR="00572F25" w:rsidRPr="003C6AA4" w:rsidRDefault="00572F25" w:rsidP="00572F25">
      <w:pPr>
        <w:pStyle w:val="Heading4"/>
        <w:ind w:left="864" w:hanging="864"/>
      </w:pPr>
      <w:r w:rsidRPr="003C6AA4">
        <w:lastRenderedPageBreak/>
        <w:t>Recommendations for potential actionable items</w:t>
      </w:r>
    </w:p>
    <w:p w14:paraId="60FD6536" w14:textId="77777777" w:rsidR="00572F25" w:rsidRDefault="00572F25" w:rsidP="00572F25">
      <w:pPr>
        <w:keepNext/>
        <w:spacing w:after="80"/>
        <w:rPr>
          <w:rFonts w:cstheme="minorHAnsi"/>
        </w:rPr>
      </w:pPr>
      <w:r w:rsidRPr="00E80C71">
        <w:rPr>
          <w:rFonts w:cstheme="minorHAnsi"/>
        </w:rPr>
        <w:t>To address the ongoing patient safety issues relating to inappropriate prescribing of surgical</w:t>
      </w:r>
      <w:r>
        <w:rPr>
          <w:rFonts w:cstheme="minorHAnsi"/>
        </w:rPr>
        <w:t xml:space="preserve"> </w:t>
      </w:r>
      <w:r w:rsidRPr="00E80C71">
        <w:rPr>
          <w:rFonts w:cstheme="minorHAnsi"/>
        </w:rPr>
        <w:t>antimicrobial prophylaxis, we recommend</w:t>
      </w:r>
      <w:r>
        <w:rPr>
          <w:rFonts w:cstheme="minorHAnsi"/>
        </w:rPr>
        <w:t>:</w:t>
      </w:r>
      <w:r w:rsidRPr="00E80C71">
        <w:rPr>
          <w:rFonts w:cstheme="minorHAnsi"/>
        </w:rPr>
        <w:t xml:space="preserve"> </w:t>
      </w:r>
    </w:p>
    <w:p w14:paraId="7420B4D0" w14:textId="77777777" w:rsidR="00572F25" w:rsidRPr="00E80C71" w:rsidRDefault="00572F25" w:rsidP="00572F25">
      <w:pPr>
        <w:pStyle w:val="Bulletlist"/>
      </w:pPr>
      <w:r>
        <w:t>c</w:t>
      </w:r>
      <w:r w:rsidRPr="00E80C71">
        <w:t xml:space="preserve">ontinued collaboration with the </w:t>
      </w:r>
      <w:r>
        <w:t>Royal Australasian College of Surgeons</w:t>
      </w:r>
      <w:r w:rsidRPr="00E80C71">
        <w:t>, and engage</w:t>
      </w:r>
      <w:r>
        <w:t>ment</w:t>
      </w:r>
      <w:r w:rsidRPr="00E80C71">
        <w:t xml:space="preserve"> with surgical specialty societies and other key stakeholders to develop improvement strategies for prescribing of surgical antimicrobial </w:t>
      </w:r>
      <w:proofErr w:type="gramStart"/>
      <w:r w:rsidRPr="00E80C71">
        <w:t>prophylaxis</w:t>
      </w:r>
      <w:proofErr w:type="gramEnd"/>
    </w:p>
    <w:p w14:paraId="25C58B7F" w14:textId="77777777" w:rsidR="00572F25" w:rsidRPr="00E80C71" w:rsidRDefault="00572F25" w:rsidP="00572F25">
      <w:pPr>
        <w:pStyle w:val="Bulletlist"/>
      </w:pPr>
      <w:r>
        <w:t xml:space="preserve">engagement with </w:t>
      </w:r>
      <w:r w:rsidRPr="00E80C71">
        <w:t xml:space="preserve">colleges, surgical specialty societies, states and territories and private health service providers </w:t>
      </w:r>
      <w:r>
        <w:t>via provision of</w:t>
      </w:r>
      <w:r w:rsidRPr="00E80C71">
        <w:t xml:space="preserve"> specific information on </w:t>
      </w:r>
      <w:r>
        <w:t xml:space="preserve">prescribing appropriateness for </w:t>
      </w:r>
      <w:r w:rsidRPr="00E80C71">
        <w:t>selected procedural specialties</w:t>
      </w:r>
    </w:p>
    <w:p w14:paraId="26854B66" w14:textId="77777777" w:rsidR="00572F25" w:rsidRPr="00E80C71" w:rsidRDefault="00572F25" w:rsidP="00572F25">
      <w:pPr>
        <w:pStyle w:val="Bulletlist"/>
      </w:pPr>
      <w:r>
        <w:t>continued promotion of</w:t>
      </w:r>
      <w:r w:rsidRPr="00E80C71">
        <w:t xml:space="preserve"> compliance with Australian prescribing guidelines</w:t>
      </w:r>
    </w:p>
    <w:p w14:paraId="62AA4DBC" w14:textId="77777777" w:rsidR="00572F25" w:rsidRDefault="00572F25" w:rsidP="00572F25">
      <w:pPr>
        <w:pStyle w:val="Bulletlist"/>
      </w:pPr>
      <w:r>
        <w:t>continued collaboration</w:t>
      </w:r>
      <w:r w:rsidRPr="00E80C71">
        <w:t xml:space="preserve"> with the states</w:t>
      </w:r>
      <w:r>
        <w:t xml:space="preserve"> and</w:t>
      </w:r>
      <w:r w:rsidRPr="00E80C71">
        <w:t xml:space="preserve"> territories and the private sector to promote ongoing surveillance of appropriateness of surgical antimicrobial prophylaxis in Australian health service </w:t>
      </w:r>
      <w:proofErr w:type="gramStart"/>
      <w:r w:rsidRPr="00E80C71">
        <w:t>organisations</w:t>
      </w:r>
      <w:proofErr w:type="gramEnd"/>
    </w:p>
    <w:p w14:paraId="3A7522A7" w14:textId="77777777" w:rsidR="00572F25" w:rsidRPr="00E80C71" w:rsidRDefault="00572F25" w:rsidP="00572F25">
      <w:pPr>
        <w:pStyle w:val="Bulletlist"/>
      </w:pPr>
      <w:r>
        <w:t xml:space="preserve">engagement with digital health clinicians and experts to discuss quality improvement </w:t>
      </w:r>
      <w:r w:rsidRPr="008A603A">
        <w:t>works</w:t>
      </w:r>
      <w:r>
        <w:t xml:space="preserve"> that capitalise on the capabilities of electronic medical record </w:t>
      </w:r>
      <w:proofErr w:type="gramStart"/>
      <w:r>
        <w:t>systems</w:t>
      </w:r>
      <w:proofErr w:type="gramEnd"/>
    </w:p>
    <w:p w14:paraId="3ABF3616" w14:textId="77777777" w:rsidR="00572F25" w:rsidRDefault="00572F25" w:rsidP="00572F25">
      <w:pPr>
        <w:pStyle w:val="Bulletlist"/>
      </w:pPr>
      <w:r>
        <w:t xml:space="preserve">ongoing promotion of the adoption of </w:t>
      </w:r>
      <w:r w:rsidRPr="00E80C71">
        <w:t xml:space="preserve">surveillance data to develop and implement targeted </w:t>
      </w:r>
      <w:r w:rsidRPr="00D164CF">
        <w:t>improvement programs.</w:t>
      </w:r>
    </w:p>
    <w:p w14:paraId="548AC687" w14:textId="77777777" w:rsidR="00572F25" w:rsidRDefault="00572F25" w:rsidP="00572F25">
      <w:pPr>
        <w:spacing w:after="0"/>
      </w:pPr>
      <w:r>
        <w:br w:type="page"/>
      </w:r>
    </w:p>
    <w:p w14:paraId="702E742C" w14:textId="77777777" w:rsidR="00572F25" w:rsidRDefault="00977AD6" w:rsidP="00977AD6">
      <w:pPr>
        <w:pStyle w:val="Heading1"/>
      </w:pPr>
      <w:bookmarkStart w:id="115" w:name="_Toc126664208"/>
      <w:r>
        <w:lastRenderedPageBreak/>
        <w:t>5</w:t>
      </w:r>
      <w:r>
        <w:tab/>
      </w:r>
      <w:r w:rsidR="00572F25">
        <w:t>Conclusion</w:t>
      </w:r>
      <w:bookmarkEnd w:id="115"/>
    </w:p>
    <w:p w14:paraId="412BBE23" w14:textId="77777777" w:rsidR="00572F25" w:rsidRDefault="00572F25" w:rsidP="00572F25">
      <w:pPr>
        <w:rPr>
          <w:highlight w:val="cyan"/>
        </w:rPr>
      </w:pPr>
      <w:r>
        <w:t>Surgical prophylaxis, when prescribed appropriately, has the benefit of reducing the development of post-operative infections, including surgical site infections, pneumonia, and urinary tract infections.</w:t>
      </w:r>
      <w:r>
        <w:rPr>
          <w:vertAlign w:val="superscript"/>
        </w:rPr>
        <w:t>10</w:t>
      </w:r>
      <w:r>
        <w:t xml:space="preserve"> Use of antimicrobials for the prevention of such infections must be balanced against complications associated with their use, including allergic and adverse drug reactions, and the development of antimicrobial resistance. Surgical antimicrobial prophylaxis should be reserved for procedures or clinical situations where there is strong evidence that the benefit outweighs potential harm.</w:t>
      </w:r>
    </w:p>
    <w:p w14:paraId="462A0BD2" w14:textId="77777777" w:rsidR="00572F25" w:rsidRDefault="00572F25" w:rsidP="00572F25">
      <w:r>
        <w:t xml:space="preserve">For the Surgical NAPS in 2021, which was the sixth year the audit has been conducted, the increase in uptake, compared with 2020 survey and in relation to the restrictions placed on elective surgery due to the COVID-19 pandemic, was extremely encouraging. The number of contributing facilities has doubled since the inception of the Surgical NAPS in 2016 (181 in 2021 compared with 84 in 2016). As the Surgical NAPS is voluntary and is resource intensive compared with the Hospital NAPS and the Quality Improvement NAPS, this continual increase suggests that the survey is regarded as a valuable tool to identify opportunities to improve surgical antimicrobial prophylaxis. Ongoing annual contributions to the Surgical NAPS continue to provide benefits to end users to support further improvements and assess the efficacy and impact of implemented interventions in terms of guideline compliance and appropriateness. Despite variation in participation rates and the specialty focus between contributors, consistent themes for quality improvement are evident. </w:t>
      </w:r>
    </w:p>
    <w:p w14:paraId="56145F97" w14:textId="77777777" w:rsidR="00572F25" w:rsidRDefault="00572F25" w:rsidP="00572F25">
      <w:r>
        <w:t>With over 6 years of Surgical NAPS data collected over time, longitudinal trend analysis of the Surgical NAPS needs to be undertaken with due consideration of the variation in the cohort that occurs each year in relation to the procedure groups audited, the peer groups that voluntarily contribute data, and intermittent participation in the Surgical NAPS by individual facilities. However, over the 6 years in which the Surgical NAPS has been conducted, there has been an increase in the appropriateness of procedural prescribing, which may be due to improved timing of administration and dosage of antimicrobials. There have been no discernible changes in appropriateness of post-procedural prescribing over the 6 years, as evidenced by ongoing high rates of extended post-procedural antimicrobial prophylaxis. Encouragingly the 2020 and 2021 Surgical NAPS reports demonstrate lower ranges of surgical antimicrobial prophylaxis duration than previous years (</w:t>
      </w:r>
      <w:r w:rsidRPr="003B6B00">
        <w:t xml:space="preserve">Table </w:t>
      </w:r>
      <w:r w:rsidRPr="00F20786">
        <w:t>4</w:t>
      </w:r>
      <w:r>
        <w:t>). However, there is still significant room for quality improvement, as a range of 49 days for surgical prophylaxis remains of concern.</w:t>
      </w:r>
    </w:p>
    <w:p w14:paraId="66A3F7B3" w14:textId="77777777" w:rsidR="00572F25" w:rsidRDefault="00572F25" w:rsidP="00572F25">
      <w:r>
        <w:t xml:space="preserve">To continue to engage and </w:t>
      </w:r>
      <w:r w:rsidRPr="0038565A">
        <w:t>support Surgical NAPS end users</w:t>
      </w:r>
      <w:r>
        <w:t xml:space="preserve">, the </w:t>
      </w:r>
      <w:r w:rsidRPr="008A603A">
        <w:t>NCAS</w:t>
      </w:r>
      <w:r>
        <w:t xml:space="preserve"> also</w:t>
      </w:r>
      <w:r w:rsidRPr="00607EA3">
        <w:t xml:space="preserve"> </w:t>
      </w:r>
      <w:r w:rsidRPr="0038565A">
        <w:t>provides a range of clinical and educational resources</w:t>
      </w:r>
      <w:r>
        <w:t xml:space="preserve"> </w:t>
      </w:r>
      <w:r w:rsidRPr="0038565A">
        <w:t xml:space="preserve">on </w:t>
      </w:r>
      <w:r>
        <w:t>its</w:t>
      </w:r>
      <w:r w:rsidRPr="0038565A">
        <w:t xml:space="preserve"> website</w:t>
      </w:r>
      <w:r w:rsidRPr="0038565A">
        <w:rPr>
          <w:vertAlign w:val="superscript"/>
        </w:rPr>
        <w:t>1</w:t>
      </w:r>
      <w:r>
        <w:rPr>
          <w:vertAlign w:val="superscript"/>
        </w:rPr>
        <w:t>6</w:t>
      </w:r>
      <w:r w:rsidRPr="0038565A">
        <w:t xml:space="preserve"> and collaborate</w:t>
      </w:r>
      <w:r>
        <w:t>s</w:t>
      </w:r>
      <w:r w:rsidRPr="0038565A">
        <w:t xml:space="preserve"> with the </w:t>
      </w:r>
      <w:r w:rsidRPr="008A603A">
        <w:t>ACSQHC</w:t>
      </w:r>
      <w:r w:rsidRPr="0038565A">
        <w:t xml:space="preserve"> and relevant professional surgical bodies (</w:t>
      </w:r>
      <w:r w:rsidRPr="008A603A">
        <w:t>i.e.,</w:t>
      </w:r>
      <w:r>
        <w:t xml:space="preserve"> the</w:t>
      </w:r>
      <w:r w:rsidRPr="0038565A">
        <w:t xml:space="preserve"> </w:t>
      </w:r>
      <w:r>
        <w:t>Royal Australasian College of Surgeons</w:t>
      </w:r>
      <w:r w:rsidRPr="0038565A">
        <w:t xml:space="preserve"> and the Royal Australian and New Zealand College of Ophthalmologists) to provide support regarding interventions to improve antimicrobial prescribing practices. </w:t>
      </w:r>
      <w:r>
        <w:t xml:space="preserve">For example, in August 2021 </w:t>
      </w:r>
      <w:r>
        <w:rPr>
          <w:rFonts w:eastAsia="SimSun"/>
        </w:rPr>
        <w:t>t</w:t>
      </w:r>
      <w:r w:rsidRPr="0038565A">
        <w:rPr>
          <w:rFonts w:eastAsia="SimSun"/>
        </w:rPr>
        <w:t xml:space="preserve">he </w:t>
      </w:r>
      <w:r w:rsidRPr="0038565A">
        <w:t xml:space="preserve">ACSQHC published the </w:t>
      </w:r>
      <w:r w:rsidRPr="0038565A">
        <w:rPr>
          <w:rFonts w:eastAsia="SimSun"/>
        </w:rPr>
        <w:t>Cataract Clinical Care Standard</w:t>
      </w:r>
      <w:r>
        <w:rPr>
          <w:rFonts w:eastAsia="SimSun"/>
        </w:rPr>
        <w:t>,</w:t>
      </w:r>
      <w:r w:rsidRPr="0038565A">
        <w:rPr>
          <w:rFonts w:eastAsia="SimSun"/>
        </w:rPr>
        <w:t xml:space="preserve"> with case studies highlighting the ability to optimise patient care and post-procedural antimicrobial use</w:t>
      </w:r>
      <w:r>
        <w:rPr>
          <w:rFonts w:eastAsia="SimSun"/>
        </w:rPr>
        <w:t xml:space="preserve"> </w:t>
      </w:r>
      <w:r w:rsidRPr="008A603A">
        <w:rPr>
          <w:rFonts w:eastAsia="SimSun"/>
        </w:rPr>
        <w:t>whil</w:t>
      </w:r>
      <w:r>
        <w:rPr>
          <w:rFonts w:eastAsia="SimSun"/>
        </w:rPr>
        <w:t xml:space="preserve">e </w:t>
      </w:r>
      <w:r w:rsidRPr="008A603A">
        <w:rPr>
          <w:rFonts w:eastAsia="SimSun"/>
        </w:rPr>
        <w:t>utilising</w:t>
      </w:r>
      <w:r>
        <w:rPr>
          <w:rFonts w:eastAsia="SimSun"/>
        </w:rPr>
        <w:t xml:space="preserve"> data from the Surgical NAPS.</w:t>
      </w:r>
      <w:r>
        <w:rPr>
          <w:rFonts w:eastAsia="SimSun"/>
          <w:vertAlign w:val="superscript"/>
        </w:rPr>
        <w:t>17</w:t>
      </w:r>
    </w:p>
    <w:p w14:paraId="3B6271AF" w14:textId="77777777" w:rsidR="00572F25" w:rsidRDefault="00572F25" w:rsidP="00572F25">
      <w:pPr>
        <w:sectPr w:rsidR="00572F25" w:rsidSect="00C23DFC">
          <w:pgSz w:w="11906" w:h="16838"/>
          <w:pgMar w:top="1440" w:right="1274" w:bottom="1440" w:left="1276" w:header="0" w:footer="0" w:gutter="0"/>
          <w:cols w:space="708"/>
          <w:docGrid w:linePitch="360"/>
        </w:sectPr>
      </w:pPr>
      <w:r w:rsidRPr="0069682D">
        <w:t>In summary, and consistent with findings from previous surveys of surgical prophylaxis, the 20</w:t>
      </w:r>
      <w:r>
        <w:t>21</w:t>
      </w:r>
      <w:r w:rsidRPr="0069682D">
        <w:t xml:space="preserve"> Surgical NAPS identified ongoing concerning inappropriate use of surgical prophylaxis in contributor hospitals. The issues</w:t>
      </w:r>
      <w:r>
        <w:t xml:space="preserve"> involved</w:t>
      </w:r>
      <w:r w:rsidRPr="0069682D">
        <w:t xml:space="preserve"> require urgent attention</w:t>
      </w:r>
      <w:r w:rsidRPr="00BB25BB">
        <w:t xml:space="preserve"> from all stakeholders</w:t>
      </w:r>
      <w:r>
        <w:t xml:space="preserve"> to improve</w:t>
      </w:r>
      <w:r w:rsidRPr="00BB25BB">
        <w:t xml:space="preserve"> antimicrobial stewardship in the operative setting</w:t>
      </w:r>
      <w:r w:rsidRPr="0069682D">
        <w:t>.</w:t>
      </w:r>
      <w:r>
        <w:br w:type="page"/>
      </w:r>
    </w:p>
    <w:p w14:paraId="4AB01061" w14:textId="77777777" w:rsidR="00572F25" w:rsidRPr="00E62A56" w:rsidRDefault="00572F25" w:rsidP="00572F25">
      <w:pPr>
        <w:pStyle w:val="Heading1"/>
      </w:pPr>
      <w:bookmarkStart w:id="116" w:name="_Toc126664209"/>
      <w:r>
        <w:lastRenderedPageBreak/>
        <w:t xml:space="preserve">Appendix 1: </w:t>
      </w:r>
      <w:r w:rsidRPr="00E62A56">
        <w:t>Limitations and considerations for interpretation of results</w:t>
      </w:r>
      <w:bookmarkEnd w:id="116"/>
      <w:r w:rsidRPr="00E62A56">
        <w:t xml:space="preserve"> </w:t>
      </w:r>
    </w:p>
    <w:p w14:paraId="5F712FDB" w14:textId="77777777" w:rsidR="00572F25" w:rsidRPr="00E62A56" w:rsidRDefault="00572F25" w:rsidP="00572F25">
      <w:pPr>
        <w:rPr>
          <w:rFonts w:cs="Arial"/>
        </w:rPr>
      </w:pPr>
      <w:r w:rsidRPr="00E62A56">
        <w:rPr>
          <w:rFonts w:cs="Arial"/>
        </w:rPr>
        <w:t>The results presented in this report should be interpreted in the context of the following limitations and considerations</w:t>
      </w:r>
      <w:r>
        <w:rPr>
          <w:rFonts w:cs="Arial"/>
        </w:rPr>
        <w:t>.</w:t>
      </w:r>
    </w:p>
    <w:p w14:paraId="1445BD80" w14:textId="77777777" w:rsidR="00572F25" w:rsidRPr="00E62A56" w:rsidRDefault="00572F25" w:rsidP="00572F25">
      <w:pPr>
        <w:pStyle w:val="Heading2"/>
        <w:ind w:left="576" w:hanging="576"/>
      </w:pPr>
      <w:bookmarkStart w:id="117" w:name="_Toc45292106"/>
      <w:bookmarkStart w:id="118" w:name="_Toc47422954"/>
      <w:bookmarkStart w:id="119" w:name="_Toc47423767"/>
      <w:bookmarkStart w:id="120" w:name="_Toc106731808"/>
      <w:bookmarkStart w:id="121" w:name="_Toc126664210"/>
      <w:r w:rsidRPr="00E62A56">
        <w:t>Sampling and selection bias</w:t>
      </w:r>
      <w:bookmarkEnd w:id="117"/>
      <w:bookmarkEnd w:id="118"/>
      <w:bookmarkEnd w:id="119"/>
      <w:bookmarkEnd w:id="120"/>
      <w:bookmarkEnd w:id="121"/>
      <w:r w:rsidRPr="00E62A56">
        <w:t xml:space="preserve"> </w:t>
      </w:r>
    </w:p>
    <w:p w14:paraId="5283A247" w14:textId="77777777" w:rsidR="00572F25" w:rsidRDefault="00572F25" w:rsidP="00572F25">
      <w:r w:rsidRPr="00E62A56">
        <w:rPr>
          <w:rFonts w:cs="Arial"/>
        </w:rPr>
        <w:t>The facilities that participated were not a randomised sample</w:t>
      </w:r>
      <w:r>
        <w:rPr>
          <w:rFonts w:cs="Arial"/>
        </w:rPr>
        <w:t>,</w:t>
      </w:r>
      <w:r w:rsidRPr="00E62A56">
        <w:rPr>
          <w:rFonts w:cs="Arial"/>
        </w:rPr>
        <w:t xml:space="preserve"> because participation was voluntary. Therefore, the results might not be representative of all Australian facilities where surgery is performed.</w:t>
      </w:r>
      <w:r w:rsidRPr="00E62A56">
        <w:rPr>
          <w:rFonts w:cs="Arial"/>
          <w:b/>
        </w:rPr>
        <w:t xml:space="preserve"> </w:t>
      </w:r>
      <w:r w:rsidRPr="00E62A56">
        <w:t>Each hospital could choose how to perform the Surgical NAPS audit. Audits may have been conducted as prevalence surveys (consecutive or random patients), directed surveys (particular surgical specialties or procedures) or other types of audits</w:t>
      </w:r>
      <w:r>
        <w:t>;</w:t>
      </w:r>
      <w:r w:rsidRPr="00E62A56">
        <w:t xml:space="preserve"> </w:t>
      </w:r>
      <w:proofErr w:type="gramStart"/>
      <w:r w:rsidRPr="00E62A56">
        <w:t>therefore</w:t>
      </w:r>
      <w:proofErr w:type="gramEnd"/>
      <w:r w:rsidRPr="00E62A56">
        <w:t xml:space="preserve"> it is not possible to determine the </w:t>
      </w:r>
      <w:r>
        <w:t xml:space="preserve">exact </w:t>
      </w:r>
      <w:r w:rsidRPr="00E62A56">
        <w:t xml:space="preserve">prevalence of the surgical procedures or antimicrobials prescribed. </w:t>
      </w:r>
      <w:bookmarkStart w:id="122" w:name="_Toc45292107"/>
      <w:bookmarkStart w:id="123" w:name="_Toc47422955"/>
      <w:bookmarkStart w:id="124" w:name="_Toc47423768"/>
      <w:bookmarkStart w:id="125" w:name="_Toc106731809"/>
    </w:p>
    <w:p w14:paraId="1EF56246" w14:textId="77777777" w:rsidR="00572F25" w:rsidRPr="0072278A" w:rsidRDefault="00572F25" w:rsidP="00572F25">
      <w:pPr>
        <w:pStyle w:val="Heading2"/>
        <w:ind w:left="576" w:hanging="576"/>
      </w:pPr>
      <w:bookmarkStart w:id="126" w:name="_Toc126664211"/>
      <w:r w:rsidRPr="00A37C58">
        <w:t xml:space="preserve">Survey methodology not </w:t>
      </w:r>
      <w:proofErr w:type="gramStart"/>
      <w:r w:rsidRPr="00A37C58">
        <w:t>defined</w:t>
      </w:r>
      <w:bookmarkEnd w:id="122"/>
      <w:bookmarkEnd w:id="123"/>
      <w:bookmarkEnd w:id="124"/>
      <w:bookmarkEnd w:id="125"/>
      <w:bookmarkEnd w:id="126"/>
      <w:proofErr w:type="gramEnd"/>
    </w:p>
    <w:p w14:paraId="46C7E129" w14:textId="77777777" w:rsidR="00572F25" w:rsidRPr="00A37C58" w:rsidRDefault="00572F25" w:rsidP="00572F25">
      <w:pPr>
        <w:rPr>
          <w:rFonts w:cs="Arial"/>
        </w:rPr>
      </w:pPr>
      <w:r w:rsidRPr="00A37C58">
        <w:rPr>
          <w:rFonts w:cs="Arial"/>
        </w:rPr>
        <w:t xml:space="preserve">For the Surgical NAPS, each hospital could decide how </w:t>
      </w:r>
      <w:r>
        <w:rPr>
          <w:rFonts w:cs="Arial"/>
        </w:rPr>
        <w:t>it</w:t>
      </w:r>
      <w:r w:rsidRPr="00A37C58">
        <w:rPr>
          <w:rFonts w:cs="Arial"/>
        </w:rPr>
        <w:t xml:space="preserve"> performed the survey and which patients, or surgical specialties, were audited. If directed surveys were performed, patient sampling may not have been random, and auditors may have targeted problem or higher volume surgical units.  </w:t>
      </w:r>
    </w:p>
    <w:p w14:paraId="7D15B18A" w14:textId="77777777" w:rsidR="00572F25" w:rsidRPr="00812059" w:rsidRDefault="00572F25" w:rsidP="00572F25">
      <w:pPr>
        <w:pStyle w:val="Heading2"/>
        <w:ind w:left="576" w:hanging="576"/>
      </w:pPr>
      <w:bookmarkStart w:id="127" w:name="_Toc45292108"/>
      <w:bookmarkStart w:id="128" w:name="_Toc47422956"/>
      <w:bookmarkStart w:id="129" w:name="_Toc47423769"/>
      <w:bookmarkStart w:id="130" w:name="_Toc106731810"/>
      <w:bookmarkStart w:id="131" w:name="_Toc126664212"/>
      <w:r w:rsidRPr="00812059">
        <w:t>Subjective nature of assessments</w:t>
      </w:r>
      <w:bookmarkEnd w:id="127"/>
      <w:bookmarkEnd w:id="128"/>
      <w:bookmarkEnd w:id="129"/>
      <w:bookmarkEnd w:id="130"/>
      <w:bookmarkEnd w:id="131"/>
    </w:p>
    <w:p w14:paraId="4448FE8F" w14:textId="77777777" w:rsidR="00572F25" w:rsidRPr="00150C51" w:rsidRDefault="00572F25" w:rsidP="00572F25">
      <w:pPr>
        <w:spacing w:after="0"/>
        <w:rPr>
          <w:sz w:val="18"/>
        </w:rPr>
      </w:pPr>
      <w:r w:rsidRPr="00812059">
        <w:rPr>
          <w:rFonts w:cs="Arial"/>
        </w:rPr>
        <w:t xml:space="preserve">Individual auditors at each </w:t>
      </w:r>
      <w:r>
        <w:rPr>
          <w:rFonts w:cs="Arial"/>
        </w:rPr>
        <w:t>contributing</w:t>
      </w:r>
      <w:r w:rsidRPr="00812059">
        <w:rPr>
          <w:rFonts w:cs="Arial"/>
        </w:rPr>
        <w:t xml:space="preserve"> facility were responsible for assessing the compliance with guidelines and appropriateness of antimicrobial prescribing. These assessments are not completely objective, </w:t>
      </w:r>
      <w:r w:rsidRPr="00150C51">
        <w:rPr>
          <w:rFonts w:cs="Arial"/>
        </w:rPr>
        <w:t xml:space="preserve">as they involve some degree of interpretation, although the </w:t>
      </w:r>
      <w:r w:rsidRPr="00150C51">
        <w:t>Surgical NAPS appropriateness definitions</w:t>
      </w:r>
      <w:r>
        <w:t xml:space="preserve"> resource</w:t>
      </w:r>
      <w:r w:rsidRPr="00150C51">
        <w:rPr>
          <w:rFonts w:cs="Arial"/>
        </w:rPr>
        <w:t xml:space="preserve"> </w:t>
      </w:r>
      <w:r w:rsidRPr="00150C51">
        <w:t>(</w:t>
      </w:r>
      <w:hyperlink w:anchor="_Appendix_7:_Surgical" w:history="1">
        <w:r w:rsidRPr="00150C51">
          <w:rPr>
            <w:rStyle w:val="Hyperlink"/>
          </w:rPr>
          <w:t>Appendix 7</w:t>
        </w:r>
      </w:hyperlink>
      <w:r w:rsidRPr="00150C51">
        <w:rPr>
          <w:rFonts w:cs="Arial"/>
        </w:rPr>
        <w:t>) improves</w:t>
      </w:r>
      <w:r w:rsidRPr="00812059">
        <w:rPr>
          <w:rFonts w:cs="Arial"/>
        </w:rPr>
        <w:t xml:space="preserve"> this objectivity. </w:t>
      </w:r>
      <w:r>
        <w:rPr>
          <w:rFonts w:cs="Arial"/>
        </w:rPr>
        <w:t xml:space="preserve">This is further supplemented by the NAPS support team and online training resources. </w:t>
      </w:r>
      <w:r w:rsidRPr="00812059">
        <w:rPr>
          <w:rFonts w:cs="Arial"/>
        </w:rPr>
        <w:t xml:space="preserve">Remote expert assessments </w:t>
      </w:r>
      <w:r>
        <w:rPr>
          <w:rFonts w:cs="Arial"/>
        </w:rPr>
        <w:t>could</w:t>
      </w:r>
      <w:r w:rsidRPr="00812059">
        <w:rPr>
          <w:rFonts w:cs="Arial"/>
        </w:rPr>
        <w:t xml:space="preserve"> also be conducted by the NAPS support team on request.</w:t>
      </w:r>
    </w:p>
    <w:p w14:paraId="3F5A7E81" w14:textId="77777777" w:rsidR="00572F25" w:rsidRPr="00BA25CB" w:rsidRDefault="00572F25" w:rsidP="00572F25">
      <w:pPr>
        <w:pStyle w:val="Heading2"/>
        <w:ind w:left="576" w:hanging="576"/>
      </w:pPr>
      <w:bookmarkStart w:id="132" w:name="_Toc45292110"/>
      <w:bookmarkStart w:id="133" w:name="_Toc47422958"/>
      <w:bookmarkStart w:id="134" w:name="_Toc47423771"/>
      <w:bookmarkStart w:id="135" w:name="_Toc106731811"/>
      <w:bookmarkStart w:id="136" w:name="_Toc126664213"/>
      <w:r w:rsidRPr="00BA25CB">
        <w:t>Comparison of data over time</w:t>
      </w:r>
      <w:bookmarkEnd w:id="132"/>
      <w:bookmarkEnd w:id="133"/>
      <w:bookmarkEnd w:id="134"/>
      <w:bookmarkEnd w:id="135"/>
      <w:bookmarkEnd w:id="136"/>
    </w:p>
    <w:p w14:paraId="0DB3EA71" w14:textId="77777777" w:rsidR="00572F25" w:rsidRPr="00BA25CB" w:rsidRDefault="00572F25" w:rsidP="00572F25">
      <w:pPr>
        <w:rPr>
          <w:rFonts w:cs="Arial"/>
        </w:rPr>
      </w:pPr>
      <w:r w:rsidRPr="00BA25CB">
        <w:rPr>
          <w:rFonts w:cs="Arial"/>
        </w:rPr>
        <w:t>Care is required in relation to comparisons of Surgical NAPS data from one year to another, as the cohort of contributors varies from year to year, along with the proportions of surgical procedure groups represented.</w:t>
      </w:r>
      <w:r w:rsidRPr="00BA25CB">
        <w:t xml:space="preserve"> </w:t>
      </w:r>
    </w:p>
    <w:p w14:paraId="4A35A0C8" w14:textId="77777777" w:rsidR="00572F25" w:rsidRPr="002A3F2F" w:rsidRDefault="00572F25" w:rsidP="00572F25">
      <w:pPr>
        <w:jc w:val="both"/>
        <w:rPr>
          <w:rFonts w:cs="Arial"/>
          <w:highlight w:val="cyan"/>
        </w:rPr>
      </w:pPr>
    </w:p>
    <w:p w14:paraId="0665E72F" w14:textId="77777777" w:rsidR="00572F25" w:rsidRPr="00E62A56" w:rsidRDefault="00572F25" w:rsidP="00572F25">
      <w:pPr>
        <w:pStyle w:val="Heading1"/>
      </w:pPr>
      <w:bookmarkStart w:id="137" w:name="_Proposed_future_improvements"/>
      <w:bookmarkEnd w:id="137"/>
      <w:r w:rsidRPr="002A3F2F">
        <w:rPr>
          <w:highlight w:val="cyan"/>
        </w:rPr>
        <w:br w:type="page"/>
      </w:r>
      <w:bookmarkStart w:id="138" w:name="_Toc126664214"/>
      <w:r>
        <w:lastRenderedPageBreak/>
        <w:t xml:space="preserve">Appendix 2: </w:t>
      </w:r>
      <w:r w:rsidRPr="00D81D0E">
        <w:t>Supplementary data</w:t>
      </w:r>
      <w:bookmarkEnd w:id="138"/>
      <w:r w:rsidRPr="00E62A56">
        <w:t xml:space="preserve"> </w:t>
      </w:r>
    </w:p>
    <w:p w14:paraId="0E62B757" w14:textId="77777777" w:rsidR="00572F25" w:rsidRPr="00D81D0E" w:rsidRDefault="00572F25" w:rsidP="00572F25">
      <w:pPr>
        <w:pStyle w:val="Captions"/>
      </w:pPr>
      <w:r w:rsidRPr="00D81D0E">
        <w:t>Table A</w:t>
      </w:r>
      <w:r>
        <w:t>2</w:t>
      </w:r>
      <w:r w:rsidRPr="00D81D0E">
        <w:t>.1:</w:t>
      </w:r>
      <w:r w:rsidRPr="00D81D0E">
        <w:tab/>
        <w:t xml:space="preserve">Number and percentage of </w:t>
      </w:r>
      <w:r>
        <w:t>contributing</w:t>
      </w:r>
      <w:r w:rsidRPr="00D81D0E">
        <w:t xml:space="preserve"> public and private facilities by remoteness classification*, </w:t>
      </w:r>
      <w:r w:rsidRPr="00D81D0E">
        <w:rPr>
          <w:rFonts w:cs="Arial"/>
        </w:rPr>
        <w:t xml:space="preserve">Surgical </w:t>
      </w:r>
      <w:r>
        <w:rPr>
          <w:rFonts w:cs="Arial"/>
        </w:rPr>
        <w:t>NAPS</w:t>
      </w:r>
      <w:r w:rsidRPr="00D81D0E">
        <w:t xml:space="preserve"> 20</w:t>
      </w:r>
      <w:r>
        <w:t>21</w:t>
      </w:r>
    </w:p>
    <w:tbl>
      <w:tblPr>
        <w:tblW w:w="9330" w:type="dxa"/>
        <w:tblLook w:val="04A0" w:firstRow="1" w:lastRow="0" w:firstColumn="1" w:lastColumn="0" w:noHBand="0" w:noVBand="1"/>
      </w:tblPr>
      <w:tblGrid>
        <w:gridCol w:w="2500"/>
        <w:gridCol w:w="960"/>
        <w:gridCol w:w="960"/>
        <w:gridCol w:w="960"/>
        <w:gridCol w:w="1250"/>
        <w:gridCol w:w="1350"/>
        <w:gridCol w:w="1350"/>
      </w:tblGrid>
      <w:tr w:rsidR="00572F25" w:rsidRPr="00EB083D" w14:paraId="1343F362" w14:textId="77777777" w:rsidTr="00140544">
        <w:trPr>
          <w:trHeight w:val="1404"/>
        </w:trPr>
        <w:tc>
          <w:tcPr>
            <w:tcW w:w="2500" w:type="dxa"/>
            <w:vMerge w:val="restart"/>
            <w:tcBorders>
              <w:top w:val="single" w:sz="8" w:space="0" w:color="ADD4D1"/>
              <w:left w:val="nil"/>
              <w:bottom w:val="nil"/>
              <w:right w:val="nil"/>
            </w:tcBorders>
            <w:shd w:val="clear" w:color="000000" w:fill="2C5A6C"/>
            <w:noWrap/>
            <w:vAlign w:val="center"/>
            <w:hideMark/>
          </w:tcPr>
          <w:p w14:paraId="7C204018" w14:textId="77777777" w:rsidR="00572F25" w:rsidRPr="00EB083D" w:rsidRDefault="00572F25" w:rsidP="00140544">
            <w:pPr>
              <w:spacing w:after="0"/>
              <w:rPr>
                <w:rFonts w:cs="Arial"/>
                <w:color w:val="FFFFFF"/>
                <w:sz w:val="20"/>
                <w:szCs w:val="20"/>
              </w:rPr>
            </w:pPr>
            <w:r w:rsidRPr="00EB083D">
              <w:rPr>
                <w:rFonts w:cs="Arial"/>
                <w:color w:val="FFFFFF"/>
                <w:sz w:val="20"/>
                <w:szCs w:val="20"/>
              </w:rPr>
              <w:t>Remoteness classification</w:t>
            </w:r>
          </w:p>
        </w:tc>
        <w:tc>
          <w:tcPr>
            <w:tcW w:w="960" w:type="dxa"/>
            <w:tcBorders>
              <w:top w:val="single" w:sz="8" w:space="0" w:color="ADD4D1"/>
              <w:left w:val="nil"/>
              <w:bottom w:val="nil"/>
              <w:right w:val="nil"/>
            </w:tcBorders>
            <w:shd w:val="clear" w:color="000000" w:fill="2C5A6C"/>
            <w:vAlign w:val="center"/>
            <w:hideMark/>
          </w:tcPr>
          <w:p w14:paraId="7C47E176" w14:textId="77777777" w:rsidR="00572F25" w:rsidRPr="00EB083D" w:rsidRDefault="00572F25" w:rsidP="00140544">
            <w:pPr>
              <w:spacing w:after="0"/>
              <w:jc w:val="center"/>
              <w:rPr>
                <w:rFonts w:cs="Arial"/>
                <w:color w:val="FFFFFF"/>
                <w:sz w:val="20"/>
                <w:szCs w:val="20"/>
              </w:rPr>
            </w:pPr>
            <w:r w:rsidRPr="00EB083D">
              <w:rPr>
                <w:rFonts w:cs="Arial"/>
                <w:color w:val="FFFFFF"/>
                <w:sz w:val="20"/>
                <w:szCs w:val="20"/>
              </w:rPr>
              <w:t>Public</w:t>
            </w:r>
          </w:p>
        </w:tc>
        <w:tc>
          <w:tcPr>
            <w:tcW w:w="960" w:type="dxa"/>
            <w:tcBorders>
              <w:top w:val="single" w:sz="8" w:space="0" w:color="ADD4D1"/>
              <w:left w:val="nil"/>
              <w:bottom w:val="nil"/>
              <w:right w:val="nil"/>
            </w:tcBorders>
            <w:shd w:val="clear" w:color="000000" w:fill="2C5A6C"/>
            <w:vAlign w:val="center"/>
            <w:hideMark/>
          </w:tcPr>
          <w:p w14:paraId="6CA158BC" w14:textId="77777777" w:rsidR="00572F25" w:rsidRPr="00EB083D" w:rsidRDefault="00572F25" w:rsidP="00140544">
            <w:pPr>
              <w:spacing w:after="0"/>
              <w:jc w:val="center"/>
              <w:rPr>
                <w:rFonts w:cs="Arial"/>
                <w:color w:val="FFFFFF"/>
                <w:sz w:val="20"/>
                <w:szCs w:val="20"/>
              </w:rPr>
            </w:pPr>
            <w:r w:rsidRPr="00EB083D">
              <w:rPr>
                <w:rFonts w:cs="Arial"/>
                <w:color w:val="FFFFFF"/>
                <w:sz w:val="20"/>
                <w:szCs w:val="20"/>
              </w:rPr>
              <w:t>Private</w:t>
            </w:r>
          </w:p>
        </w:tc>
        <w:tc>
          <w:tcPr>
            <w:tcW w:w="960" w:type="dxa"/>
            <w:tcBorders>
              <w:top w:val="single" w:sz="8" w:space="0" w:color="ADD4D1"/>
              <w:left w:val="nil"/>
              <w:bottom w:val="nil"/>
              <w:right w:val="nil"/>
            </w:tcBorders>
            <w:shd w:val="clear" w:color="000000" w:fill="2C5A6C"/>
            <w:vAlign w:val="center"/>
            <w:hideMark/>
          </w:tcPr>
          <w:p w14:paraId="04D621A8" w14:textId="77777777" w:rsidR="00572F25" w:rsidRPr="00EB083D" w:rsidRDefault="00572F25" w:rsidP="00140544">
            <w:pPr>
              <w:spacing w:after="0"/>
              <w:jc w:val="center"/>
              <w:rPr>
                <w:rFonts w:cs="Arial"/>
                <w:color w:val="FFFFFF"/>
                <w:sz w:val="20"/>
                <w:szCs w:val="20"/>
              </w:rPr>
            </w:pPr>
            <w:r w:rsidRPr="00EB083D">
              <w:rPr>
                <w:rFonts w:cs="Arial"/>
                <w:color w:val="FFFFFF"/>
                <w:sz w:val="20"/>
                <w:szCs w:val="20"/>
              </w:rPr>
              <w:t>Total</w:t>
            </w:r>
          </w:p>
        </w:tc>
        <w:tc>
          <w:tcPr>
            <w:tcW w:w="1250" w:type="dxa"/>
            <w:tcBorders>
              <w:top w:val="single" w:sz="8" w:space="0" w:color="ADD4D1"/>
              <w:left w:val="nil"/>
              <w:bottom w:val="nil"/>
              <w:right w:val="nil"/>
            </w:tcBorders>
            <w:shd w:val="clear" w:color="000000" w:fill="2C5A6C"/>
            <w:vAlign w:val="center"/>
            <w:hideMark/>
          </w:tcPr>
          <w:p w14:paraId="25D5D92A" w14:textId="77777777" w:rsidR="00572F25" w:rsidRPr="00EB083D" w:rsidRDefault="00572F25" w:rsidP="00140544">
            <w:pPr>
              <w:spacing w:after="0"/>
              <w:jc w:val="center"/>
              <w:rPr>
                <w:rFonts w:cs="Arial"/>
                <w:color w:val="FFFFFF"/>
                <w:sz w:val="20"/>
                <w:szCs w:val="20"/>
              </w:rPr>
            </w:pPr>
            <w:r w:rsidRPr="00EB083D">
              <w:rPr>
                <w:rFonts w:cs="Arial"/>
                <w:color w:val="FFFFFF"/>
                <w:sz w:val="20"/>
                <w:szCs w:val="20"/>
              </w:rPr>
              <w:t>Percentage of contributing facilities</w:t>
            </w:r>
          </w:p>
        </w:tc>
        <w:tc>
          <w:tcPr>
            <w:tcW w:w="1350" w:type="dxa"/>
            <w:tcBorders>
              <w:top w:val="single" w:sz="8" w:space="0" w:color="ADD4D1"/>
              <w:left w:val="nil"/>
              <w:bottom w:val="nil"/>
              <w:right w:val="nil"/>
            </w:tcBorders>
            <w:shd w:val="clear" w:color="000000" w:fill="2C5A6C"/>
            <w:vAlign w:val="center"/>
            <w:hideMark/>
          </w:tcPr>
          <w:p w14:paraId="17F8DD67" w14:textId="77777777" w:rsidR="00572F25" w:rsidRPr="00EB083D" w:rsidRDefault="00572F25" w:rsidP="00140544">
            <w:pPr>
              <w:spacing w:after="0"/>
              <w:jc w:val="center"/>
              <w:rPr>
                <w:rFonts w:cs="Arial"/>
                <w:color w:val="FFFFFF"/>
                <w:sz w:val="20"/>
                <w:szCs w:val="20"/>
              </w:rPr>
            </w:pPr>
            <w:r w:rsidRPr="00EB083D">
              <w:rPr>
                <w:rFonts w:cs="Arial"/>
                <w:color w:val="FFFFFF"/>
                <w:sz w:val="20"/>
                <w:szCs w:val="20"/>
              </w:rPr>
              <w:t>Number in remoteness classification group</w:t>
            </w:r>
          </w:p>
        </w:tc>
        <w:tc>
          <w:tcPr>
            <w:tcW w:w="1350" w:type="dxa"/>
            <w:tcBorders>
              <w:top w:val="single" w:sz="8" w:space="0" w:color="ADD4D1"/>
              <w:left w:val="nil"/>
              <w:bottom w:val="nil"/>
              <w:right w:val="nil"/>
            </w:tcBorders>
            <w:shd w:val="clear" w:color="000000" w:fill="2C5A6C"/>
            <w:vAlign w:val="center"/>
            <w:hideMark/>
          </w:tcPr>
          <w:p w14:paraId="41527449" w14:textId="77777777" w:rsidR="00572F25" w:rsidRPr="00EB083D" w:rsidRDefault="00572F25" w:rsidP="00140544">
            <w:pPr>
              <w:spacing w:after="0"/>
              <w:jc w:val="center"/>
              <w:rPr>
                <w:rFonts w:cs="Arial"/>
                <w:color w:val="FFFFFF"/>
                <w:sz w:val="20"/>
                <w:szCs w:val="20"/>
              </w:rPr>
            </w:pPr>
            <w:r w:rsidRPr="00EB083D">
              <w:rPr>
                <w:rFonts w:cs="Arial"/>
                <w:color w:val="FFFFFF"/>
                <w:sz w:val="20"/>
                <w:szCs w:val="20"/>
              </w:rPr>
              <w:t>Percentage of remoteness classification group</w:t>
            </w:r>
          </w:p>
        </w:tc>
      </w:tr>
      <w:tr w:rsidR="00572F25" w:rsidRPr="00EB083D" w14:paraId="45C61125" w14:textId="77777777" w:rsidTr="00140544">
        <w:trPr>
          <w:trHeight w:val="291"/>
        </w:trPr>
        <w:tc>
          <w:tcPr>
            <w:tcW w:w="2500" w:type="dxa"/>
            <w:vMerge/>
            <w:tcBorders>
              <w:top w:val="single" w:sz="8" w:space="0" w:color="ADD4D1"/>
              <w:left w:val="nil"/>
              <w:bottom w:val="nil"/>
              <w:right w:val="nil"/>
            </w:tcBorders>
            <w:vAlign w:val="center"/>
            <w:hideMark/>
          </w:tcPr>
          <w:p w14:paraId="30DCA86E" w14:textId="77777777" w:rsidR="00572F25" w:rsidRPr="00EB083D" w:rsidRDefault="00572F25" w:rsidP="00140544">
            <w:pPr>
              <w:spacing w:after="0"/>
              <w:rPr>
                <w:rFonts w:cs="Arial"/>
                <w:color w:val="FFFFFF"/>
                <w:sz w:val="20"/>
                <w:szCs w:val="20"/>
              </w:rPr>
            </w:pPr>
          </w:p>
        </w:tc>
        <w:tc>
          <w:tcPr>
            <w:tcW w:w="960" w:type="dxa"/>
            <w:tcBorders>
              <w:top w:val="nil"/>
              <w:left w:val="nil"/>
              <w:bottom w:val="nil"/>
              <w:right w:val="nil"/>
            </w:tcBorders>
            <w:shd w:val="clear" w:color="000000" w:fill="2C5A6C"/>
            <w:vAlign w:val="center"/>
            <w:hideMark/>
          </w:tcPr>
          <w:p w14:paraId="1C3655C9" w14:textId="77777777" w:rsidR="00572F25" w:rsidRPr="00EB083D" w:rsidRDefault="00572F25" w:rsidP="00140544">
            <w:pPr>
              <w:spacing w:after="0"/>
              <w:jc w:val="center"/>
              <w:rPr>
                <w:rFonts w:cs="Arial"/>
                <w:color w:val="FFFFFF"/>
                <w:sz w:val="20"/>
                <w:szCs w:val="20"/>
              </w:rPr>
            </w:pPr>
            <w:r w:rsidRPr="00EB083D">
              <w:rPr>
                <w:rFonts w:cs="Arial"/>
                <w:color w:val="FFFFFF"/>
                <w:sz w:val="20"/>
                <w:szCs w:val="20"/>
              </w:rPr>
              <w:t>(n)</w:t>
            </w:r>
          </w:p>
        </w:tc>
        <w:tc>
          <w:tcPr>
            <w:tcW w:w="960" w:type="dxa"/>
            <w:tcBorders>
              <w:top w:val="nil"/>
              <w:left w:val="nil"/>
              <w:bottom w:val="nil"/>
              <w:right w:val="nil"/>
            </w:tcBorders>
            <w:shd w:val="clear" w:color="000000" w:fill="2C5A6C"/>
            <w:vAlign w:val="center"/>
            <w:hideMark/>
          </w:tcPr>
          <w:p w14:paraId="6B85C0FB" w14:textId="77777777" w:rsidR="00572F25" w:rsidRPr="00EB083D" w:rsidRDefault="00572F25" w:rsidP="00140544">
            <w:pPr>
              <w:spacing w:after="0"/>
              <w:jc w:val="center"/>
              <w:rPr>
                <w:rFonts w:cs="Arial"/>
                <w:color w:val="FFFFFF"/>
                <w:sz w:val="20"/>
                <w:szCs w:val="20"/>
              </w:rPr>
            </w:pPr>
            <w:r w:rsidRPr="00EB083D">
              <w:rPr>
                <w:rFonts w:cs="Arial"/>
                <w:color w:val="FFFFFF"/>
                <w:sz w:val="20"/>
                <w:szCs w:val="20"/>
              </w:rPr>
              <w:t>(n)</w:t>
            </w:r>
          </w:p>
        </w:tc>
        <w:tc>
          <w:tcPr>
            <w:tcW w:w="960" w:type="dxa"/>
            <w:tcBorders>
              <w:top w:val="nil"/>
              <w:left w:val="nil"/>
              <w:bottom w:val="nil"/>
              <w:right w:val="nil"/>
            </w:tcBorders>
            <w:shd w:val="clear" w:color="000000" w:fill="2C5A6C"/>
            <w:vAlign w:val="center"/>
            <w:hideMark/>
          </w:tcPr>
          <w:p w14:paraId="05494989" w14:textId="77777777" w:rsidR="00572F25" w:rsidRPr="00EB083D" w:rsidRDefault="00572F25" w:rsidP="00140544">
            <w:pPr>
              <w:spacing w:after="0"/>
              <w:jc w:val="center"/>
              <w:rPr>
                <w:rFonts w:cs="Arial"/>
                <w:color w:val="FFFFFF"/>
                <w:sz w:val="20"/>
                <w:szCs w:val="20"/>
              </w:rPr>
            </w:pPr>
            <w:r w:rsidRPr="00EB083D">
              <w:rPr>
                <w:rFonts w:cs="Arial"/>
                <w:color w:val="FFFFFF"/>
                <w:sz w:val="20"/>
                <w:szCs w:val="20"/>
              </w:rPr>
              <w:t>(n)</w:t>
            </w:r>
          </w:p>
        </w:tc>
        <w:tc>
          <w:tcPr>
            <w:tcW w:w="1250" w:type="dxa"/>
            <w:tcBorders>
              <w:top w:val="nil"/>
              <w:left w:val="nil"/>
              <w:bottom w:val="nil"/>
              <w:right w:val="nil"/>
            </w:tcBorders>
            <w:shd w:val="clear" w:color="000000" w:fill="2C5A6C"/>
            <w:vAlign w:val="center"/>
            <w:hideMark/>
          </w:tcPr>
          <w:p w14:paraId="6796B30E" w14:textId="77777777" w:rsidR="00572F25" w:rsidRPr="00EB083D" w:rsidRDefault="00572F25" w:rsidP="00140544">
            <w:pPr>
              <w:spacing w:after="0"/>
              <w:jc w:val="center"/>
              <w:rPr>
                <w:rFonts w:cs="Arial"/>
                <w:color w:val="FFFFFF"/>
                <w:sz w:val="20"/>
                <w:szCs w:val="20"/>
              </w:rPr>
            </w:pPr>
            <w:r w:rsidRPr="00EB083D">
              <w:rPr>
                <w:rFonts w:cs="Arial"/>
                <w:color w:val="FFFFFF"/>
                <w:sz w:val="20"/>
                <w:szCs w:val="20"/>
              </w:rPr>
              <w:t>(%)</w:t>
            </w:r>
          </w:p>
        </w:tc>
        <w:tc>
          <w:tcPr>
            <w:tcW w:w="1350" w:type="dxa"/>
            <w:tcBorders>
              <w:top w:val="nil"/>
              <w:left w:val="nil"/>
              <w:bottom w:val="nil"/>
              <w:right w:val="nil"/>
            </w:tcBorders>
            <w:shd w:val="clear" w:color="000000" w:fill="2C5A6C"/>
            <w:vAlign w:val="center"/>
            <w:hideMark/>
          </w:tcPr>
          <w:p w14:paraId="1B601953" w14:textId="77777777" w:rsidR="00572F25" w:rsidRPr="00EB083D" w:rsidRDefault="00572F25" w:rsidP="00140544">
            <w:pPr>
              <w:spacing w:after="0"/>
              <w:jc w:val="center"/>
              <w:rPr>
                <w:rFonts w:cs="Arial"/>
                <w:color w:val="FFFFFF"/>
                <w:sz w:val="20"/>
                <w:szCs w:val="20"/>
              </w:rPr>
            </w:pPr>
            <w:r w:rsidRPr="00EB083D">
              <w:rPr>
                <w:rFonts w:cs="Arial"/>
                <w:color w:val="FFFFFF"/>
                <w:sz w:val="20"/>
                <w:szCs w:val="20"/>
              </w:rPr>
              <w:t>(n)</w:t>
            </w:r>
          </w:p>
        </w:tc>
        <w:tc>
          <w:tcPr>
            <w:tcW w:w="1350" w:type="dxa"/>
            <w:tcBorders>
              <w:top w:val="nil"/>
              <w:left w:val="nil"/>
              <w:bottom w:val="nil"/>
              <w:right w:val="nil"/>
            </w:tcBorders>
            <w:shd w:val="clear" w:color="000000" w:fill="2C5A6C"/>
            <w:vAlign w:val="center"/>
            <w:hideMark/>
          </w:tcPr>
          <w:p w14:paraId="50B83495" w14:textId="77777777" w:rsidR="00572F25" w:rsidRPr="00EB083D" w:rsidRDefault="00572F25" w:rsidP="00140544">
            <w:pPr>
              <w:spacing w:after="0"/>
              <w:jc w:val="center"/>
              <w:rPr>
                <w:rFonts w:cs="Arial"/>
                <w:color w:val="FFFFFF"/>
                <w:sz w:val="20"/>
                <w:szCs w:val="20"/>
              </w:rPr>
            </w:pPr>
            <w:r w:rsidRPr="00EB083D">
              <w:rPr>
                <w:rFonts w:cs="Arial"/>
                <w:color w:val="FFFFFF"/>
                <w:sz w:val="20"/>
                <w:szCs w:val="20"/>
              </w:rPr>
              <w:t>(%)</w:t>
            </w:r>
          </w:p>
        </w:tc>
      </w:tr>
      <w:tr w:rsidR="00572F25" w:rsidRPr="00EB083D" w14:paraId="1848BB62" w14:textId="77777777" w:rsidTr="00140544">
        <w:trPr>
          <w:trHeight w:val="300"/>
        </w:trPr>
        <w:tc>
          <w:tcPr>
            <w:tcW w:w="2500" w:type="dxa"/>
            <w:tcBorders>
              <w:top w:val="nil"/>
              <w:left w:val="nil"/>
              <w:bottom w:val="nil"/>
              <w:right w:val="nil"/>
            </w:tcBorders>
            <w:shd w:val="clear" w:color="auto" w:fill="auto"/>
            <w:noWrap/>
            <w:vAlign w:val="center"/>
            <w:hideMark/>
          </w:tcPr>
          <w:p w14:paraId="5A8C8A30" w14:textId="77777777" w:rsidR="00572F25" w:rsidRPr="00EB083D" w:rsidRDefault="00572F25" w:rsidP="00140544">
            <w:pPr>
              <w:spacing w:after="0"/>
              <w:rPr>
                <w:rFonts w:cs="Arial"/>
                <w:color w:val="000000"/>
                <w:sz w:val="18"/>
                <w:szCs w:val="18"/>
              </w:rPr>
            </w:pPr>
            <w:r w:rsidRPr="00EB083D">
              <w:rPr>
                <w:rFonts w:cstheme="minorHAnsi"/>
                <w:color w:val="000000"/>
                <w:sz w:val="18"/>
                <w:szCs w:val="18"/>
              </w:rPr>
              <w:t>Major cities</w:t>
            </w:r>
          </w:p>
        </w:tc>
        <w:tc>
          <w:tcPr>
            <w:tcW w:w="960" w:type="dxa"/>
            <w:tcBorders>
              <w:top w:val="nil"/>
              <w:left w:val="nil"/>
              <w:bottom w:val="nil"/>
              <w:right w:val="nil"/>
            </w:tcBorders>
            <w:shd w:val="clear" w:color="auto" w:fill="auto"/>
            <w:noWrap/>
            <w:vAlign w:val="bottom"/>
            <w:hideMark/>
          </w:tcPr>
          <w:p w14:paraId="5C9E33CB" w14:textId="77777777" w:rsidR="00572F25" w:rsidRPr="003B6B00" w:rsidRDefault="00572F25" w:rsidP="00140544">
            <w:pPr>
              <w:spacing w:after="0"/>
              <w:jc w:val="center"/>
              <w:rPr>
                <w:rFonts w:cs="Arial"/>
                <w:color w:val="000000"/>
                <w:sz w:val="18"/>
                <w:szCs w:val="18"/>
              </w:rPr>
            </w:pPr>
            <w:r w:rsidRPr="003B6B00">
              <w:rPr>
                <w:rFonts w:cs="Arial"/>
                <w:color w:val="000000"/>
                <w:sz w:val="18"/>
                <w:szCs w:val="18"/>
              </w:rPr>
              <w:t>36</w:t>
            </w:r>
          </w:p>
        </w:tc>
        <w:tc>
          <w:tcPr>
            <w:tcW w:w="960" w:type="dxa"/>
            <w:tcBorders>
              <w:top w:val="nil"/>
              <w:left w:val="nil"/>
              <w:bottom w:val="nil"/>
              <w:right w:val="nil"/>
            </w:tcBorders>
            <w:shd w:val="clear" w:color="auto" w:fill="auto"/>
            <w:noWrap/>
            <w:vAlign w:val="bottom"/>
            <w:hideMark/>
          </w:tcPr>
          <w:p w14:paraId="3C35E337" w14:textId="77777777" w:rsidR="00572F25" w:rsidRPr="003B6B00" w:rsidRDefault="00572F25" w:rsidP="00140544">
            <w:pPr>
              <w:spacing w:after="0"/>
              <w:jc w:val="center"/>
              <w:rPr>
                <w:rFonts w:cs="Arial"/>
                <w:color w:val="000000"/>
                <w:sz w:val="18"/>
                <w:szCs w:val="18"/>
              </w:rPr>
            </w:pPr>
            <w:r w:rsidRPr="003B6B00">
              <w:rPr>
                <w:rFonts w:cs="Arial"/>
                <w:color w:val="000000"/>
                <w:sz w:val="18"/>
                <w:szCs w:val="18"/>
              </w:rPr>
              <w:t>71</w:t>
            </w:r>
          </w:p>
        </w:tc>
        <w:tc>
          <w:tcPr>
            <w:tcW w:w="960" w:type="dxa"/>
            <w:tcBorders>
              <w:top w:val="nil"/>
              <w:left w:val="nil"/>
              <w:bottom w:val="nil"/>
              <w:right w:val="nil"/>
            </w:tcBorders>
            <w:shd w:val="clear" w:color="auto" w:fill="auto"/>
            <w:noWrap/>
            <w:vAlign w:val="bottom"/>
            <w:hideMark/>
          </w:tcPr>
          <w:p w14:paraId="7A5A811B" w14:textId="77777777" w:rsidR="00572F25" w:rsidRPr="003B6B00" w:rsidRDefault="00572F25" w:rsidP="00140544">
            <w:pPr>
              <w:spacing w:after="0"/>
              <w:jc w:val="center"/>
              <w:rPr>
                <w:rFonts w:cs="Arial"/>
                <w:color w:val="000000"/>
                <w:sz w:val="18"/>
                <w:szCs w:val="18"/>
              </w:rPr>
            </w:pPr>
            <w:r w:rsidRPr="003B6B00">
              <w:rPr>
                <w:rFonts w:cs="Arial"/>
                <w:color w:val="000000"/>
                <w:sz w:val="18"/>
                <w:szCs w:val="18"/>
              </w:rPr>
              <w:t>107</w:t>
            </w:r>
          </w:p>
        </w:tc>
        <w:tc>
          <w:tcPr>
            <w:tcW w:w="1250" w:type="dxa"/>
            <w:tcBorders>
              <w:top w:val="nil"/>
              <w:left w:val="nil"/>
              <w:bottom w:val="nil"/>
              <w:right w:val="nil"/>
            </w:tcBorders>
            <w:shd w:val="clear" w:color="auto" w:fill="auto"/>
            <w:noWrap/>
            <w:vAlign w:val="bottom"/>
            <w:hideMark/>
          </w:tcPr>
          <w:p w14:paraId="7D17D7A0" w14:textId="77777777" w:rsidR="00572F25" w:rsidRPr="003B6B00" w:rsidRDefault="00572F25" w:rsidP="00140544">
            <w:pPr>
              <w:spacing w:after="0"/>
              <w:jc w:val="center"/>
              <w:rPr>
                <w:rFonts w:cs="Arial"/>
                <w:color w:val="000000"/>
                <w:sz w:val="18"/>
                <w:szCs w:val="18"/>
              </w:rPr>
            </w:pPr>
            <w:r w:rsidRPr="003B6B00">
              <w:rPr>
                <w:rFonts w:cs="Arial"/>
                <w:color w:val="000000"/>
                <w:sz w:val="18"/>
                <w:szCs w:val="18"/>
              </w:rPr>
              <w:t>59.1</w:t>
            </w:r>
          </w:p>
        </w:tc>
        <w:tc>
          <w:tcPr>
            <w:tcW w:w="1350" w:type="dxa"/>
            <w:tcBorders>
              <w:top w:val="nil"/>
              <w:left w:val="nil"/>
              <w:bottom w:val="nil"/>
              <w:right w:val="nil"/>
            </w:tcBorders>
            <w:shd w:val="clear" w:color="auto" w:fill="auto"/>
            <w:vAlign w:val="center"/>
            <w:hideMark/>
          </w:tcPr>
          <w:p w14:paraId="16B807D8" w14:textId="77777777" w:rsidR="00572F25" w:rsidRPr="00EB083D" w:rsidRDefault="00572F25" w:rsidP="00140544">
            <w:pPr>
              <w:spacing w:after="0"/>
              <w:jc w:val="center"/>
              <w:rPr>
                <w:rFonts w:cs="Arial"/>
                <w:color w:val="000000"/>
                <w:sz w:val="18"/>
                <w:szCs w:val="18"/>
              </w:rPr>
            </w:pPr>
            <w:r w:rsidRPr="00473BE9">
              <w:rPr>
                <w:rFonts w:cs="Arial"/>
                <w:color w:val="000000"/>
                <w:sz w:val="18"/>
                <w:szCs w:val="18"/>
              </w:rPr>
              <w:t>417</w:t>
            </w:r>
          </w:p>
        </w:tc>
        <w:tc>
          <w:tcPr>
            <w:tcW w:w="1350" w:type="dxa"/>
            <w:tcBorders>
              <w:top w:val="nil"/>
              <w:left w:val="nil"/>
              <w:bottom w:val="nil"/>
              <w:right w:val="nil"/>
            </w:tcBorders>
            <w:shd w:val="clear" w:color="auto" w:fill="auto"/>
            <w:vAlign w:val="center"/>
            <w:hideMark/>
          </w:tcPr>
          <w:p w14:paraId="2D11A08B" w14:textId="77777777" w:rsidR="00572F25" w:rsidRPr="00EB083D" w:rsidRDefault="00572F25" w:rsidP="00140544">
            <w:pPr>
              <w:spacing w:after="0"/>
              <w:jc w:val="center"/>
              <w:rPr>
                <w:rFonts w:cs="Arial"/>
                <w:color w:val="000000"/>
                <w:sz w:val="18"/>
                <w:szCs w:val="18"/>
              </w:rPr>
            </w:pPr>
            <w:r w:rsidRPr="00EB083D">
              <w:rPr>
                <w:rFonts w:cs="Arial"/>
                <w:color w:val="000000"/>
                <w:sz w:val="18"/>
                <w:szCs w:val="18"/>
              </w:rPr>
              <w:t>25.7</w:t>
            </w:r>
          </w:p>
        </w:tc>
      </w:tr>
      <w:tr w:rsidR="00572F25" w:rsidRPr="00EB083D" w14:paraId="3403FDA9" w14:textId="77777777" w:rsidTr="00140544">
        <w:trPr>
          <w:trHeight w:val="300"/>
        </w:trPr>
        <w:tc>
          <w:tcPr>
            <w:tcW w:w="2500" w:type="dxa"/>
            <w:tcBorders>
              <w:top w:val="nil"/>
              <w:left w:val="nil"/>
              <w:bottom w:val="nil"/>
              <w:right w:val="nil"/>
            </w:tcBorders>
            <w:shd w:val="clear" w:color="auto" w:fill="F1F1F2"/>
            <w:noWrap/>
            <w:vAlign w:val="center"/>
            <w:hideMark/>
          </w:tcPr>
          <w:p w14:paraId="39494BA2" w14:textId="77777777" w:rsidR="00572F25" w:rsidRPr="00EB083D" w:rsidRDefault="00572F25" w:rsidP="00140544">
            <w:pPr>
              <w:spacing w:after="0"/>
              <w:rPr>
                <w:rFonts w:cs="Arial"/>
                <w:color w:val="000000"/>
                <w:sz w:val="18"/>
                <w:szCs w:val="18"/>
              </w:rPr>
            </w:pPr>
            <w:r w:rsidRPr="00EB083D">
              <w:rPr>
                <w:rFonts w:cstheme="minorHAnsi"/>
                <w:color w:val="000000"/>
                <w:sz w:val="18"/>
                <w:szCs w:val="18"/>
              </w:rPr>
              <w:t>Inner regional</w:t>
            </w:r>
          </w:p>
        </w:tc>
        <w:tc>
          <w:tcPr>
            <w:tcW w:w="960" w:type="dxa"/>
            <w:tcBorders>
              <w:top w:val="nil"/>
              <w:left w:val="nil"/>
              <w:bottom w:val="nil"/>
              <w:right w:val="nil"/>
            </w:tcBorders>
            <w:shd w:val="clear" w:color="auto" w:fill="F1F1F2"/>
            <w:noWrap/>
            <w:vAlign w:val="bottom"/>
            <w:hideMark/>
          </w:tcPr>
          <w:p w14:paraId="4BE7660F" w14:textId="77777777" w:rsidR="00572F25" w:rsidRPr="003B6B00" w:rsidRDefault="00572F25" w:rsidP="00140544">
            <w:pPr>
              <w:spacing w:after="0"/>
              <w:jc w:val="center"/>
              <w:rPr>
                <w:rFonts w:cs="Arial"/>
                <w:color w:val="000000"/>
                <w:sz w:val="18"/>
                <w:szCs w:val="18"/>
              </w:rPr>
            </w:pPr>
            <w:r w:rsidRPr="003B6B00">
              <w:rPr>
                <w:rFonts w:cs="Arial"/>
                <w:color w:val="000000"/>
                <w:sz w:val="18"/>
                <w:szCs w:val="18"/>
              </w:rPr>
              <w:t>32</w:t>
            </w:r>
          </w:p>
        </w:tc>
        <w:tc>
          <w:tcPr>
            <w:tcW w:w="960" w:type="dxa"/>
            <w:tcBorders>
              <w:top w:val="nil"/>
              <w:left w:val="nil"/>
              <w:bottom w:val="nil"/>
              <w:right w:val="nil"/>
            </w:tcBorders>
            <w:shd w:val="clear" w:color="auto" w:fill="F1F1F2"/>
            <w:noWrap/>
            <w:vAlign w:val="bottom"/>
            <w:hideMark/>
          </w:tcPr>
          <w:p w14:paraId="07432FFC" w14:textId="77777777" w:rsidR="00572F25" w:rsidRPr="003B6B00" w:rsidRDefault="00572F25" w:rsidP="00140544">
            <w:pPr>
              <w:spacing w:after="0"/>
              <w:jc w:val="center"/>
              <w:rPr>
                <w:rFonts w:cs="Arial"/>
                <w:color w:val="000000"/>
                <w:sz w:val="18"/>
                <w:szCs w:val="18"/>
              </w:rPr>
            </w:pPr>
            <w:r w:rsidRPr="003B6B00">
              <w:rPr>
                <w:rFonts w:cs="Arial"/>
                <w:color w:val="000000"/>
                <w:sz w:val="18"/>
                <w:szCs w:val="18"/>
              </w:rPr>
              <w:t>15</w:t>
            </w:r>
          </w:p>
        </w:tc>
        <w:tc>
          <w:tcPr>
            <w:tcW w:w="960" w:type="dxa"/>
            <w:tcBorders>
              <w:top w:val="nil"/>
              <w:left w:val="nil"/>
              <w:bottom w:val="nil"/>
              <w:right w:val="nil"/>
            </w:tcBorders>
            <w:shd w:val="clear" w:color="auto" w:fill="F1F1F2"/>
            <w:noWrap/>
            <w:vAlign w:val="bottom"/>
            <w:hideMark/>
          </w:tcPr>
          <w:p w14:paraId="3794848E" w14:textId="77777777" w:rsidR="00572F25" w:rsidRPr="003B6B00" w:rsidRDefault="00572F25" w:rsidP="00140544">
            <w:pPr>
              <w:spacing w:after="0"/>
              <w:jc w:val="center"/>
              <w:rPr>
                <w:rFonts w:cs="Arial"/>
                <w:color w:val="000000"/>
                <w:sz w:val="18"/>
                <w:szCs w:val="18"/>
              </w:rPr>
            </w:pPr>
            <w:r w:rsidRPr="003B6B00">
              <w:rPr>
                <w:rFonts w:cs="Arial"/>
                <w:color w:val="000000"/>
                <w:sz w:val="18"/>
                <w:szCs w:val="18"/>
              </w:rPr>
              <w:t>47</w:t>
            </w:r>
          </w:p>
        </w:tc>
        <w:tc>
          <w:tcPr>
            <w:tcW w:w="1250" w:type="dxa"/>
            <w:tcBorders>
              <w:top w:val="nil"/>
              <w:left w:val="nil"/>
              <w:bottom w:val="nil"/>
              <w:right w:val="nil"/>
            </w:tcBorders>
            <w:shd w:val="clear" w:color="auto" w:fill="F1F1F2"/>
            <w:noWrap/>
            <w:vAlign w:val="bottom"/>
            <w:hideMark/>
          </w:tcPr>
          <w:p w14:paraId="57AE034B" w14:textId="77777777" w:rsidR="00572F25" w:rsidRPr="003B6B00" w:rsidRDefault="00572F25" w:rsidP="00140544">
            <w:pPr>
              <w:spacing w:after="0"/>
              <w:jc w:val="center"/>
              <w:rPr>
                <w:rFonts w:cs="Arial"/>
                <w:color w:val="000000"/>
                <w:sz w:val="18"/>
                <w:szCs w:val="18"/>
              </w:rPr>
            </w:pPr>
            <w:r w:rsidRPr="003B6B00">
              <w:rPr>
                <w:rFonts w:cs="Arial"/>
                <w:color w:val="000000"/>
                <w:sz w:val="18"/>
                <w:szCs w:val="18"/>
              </w:rPr>
              <w:t>26.0</w:t>
            </w:r>
          </w:p>
        </w:tc>
        <w:tc>
          <w:tcPr>
            <w:tcW w:w="1350" w:type="dxa"/>
            <w:tcBorders>
              <w:top w:val="nil"/>
              <w:left w:val="nil"/>
              <w:bottom w:val="nil"/>
              <w:right w:val="nil"/>
            </w:tcBorders>
            <w:shd w:val="clear" w:color="auto" w:fill="F1F1F2"/>
            <w:vAlign w:val="center"/>
            <w:hideMark/>
          </w:tcPr>
          <w:p w14:paraId="49C12791" w14:textId="77777777" w:rsidR="00572F25" w:rsidRPr="00EB083D" w:rsidRDefault="00572F25" w:rsidP="00140544">
            <w:pPr>
              <w:spacing w:after="0"/>
              <w:jc w:val="center"/>
              <w:rPr>
                <w:rFonts w:cs="Arial"/>
                <w:color w:val="000000"/>
                <w:sz w:val="18"/>
                <w:szCs w:val="18"/>
              </w:rPr>
            </w:pPr>
            <w:r w:rsidRPr="00473BE9">
              <w:rPr>
                <w:rFonts w:cs="Arial"/>
                <w:color w:val="000000"/>
                <w:sz w:val="18"/>
                <w:szCs w:val="18"/>
              </w:rPr>
              <w:t>216</w:t>
            </w:r>
          </w:p>
        </w:tc>
        <w:tc>
          <w:tcPr>
            <w:tcW w:w="1350" w:type="dxa"/>
            <w:tcBorders>
              <w:top w:val="nil"/>
              <w:left w:val="nil"/>
              <w:bottom w:val="nil"/>
              <w:right w:val="nil"/>
            </w:tcBorders>
            <w:shd w:val="clear" w:color="auto" w:fill="F1F1F2"/>
            <w:vAlign w:val="center"/>
            <w:hideMark/>
          </w:tcPr>
          <w:p w14:paraId="1217BEEB" w14:textId="77777777" w:rsidR="00572F25" w:rsidRPr="00EB083D" w:rsidRDefault="00572F25" w:rsidP="00140544">
            <w:pPr>
              <w:spacing w:after="0"/>
              <w:jc w:val="center"/>
              <w:rPr>
                <w:rFonts w:cs="Arial"/>
                <w:color w:val="000000"/>
                <w:sz w:val="18"/>
                <w:szCs w:val="18"/>
              </w:rPr>
            </w:pPr>
            <w:r w:rsidRPr="00EB083D">
              <w:rPr>
                <w:rFonts w:cs="Arial"/>
                <w:color w:val="000000"/>
                <w:sz w:val="18"/>
                <w:szCs w:val="18"/>
              </w:rPr>
              <w:t>21.8</w:t>
            </w:r>
          </w:p>
        </w:tc>
      </w:tr>
      <w:tr w:rsidR="00572F25" w:rsidRPr="00EB083D" w14:paraId="2E813E38" w14:textId="77777777" w:rsidTr="00140544">
        <w:trPr>
          <w:trHeight w:val="300"/>
        </w:trPr>
        <w:tc>
          <w:tcPr>
            <w:tcW w:w="2500" w:type="dxa"/>
            <w:tcBorders>
              <w:top w:val="nil"/>
              <w:left w:val="nil"/>
              <w:bottom w:val="nil"/>
              <w:right w:val="nil"/>
            </w:tcBorders>
            <w:shd w:val="clear" w:color="auto" w:fill="auto"/>
            <w:noWrap/>
            <w:vAlign w:val="center"/>
            <w:hideMark/>
          </w:tcPr>
          <w:p w14:paraId="18271064" w14:textId="77777777" w:rsidR="00572F25" w:rsidRPr="00EB083D" w:rsidRDefault="00572F25" w:rsidP="00140544">
            <w:pPr>
              <w:spacing w:after="0"/>
              <w:rPr>
                <w:rFonts w:cs="Arial"/>
                <w:color w:val="000000"/>
                <w:sz w:val="18"/>
                <w:szCs w:val="18"/>
              </w:rPr>
            </w:pPr>
            <w:r w:rsidRPr="00EB083D">
              <w:rPr>
                <w:rFonts w:cstheme="minorHAnsi"/>
                <w:color w:val="000000"/>
                <w:sz w:val="18"/>
                <w:szCs w:val="18"/>
              </w:rPr>
              <w:t>Outer regional</w:t>
            </w:r>
          </w:p>
        </w:tc>
        <w:tc>
          <w:tcPr>
            <w:tcW w:w="960" w:type="dxa"/>
            <w:tcBorders>
              <w:top w:val="nil"/>
              <w:left w:val="nil"/>
              <w:bottom w:val="nil"/>
              <w:right w:val="nil"/>
            </w:tcBorders>
            <w:shd w:val="clear" w:color="auto" w:fill="auto"/>
            <w:noWrap/>
            <w:vAlign w:val="bottom"/>
            <w:hideMark/>
          </w:tcPr>
          <w:p w14:paraId="2DAC978F" w14:textId="77777777" w:rsidR="00572F25" w:rsidRPr="003B6B00" w:rsidRDefault="00572F25" w:rsidP="00140544">
            <w:pPr>
              <w:spacing w:after="0"/>
              <w:jc w:val="center"/>
              <w:rPr>
                <w:rFonts w:cs="Arial"/>
                <w:color w:val="000000"/>
                <w:sz w:val="18"/>
                <w:szCs w:val="18"/>
              </w:rPr>
            </w:pPr>
            <w:r w:rsidRPr="003B6B00">
              <w:rPr>
                <w:rFonts w:cs="Arial"/>
                <w:color w:val="000000"/>
                <w:sz w:val="18"/>
                <w:szCs w:val="18"/>
              </w:rPr>
              <w:t>20</w:t>
            </w:r>
          </w:p>
        </w:tc>
        <w:tc>
          <w:tcPr>
            <w:tcW w:w="960" w:type="dxa"/>
            <w:tcBorders>
              <w:top w:val="nil"/>
              <w:left w:val="nil"/>
              <w:bottom w:val="nil"/>
              <w:right w:val="nil"/>
            </w:tcBorders>
            <w:shd w:val="clear" w:color="auto" w:fill="auto"/>
            <w:noWrap/>
            <w:vAlign w:val="bottom"/>
            <w:hideMark/>
          </w:tcPr>
          <w:p w14:paraId="513F0A83" w14:textId="77777777" w:rsidR="00572F25" w:rsidRPr="003B6B00" w:rsidRDefault="00572F25" w:rsidP="00140544">
            <w:pPr>
              <w:spacing w:after="0"/>
              <w:jc w:val="center"/>
              <w:rPr>
                <w:rFonts w:cs="Arial"/>
                <w:color w:val="000000"/>
                <w:sz w:val="18"/>
                <w:szCs w:val="18"/>
              </w:rPr>
            </w:pPr>
            <w:r w:rsidRPr="003B6B00">
              <w:rPr>
                <w:rFonts w:cs="Arial"/>
                <w:color w:val="000000"/>
                <w:sz w:val="18"/>
                <w:szCs w:val="18"/>
              </w:rPr>
              <w:t>4</w:t>
            </w:r>
          </w:p>
        </w:tc>
        <w:tc>
          <w:tcPr>
            <w:tcW w:w="960" w:type="dxa"/>
            <w:tcBorders>
              <w:top w:val="nil"/>
              <w:left w:val="nil"/>
              <w:bottom w:val="nil"/>
              <w:right w:val="nil"/>
            </w:tcBorders>
            <w:shd w:val="clear" w:color="auto" w:fill="auto"/>
            <w:noWrap/>
            <w:vAlign w:val="bottom"/>
            <w:hideMark/>
          </w:tcPr>
          <w:p w14:paraId="7A831AF4" w14:textId="77777777" w:rsidR="00572F25" w:rsidRPr="003B6B00" w:rsidRDefault="00572F25" w:rsidP="00140544">
            <w:pPr>
              <w:spacing w:after="0"/>
              <w:jc w:val="center"/>
              <w:rPr>
                <w:rFonts w:cs="Arial"/>
                <w:color w:val="000000"/>
                <w:sz w:val="18"/>
                <w:szCs w:val="18"/>
              </w:rPr>
            </w:pPr>
            <w:r w:rsidRPr="003B6B00">
              <w:rPr>
                <w:rFonts w:cs="Arial"/>
                <w:color w:val="000000"/>
                <w:sz w:val="18"/>
                <w:szCs w:val="18"/>
              </w:rPr>
              <w:t>24</w:t>
            </w:r>
          </w:p>
        </w:tc>
        <w:tc>
          <w:tcPr>
            <w:tcW w:w="1250" w:type="dxa"/>
            <w:tcBorders>
              <w:top w:val="nil"/>
              <w:left w:val="nil"/>
              <w:bottom w:val="nil"/>
              <w:right w:val="nil"/>
            </w:tcBorders>
            <w:shd w:val="clear" w:color="auto" w:fill="auto"/>
            <w:noWrap/>
            <w:vAlign w:val="bottom"/>
            <w:hideMark/>
          </w:tcPr>
          <w:p w14:paraId="12ADFAE7" w14:textId="77777777" w:rsidR="00572F25" w:rsidRPr="003B6B00" w:rsidRDefault="00572F25" w:rsidP="00140544">
            <w:pPr>
              <w:spacing w:after="0"/>
              <w:jc w:val="center"/>
              <w:rPr>
                <w:rFonts w:cs="Arial"/>
                <w:color w:val="000000"/>
                <w:sz w:val="18"/>
                <w:szCs w:val="18"/>
              </w:rPr>
            </w:pPr>
            <w:r w:rsidRPr="003B6B00">
              <w:rPr>
                <w:rFonts w:cs="Arial"/>
                <w:color w:val="000000"/>
                <w:sz w:val="18"/>
                <w:szCs w:val="18"/>
              </w:rPr>
              <w:t>13.3</w:t>
            </w:r>
          </w:p>
        </w:tc>
        <w:tc>
          <w:tcPr>
            <w:tcW w:w="1350" w:type="dxa"/>
            <w:tcBorders>
              <w:top w:val="nil"/>
              <w:left w:val="nil"/>
              <w:bottom w:val="nil"/>
              <w:right w:val="nil"/>
            </w:tcBorders>
            <w:shd w:val="clear" w:color="auto" w:fill="auto"/>
            <w:vAlign w:val="center"/>
            <w:hideMark/>
          </w:tcPr>
          <w:p w14:paraId="377F37ED" w14:textId="77777777" w:rsidR="00572F25" w:rsidRPr="00EB083D" w:rsidRDefault="00572F25" w:rsidP="00140544">
            <w:pPr>
              <w:spacing w:after="0"/>
              <w:jc w:val="center"/>
              <w:rPr>
                <w:rFonts w:cs="Arial"/>
                <w:color w:val="000000"/>
                <w:sz w:val="18"/>
                <w:szCs w:val="18"/>
              </w:rPr>
            </w:pPr>
            <w:r w:rsidRPr="00473BE9">
              <w:rPr>
                <w:rFonts w:cs="Arial"/>
                <w:color w:val="000000"/>
                <w:sz w:val="18"/>
                <w:szCs w:val="18"/>
              </w:rPr>
              <w:t>166</w:t>
            </w:r>
          </w:p>
        </w:tc>
        <w:tc>
          <w:tcPr>
            <w:tcW w:w="1350" w:type="dxa"/>
            <w:tcBorders>
              <w:top w:val="nil"/>
              <w:left w:val="nil"/>
              <w:bottom w:val="nil"/>
              <w:right w:val="nil"/>
            </w:tcBorders>
            <w:shd w:val="clear" w:color="auto" w:fill="auto"/>
            <w:vAlign w:val="center"/>
            <w:hideMark/>
          </w:tcPr>
          <w:p w14:paraId="269147EE" w14:textId="77777777" w:rsidR="00572F25" w:rsidRPr="00EB083D" w:rsidRDefault="00572F25" w:rsidP="00140544">
            <w:pPr>
              <w:spacing w:after="0"/>
              <w:jc w:val="center"/>
              <w:rPr>
                <w:rFonts w:cs="Arial"/>
                <w:color w:val="000000"/>
                <w:sz w:val="18"/>
                <w:szCs w:val="18"/>
              </w:rPr>
            </w:pPr>
            <w:r w:rsidRPr="00EB083D">
              <w:rPr>
                <w:rFonts w:cs="Arial"/>
                <w:color w:val="000000"/>
                <w:sz w:val="18"/>
                <w:szCs w:val="18"/>
              </w:rPr>
              <w:t>14.5</w:t>
            </w:r>
          </w:p>
        </w:tc>
      </w:tr>
      <w:tr w:rsidR="00572F25" w:rsidRPr="00EB083D" w14:paraId="56DBC5BA" w14:textId="77777777" w:rsidTr="00140544">
        <w:trPr>
          <w:trHeight w:val="300"/>
        </w:trPr>
        <w:tc>
          <w:tcPr>
            <w:tcW w:w="2500" w:type="dxa"/>
            <w:tcBorders>
              <w:top w:val="nil"/>
              <w:left w:val="nil"/>
              <w:bottom w:val="nil"/>
              <w:right w:val="nil"/>
            </w:tcBorders>
            <w:shd w:val="clear" w:color="auto" w:fill="F1F1F2"/>
            <w:noWrap/>
            <w:vAlign w:val="center"/>
            <w:hideMark/>
          </w:tcPr>
          <w:p w14:paraId="2F3CAC22" w14:textId="77777777" w:rsidR="00572F25" w:rsidRPr="00EB083D" w:rsidRDefault="00572F25" w:rsidP="00140544">
            <w:pPr>
              <w:spacing w:after="0"/>
              <w:rPr>
                <w:rFonts w:cs="Arial"/>
                <w:color w:val="000000"/>
                <w:sz w:val="18"/>
                <w:szCs w:val="18"/>
              </w:rPr>
            </w:pPr>
            <w:r w:rsidRPr="00EB083D">
              <w:rPr>
                <w:rFonts w:cstheme="minorHAnsi"/>
                <w:color w:val="000000"/>
                <w:sz w:val="18"/>
                <w:szCs w:val="18"/>
              </w:rPr>
              <w:t>Remote</w:t>
            </w:r>
          </w:p>
        </w:tc>
        <w:tc>
          <w:tcPr>
            <w:tcW w:w="960" w:type="dxa"/>
            <w:tcBorders>
              <w:top w:val="nil"/>
              <w:left w:val="nil"/>
              <w:bottom w:val="nil"/>
              <w:right w:val="nil"/>
            </w:tcBorders>
            <w:shd w:val="clear" w:color="auto" w:fill="F1F1F2"/>
            <w:noWrap/>
            <w:vAlign w:val="bottom"/>
            <w:hideMark/>
          </w:tcPr>
          <w:p w14:paraId="45A45A42" w14:textId="77777777" w:rsidR="00572F25" w:rsidRPr="003B6B00" w:rsidRDefault="00572F25" w:rsidP="00140544">
            <w:pPr>
              <w:spacing w:after="0"/>
              <w:jc w:val="center"/>
              <w:rPr>
                <w:rFonts w:cs="Arial"/>
                <w:color w:val="000000"/>
                <w:sz w:val="18"/>
                <w:szCs w:val="18"/>
              </w:rPr>
            </w:pPr>
            <w:r w:rsidRPr="003B6B00">
              <w:rPr>
                <w:rFonts w:cs="Arial"/>
                <w:color w:val="000000"/>
                <w:sz w:val="18"/>
                <w:szCs w:val="18"/>
              </w:rPr>
              <w:t>3</w:t>
            </w:r>
          </w:p>
        </w:tc>
        <w:tc>
          <w:tcPr>
            <w:tcW w:w="960" w:type="dxa"/>
            <w:tcBorders>
              <w:top w:val="nil"/>
              <w:left w:val="nil"/>
              <w:bottom w:val="nil"/>
              <w:right w:val="nil"/>
            </w:tcBorders>
            <w:shd w:val="clear" w:color="auto" w:fill="F1F1F2"/>
            <w:noWrap/>
            <w:vAlign w:val="bottom"/>
            <w:hideMark/>
          </w:tcPr>
          <w:p w14:paraId="4D2781DF" w14:textId="77777777" w:rsidR="00572F25" w:rsidRPr="003B6B00" w:rsidRDefault="00572F25" w:rsidP="00140544">
            <w:pPr>
              <w:spacing w:after="0"/>
              <w:jc w:val="center"/>
              <w:rPr>
                <w:rFonts w:cs="Arial"/>
                <w:color w:val="000000"/>
                <w:sz w:val="18"/>
                <w:szCs w:val="18"/>
              </w:rPr>
            </w:pPr>
            <w:r w:rsidRPr="00473BE9">
              <w:rPr>
                <w:rFonts w:cs="Arial"/>
                <w:color w:val="000000"/>
                <w:sz w:val="18"/>
                <w:szCs w:val="18"/>
              </w:rPr>
              <w:t>–</w:t>
            </w:r>
          </w:p>
        </w:tc>
        <w:tc>
          <w:tcPr>
            <w:tcW w:w="960" w:type="dxa"/>
            <w:tcBorders>
              <w:top w:val="nil"/>
              <w:left w:val="nil"/>
              <w:bottom w:val="nil"/>
              <w:right w:val="nil"/>
            </w:tcBorders>
            <w:shd w:val="clear" w:color="auto" w:fill="F1F1F2"/>
            <w:noWrap/>
            <w:vAlign w:val="bottom"/>
            <w:hideMark/>
          </w:tcPr>
          <w:p w14:paraId="7FAE376D" w14:textId="77777777" w:rsidR="00572F25" w:rsidRPr="003B6B00" w:rsidRDefault="00572F25" w:rsidP="00140544">
            <w:pPr>
              <w:spacing w:after="0"/>
              <w:jc w:val="center"/>
              <w:rPr>
                <w:rFonts w:cs="Arial"/>
                <w:color w:val="000000"/>
                <w:sz w:val="18"/>
                <w:szCs w:val="18"/>
              </w:rPr>
            </w:pPr>
            <w:r w:rsidRPr="003B6B00">
              <w:rPr>
                <w:rFonts w:cs="Arial"/>
                <w:color w:val="000000"/>
                <w:sz w:val="18"/>
                <w:szCs w:val="18"/>
              </w:rPr>
              <w:t>3</w:t>
            </w:r>
          </w:p>
        </w:tc>
        <w:tc>
          <w:tcPr>
            <w:tcW w:w="1250" w:type="dxa"/>
            <w:tcBorders>
              <w:top w:val="nil"/>
              <w:left w:val="nil"/>
              <w:bottom w:val="nil"/>
              <w:right w:val="nil"/>
            </w:tcBorders>
            <w:shd w:val="clear" w:color="auto" w:fill="F1F1F2"/>
            <w:noWrap/>
            <w:vAlign w:val="bottom"/>
            <w:hideMark/>
          </w:tcPr>
          <w:p w14:paraId="5991549F" w14:textId="77777777" w:rsidR="00572F25" w:rsidRPr="003B6B00" w:rsidRDefault="00572F25" w:rsidP="00140544">
            <w:pPr>
              <w:spacing w:after="0"/>
              <w:jc w:val="center"/>
              <w:rPr>
                <w:rFonts w:cs="Arial"/>
                <w:color w:val="000000"/>
                <w:sz w:val="18"/>
                <w:szCs w:val="18"/>
              </w:rPr>
            </w:pPr>
            <w:r w:rsidRPr="003B6B00">
              <w:rPr>
                <w:rFonts w:cs="Arial"/>
                <w:color w:val="000000"/>
                <w:sz w:val="18"/>
                <w:szCs w:val="18"/>
              </w:rPr>
              <w:t>1.7</w:t>
            </w:r>
          </w:p>
        </w:tc>
        <w:tc>
          <w:tcPr>
            <w:tcW w:w="1350" w:type="dxa"/>
            <w:tcBorders>
              <w:top w:val="nil"/>
              <w:left w:val="nil"/>
              <w:bottom w:val="nil"/>
              <w:right w:val="nil"/>
            </w:tcBorders>
            <w:shd w:val="clear" w:color="auto" w:fill="F1F1F2"/>
            <w:vAlign w:val="center"/>
            <w:hideMark/>
          </w:tcPr>
          <w:p w14:paraId="376833B3" w14:textId="77777777" w:rsidR="00572F25" w:rsidRPr="00EB083D" w:rsidRDefault="00572F25" w:rsidP="00140544">
            <w:pPr>
              <w:spacing w:after="0"/>
              <w:jc w:val="center"/>
              <w:rPr>
                <w:rFonts w:cs="Arial"/>
                <w:color w:val="000000"/>
                <w:sz w:val="18"/>
                <w:szCs w:val="18"/>
              </w:rPr>
            </w:pPr>
            <w:r w:rsidRPr="00473BE9">
              <w:rPr>
                <w:rFonts w:cs="Arial"/>
                <w:color w:val="000000"/>
                <w:sz w:val="18"/>
                <w:szCs w:val="18"/>
              </w:rPr>
              <w:t>45</w:t>
            </w:r>
          </w:p>
        </w:tc>
        <w:tc>
          <w:tcPr>
            <w:tcW w:w="1350" w:type="dxa"/>
            <w:tcBorders>
              <w:top w:val="nil"/>
              <w:left w:val="nil"/>
              <w:bottom w:val="nil"/>
              <w:right w:val="nil"/>
            </w:tcBorders>
            <w:shd w:val="clear" w:color="auto" w:fill="F1F1F2"/>
            <w:vAlign w:val="center"/>
            <w:hideMark/>
          </w:tcPr>
          <w:p w14:paraId="33942EFF" w14:textId="77777777" w:rsidR="00572F25" w:rsidRPr="00EB083D" w:rsidRDefault="00572F25" w:rsidP="00140544">
            <w:pPr>
              <w:spacing w:after="0"/>
              <w:jc w:val="center"/>
              <w:rPr>
                <w:rFonts w:cs="Arial"/>
                <w:color w:val="000000"/>
                <w:sz w:val="18"/>
                <w:szCs w:val="18"/>
              </w:rPr>
            </w:pPr>
            <w:r w:rsidRPr="00EB083D">
              <w:rPr>
                <w:rFonts w:cs="Arial"/>
                <w:color w:val="000000"/>
                <w:sz w:val="18"/>
                <w:szCs w:val="18"/>
              </w:rPr>
              <w:t>6.7</w:t>
            </w:r>
          </w:p>
        </w:tc>
      </w:tr>
      <w:tr w:rsidR="00572F25" w:rsidRPr="00EB083D" w14:paraId="5DC43BE9" w14:textId="77777777" w:rsidTr="00140544">
        <w:trPr>
          <w:trHeight w:val="315"/>
        </w:trPr>
        <w:tc>
          <w:tcPr>
            <w:tcW w:w="2500" w:type="dxa"/>
            <w:tcBorders>
              <w:top w:val="nil"/>
              <w:left w:val="nil"/>
              <w:bottom w:val="nil"/>
              <w:right w:val="nil"/>
            </w:tcBorders>
            <w:shd w:val="clear" w:color="auto" w:fill="auto"/>
            <w:noWrap/>
            <w:vAlign w:val="center"/>
            <w:hideMark/>
          </w:tcPr>
          <w:p w14:paraId="483D4949" w14:textId="77777777" w:rsidR="00572F25" w:rsidRPr="00EB083D" w:rsidRDefault="00572F25" w:rsidP="00140544">
            <w:pPr>
              <w:spacing w:after="0"/>
              <w:rPr>
                <w:rFonts w:cs="Arial"/>
                <w:color w:val="000000"/>
                <w:sz w:val="18"/>
                <w:szCs w:val="18"/>
              </w:rPr>
            </w:pPr>
            <w:r w:rsidRPr="00EB083D">
              <w:rPr>
                <w:rFonts w:cstheme="minorHAnsi"/>
                <w:color w:val="000000"/>
                <w:sz w:val="18"/>
                <w:szCs w:val="18"/>
              </w:rPr>
              <w:t>Very remote</w:t>
            </w:r>
          </w:p>
        </w:tc>
        <w:tc>
          <w:tcPr>
            <w:tcW w:w="960" w:type="dxa"/>
            <w:tcBorders>
              <w:top w:val="nil"/>
              <w:left w:val="nil"/>
              <w:bottom w:val="nil"/>
              <w:right w:val="nil"/>
            </w:tcBorders>
            <w:shd w:val="clear" w:color="auto" w:fill="auto"/>
            <w:vAlign w:val="center"/>
            <w:hideMark/>
          </w:tcPr>
          <w:p w14:paraId="723151C1" w14:textId="77777777" w:rsidR="00572F25" w:rsidRPr="00EB083D" w:rsidRDefault="00572F25" w:rsidP="00140544">
            <w:pPr>
              <w:spacing w:after="0"/>
              <w:jc w:val="center"/>
              <w:rPr>
                <w:rFonts w:cs="Arial"/>
                <w:color w:val="000000"/>
                <w:sz w:val="18"/>
                <w:szCs w:val="18"/>
              </w:rPr>
            </w:pPr>
            <w:r w:rsidRPr="00473BE9">
              <w:rPr>
                <w:rFonts w:cs="Arial"/>
                <w:color w:val="000000"/>
                <w:sz w:val="18"/>
                <w:szCs w:val="18"/>
              </w:rPr>
              <w:t>–</w:t>
            </w:r>
          </w:p>
        </w:tc>
        <w:tc>
          <w:tcPr>
            <w:tcW w:w="960" w:type="dxa"/>
            <w:tcBorders>
              <w:top w:val="nil"/>
              <w:left w:val="nil"/>
              <w:bottom w:val="nil"/>
              <w:right w:val="nil"/>
            </w:tcBorders>
            <w:shd w:val="clear" w:color="auto" w:fill="auto"/>
            <w:vAlign w:val="center"/>
            <w:hideMark/>
          </w:tcPr>
          <w:p w14:paraId="691A49F4" w14:textId="77777777" w:rsidR="00572F25" w:rsidRPr="00EB083D" w:rsidRDefault="00572F25" w:rsidP="00140544">
            <w:pPr>
              <w:spacing w:after="0"/>
              <w:jc w:val="center"/>
              <w:rPr>
                <w:rFonts w:cs="Arial"/>
                <w:color w:val="000000"/>
                <w:sz w:val="18"/>
                <w:szCs w:val="18"/>
              </w:rPr>
            </w:pPr>
            <w:r w:rsidRPr="00473BE9">
              <w:rPr>
                <w:rFonts w:cs="Arial"/>
                <w:color w:val="000000"/>
                <w:sz w:val="18"/>
                <w:szCs w:val="18"/>
              </w:rPr>
              <w:t>–</w:t>
            </w:r>
          </w:p>
        </w:tc>
        <w:tc>
          <w:tcPr>
            <w:tcW w:w="960" w:type="dxa"/>
            <w:tcBorders>
              <w:top w:val="nil"/>
              <w:left w:val="nil"/>
              <w:bottom w:val="nil"/>
              <w:right w:val="nil"/>
            </w:tcBorders>
            <w:shd w:val="clear" w:color="auto" w:fill="auto"/>
            <w:vAlign w:val="center"/>
            <w:hideMark/>
          </w:tcPr>
          <w:p w14:paraId="309404C3" w14:textId="77777777" w:rsidR="00572F25" w:rsidRPr="00EB083D" w:rsidRDefault="00572F25" w:rsidP="00140544">
            <w:pPr>
              <w:spacing w:after="0"/>
              <w:jc w:val="center"/>
              <w:rPr>
                <w:rFonts w:cs="Arial"/>
                <w:color w:val="000000"/>
                <w:sz w:val="18"/>
                <w:szCs w:val="18"/>
              </w:rPr>
            </w:pPr>
            <w:r w:rsidRPr="00473BE9">
              <w:rPr>
                <w:rFonts w:cs="Arial"/>
                <w:color w:val="000000"/>
                <w:sz w:val="18"/>
                <w:szCs w:val="18"/>
              </w:rPr>
              <w:t>–</w:t>
            </w:r>
          </w:p>
        </w:tc>
        <w:tc>
          <w:tcPr>
            <w:tcW w:w="1250" w:type="dxa"/>
            <w:tcBorders>
              <w:top w:val="nil"/>
              <w:left w:val="nil"/>
              <w:bottom w:val="nil"/>
              <w:right w:val="nil"/>
            </w:tcBorders>
            <w:shd w:val="clear" w:color="auto" w:fill="auto"/>
            <w:vAlign w:val="center"/>
            <w:hideMark/>
          </w:tcPr>
          <w:p w14:paraId="39876EA1" w14:textId="77777777" w:rsidR="00572F25" w:rsidRPr="00EB083D" w:rsidRDefault="00572F25" w:rsidP="00140544">
            <w:pPr>
              <w:spacing w:after="0"/>
              <w:jc w:val="center"/>
              <w:rPr>
                <w:rFonts w:cs="Arial"/>
                <w:color w:val="000000"/>
                <w:sz w:val="18"/>
                <w:szCs w:val="18"/>
              </w:rPr>
            </w:pPr>
            <w:r w:rsidRPr="00473BE9">
              <w:rPr>
                <w:rFonts w:cs="Arial"/>
                <w:color w:val="000000"/>
                <w:sz w:val="18"/>
                <w:szCs w:val="18"/>
              </w:rPr>
              <w:t>–</w:t>
            </w:r>
          </w:p>
        </w:tc>
        <w:tc>
          <w:tcPr>
            <w:tcW w:w="1350" w:type="dxa"/>
            <w:tcBorders>
              <w:top w:val="nil"/>
              <w:left w:val="nil"/>
              <w:bottom w:val="nil"/>
              <w:right w:val="nil"/>
            </w:tcBorders>
            <w:shd w:val="clear" w:color="auto" w:fill="auto"/>
            <w:vAlign w:val="center"/>
            <w:hideMark/>
          </w:tcPr>
          <w:p w14:paraId="1BABDC66" w14:textId="77777777" w:rsidR="00572F25" w:rsidRPr="00EB083D" w:rsidRDefault="00572F25" w:rsidP="00140544">
            <w:pPr>
              <w:spacing w:after="0"/>
              <w:jc w:val="center"/>
              <w:rPr>
                <w:rFonts w:cs="Arial"/>
                <w:color w:val="000000"/>
                <w:sz w:val="18"/>
                <w:szCs w:val="18"/>
              </w:rPr>
            </w:pPr>
            <w:r w:rsidRPr="00473BE9">
              <w:rPr>
                <w:rFonts w:cs="Arial"/>
                <w:color w:val="000000"/>
                <w:sz w:val="18"/>
                <w:szCs w:val="18"/>
              </w:rPr>
              <w:t>27</w:t>
            </w:r>
          </w:p>
        </w:tc>
        <w:tc>
          <w:tcPr>
            <w:tcW w:w="1350" w:type="dxa"/>
            <w:tcBorders>
              <w:top w:val="nil"/>
              <w:left w:val="nil"/>
              <w:bottom w:val="nil"/>
              <w:right w:val="nil"/>
            </w:tcBorders>
            <w:shd w:val="clear" w:color="auto" w:fill="auto"/>
            <w:vAlign w:val="center"/>
            <w:hideMark/>
          </w:tcPr>
          <w:p w14:paraId="2B32FA97" w14:textId="77777777" w:rsidR="00572F25" w:rsidRPr="00EB083D" w:rsidRDefault="00572F25" w:rsidP="00140544">
            <w:pPr>
              <w:spacing w:after="0"/>
              <w:jc w:val="center"/>
              <w:rPr>
                <w:rFonts w:cs="Arial"/>
                <w:color w:val="000000"/>
                <w:sz w:val="18"/>
                <w:szCs w:val="18"/>
              </w:rPr>
            </w:pPr>
            <w:r w:rsidRPr="00EB083D">
              <w:rPr>
                <w:rFonts w:cstheme="minorHAnsi"/>
                <w:color w:val="000000"/>
                <w:sz w:val="18"/>
                <w:szCs w:val="18"/>
              </w:rPr>
              <w:t>–</w:t>
            </w:r>
          </w:p>
        </w:tc>
      </w:tr>
      <w:tr w:rsidR="00572F25" w:rsidRPr="00EB083D" w14:paraId="4A5AF170" w14:textId="77777777" w:rsidTr="00140544">
        <w:trPr>
          <w:trHeight w:val="315"/>
        </w:trPr>
        <w:tc>
          <w:tcPr>
            <w:tcW w:w="2500" w:type="dxa"/>
            <w:tcBorders>
              <w:top w:val="double" w:sz="6" w:space="0" w:color="ADD4D1"/>
              <w:left w:val="nil"/>
              <w:bottom w:val="nil"/>
              <w:right w:val="nil"/>
            </w:tcBorders>
            <w:shd w:val="clear" w:color="000000" w:fill="2C5A6C"/>
            <w:noWrap/>
            <w:vAlign w:val="center"/>
            <w:hideMark/>
          </w:tcPr>
          <w:p w14:paraId="4C3B374E" w14:textId="77777777" w:rsidR="00572F25" w:rsidRPr="00EB083D" w:rsidRDefault="00572F25" w:rsidP="00140544">
            <w:pPr>
              <w:spacing w:after="0"/>
              <w:rPr>
                <w:rFonts w:cs="Arial"/>
                <w:color w:val="FFFFFF"/>
                <w:sz w:val="18"/>
                <w:szCs w:val="18"/>
              </w:rPr>
            </w:pPr>
            <w:r w:rsidRPr="00EB083D">
              <w:rPr>
                <w:rFonts w:cs="Arial"/>
                <w:color w:val="FFFFFF"/>
                <w:sz w:val="18"/>
                <w:szCs w:val="18"/>
              </w:rPr>
              <w:t>Total</w:t>
            </w:r>
          </w:p>
        </w:tc>
        <w:tc>
          <w:tcPr>
            <w:tcW w:w="960" w:type="dxa"/>
            <w:tcBorders>
              <w:top w:val="double" w:sz="6" w:space="0" w:color="ADD4D1"/>
              <w:left w:val="nil"/>
              <w:bottom w:val="nil"/>
              <w:right w:val="nil"/>
            </w:tcBorders>
            <w:shd w:val="clear" w:color="000000" w:fill="2C5A6C"/>
            <w:vAlign w:val="center"/>
            <w:hideMark/>
          </w:tcPr>
          <w:p w14:paraId="16C58720" w14:textId="77777777" w:rsidR="00572F25" w:rsidRPr="00EB083D" w:rsidRDefault="00572F25" w:rsidP="00140544">
            <w:pPr>
              <w:spacing w:after="0"/>
              <w:jc w:val="center"/>
              <w:rPr>
                <w:rFonts w:cs="Arial"/>
                <w:color w:val="FFFFFF"/>
                <w:sz w:val="18"/>
                <w:szCs w:val="18"/>
              </w:rPr>
            </w:pPr>
            <w:r w:rsidRPr="00EB083D">
              <w:rPr>
                <w:rFonts w:cs="Arial"/>
                <w:color w:val="FFFFFF"/>
                <w:sz w:val="18"/>
                <w:szCs w:val="18"/>
              </w:rPr>
              <w:t>91</w:t>
            </w:r>
          </w:p>
        </w:tc>
        <w:tc>
          <w:tcPr>
            <w:tcW w:w="960" w:type="dxa"/>
            <w:tcBorders>
              <w:top w:val="double" w:sz="6" w:space="0" w:color="ADD4D1"/>
              <w:left w:val="nil"/>
              <w:bottom w:val="nil"/>
              <w:right w:val="nil"/>
            </w:tcBorders>
            <w:shd w:val="clear" w:color="000000" w:fill="2C5A6C"/>
            <w:vAlign w:val="center"/>
            <w:hideMark/>
          </w:tcPr>
          <w:p w14:paraId="32DD9DA8" w14:textId="77777777" w:rsidR="00572F25" w:rsidRPr="00EB083D" w:rsidRDefault="00572F25" w:rsidP="00140544">
            <w:pPr>
              <w:spacing w:after="0"/>
              <w:jc w:val="center"/>
              <w:rPr>
                <w:rFonts w:cs="Arial"/>
                <w:color w:val="FFFFFF"/>
                <w:sz w:val="18"/>
                <w:szCs w:val="18"/>
              </w:rPr>
            </w:pPr>
            <w:r w:rsidRPr="00EB083D">
              <w:rPr>
                <w:rFonts w:cs="Arial"/>
                <w:color w:val="FFFFFF"/>
                <w:sz w:val="18"/>
                <w:szCs w:val="18"/>
              </w:rPr>
              <w:t>90</w:t>
            </w:r>
          </w:p>
        </w:tc>
        <w:tc>
          <w:tcPr>
            <w:tcW w:w="960" w:type="dxa"/>
            <w:tcBorders>
              <w:top w:val="double" w:sz="6" w:space="0" w:color="ADD4D1"/>
              <w:left w:val="nil"/>
              <w:bottom w:val="nil"/>
              <w:right w:val="nil"/>
            </w:tcBorders>
            <w:shd w:val="clear" w:color="000000" w:fill="2C5A6C"/>
            <w:vAlign w:val="center"/>
            <w:hideMark/>
          </w:tcPr>
          <w:p w14:paraId="7AF6175C" w14:textId="77777777" w:rsidR="00572F25" w:rsidRPr="00EB083D" w:rsidRDefault="00572F25" w:rsidP="00140544">
            <w:pPr>
              <w:spacing w:after="0"/>
              <w:jc w:val="center"/>
              <w:rPr>
                <w:rFonts w:cs="Arial"/>
                <w:color w:val="FFFFFF"/>
                <w:sz w:val="18"/>
                <w:szCs w:val="18"/>
              </w:rPr>
            </w:pPr>
            <w:r w:rsidRPr="00EB083D">
              <w:rPr>
                <w:rFonts w:cs="Arial"/>
                <w:color w:val="FFFFFF"/>
                <w:sz w:val="18"/>
                <w:szCs w:val="18"/>
              </w:rPr>
              <w:t>181</w:t>
            </w:r>
          </w:p>
        </w:tc>
        <w:tc>
          <w:tcPr>
            <w:tcW w:w="1250" w:type="dxa"/>
            <w:tcBorders>
              <w:top w:val="double" w:sz="6" w:space="0" w:color="ADD4D1"/>
              <w:left w:val="nil"/>
              <w:bottom w:val="nil"/>
              <w:right w:val="nil"/>
            </w:tcBorders>
            <w:shd w:val="clear" w:color="000000" w:fill="2C5A6C"/>
            <w:vAlign w:val="center"/>
            <w:hideMark/>
          </w:tcPr>
          <w:p w14:paraId="4DEB22C0" w14:textId="77777777" w:rsidR="00572F25" w:rsidRPr="00EB083D" w:rsidRDefault="00572F25" w:rsidP="00140544">
            <w:pPr>
              <w:spacing w:after="0"/>
              <w:jc w:val="center"/>
              <w:rPr>
                <w:rFonts w:cs="Arial"/>
                <w:color w:val="FFFFFF"/>
                <w:sz w:val="18"/>
                <w:szCs w:val="18"/>
              </w:rPr>
            </w:pPr>
            <w:r w:rsidRPr="00EB083D">
              <w:rPr>
                <w:rFonts w:cs="Arial"/>
                <w:color w:val="FFFFFF"/>
                <w:sz w:val="18"/>
                <w:szCs w:val="18"/>
              </w:rPr>
              <w:t> </w:t>
            </w:r>
          </w:p>
        </w:tc>
        <w:tc>
          <w:tcPr>
            <w:tcW w:w="1350" w:type="dxa"/>
            <w:tcBorders>
              <w:top w:val="double" w:sz="6" w:space="0" w:color="ADD4D1"/>
              <w:left w:val="nil"/>
              <w:bottom w:val="nil"/>
              <w:right w:val="nil"/>
            </w:tcBorders>
            <w:shd w:val="clear" w:color="000000" w:fill="2C5A6C"/>
            <w:vAlign w:val="center"/>
            <w:hideMark/>
          </w:tcPr>
          <w:p w14:paraId="50A1032E" w14:textId="77777777" w:rsidR="00572F25" w:rsidRPr="00EB083D" w:rsidRDefault="00572F25" w:rsidP="00140544">
            <w:pPr>
              <w:spacing w:after="0"/>
              <w:jc w:val="center"/>
              <w:rPr>
                <w:rFonts w:cs="Arial"/>
                <w:color w:val="FFFFFF"/>
                <w:sz w:val="18"/>
                <w:szCs w:val="18"/>
              </w:rPr>
            </w:pPr>
            <w:r w:rsidRPr="00EB083D">
              <w:rPr>
                <w:rFonts w:cs="Arial"/>
                <w:color w:val="FFFFFF"/>
                <w:sz w:val="18"/>
                <w:szCs w:val="18"/>
              </w:rPr>
              <w:t>871</w:t>
            </w:r>
          </w:p>
        </w:tc>
        <w:tc>
          <w:tcPr>
            <w:tcW w:w="1350" w:type="dxa"/>
            <w:tcBorders>
              <w:top w:val="double" w:sz="6" w:space="0" w:color="ADD4D1"/>
              <w:left w:val="nil"/>
              <w:bottom w:val="nil"/>
              <w:right w:val="nil"/>
            </w:tcBorders>
            <w:shd w:val="clear" w:color="000000" w:fill="2C5A6C"/>
            <w:vAlign w:val="center"/>
            <w:hideMark/>
          </w:tcPr>
          <w:p w14:paraId="4C03D6F9" w14:textId="77777777" w:rsidR="00572F25" w:rsidRPr="00EB083D" w:rsidRDefault="00572F25" w:rsidP="00140544">
            <w:pPr>
              <w:spacing w:after="0"/>
              <w:jc w:val="center"/>
              <w:rPr>
                <w:rFonts w:cs="Arial"/>
                <w:color w:val="FFFFFF"/>
                <w:sz w:val="18"/>
                <w:szCs w:val="18"/>
              </w:rPr>
            </w:pPr>
            <w:r w:rsidRPr="00EB083D">
              <w:rPr>
                <w:rFonts w:cs="Arial"/>
                <w:color w:val="FFFFFF"/>
                <w:sz w:val="18"/>
                <w:szCs w:val="18"/>
              </w:rPr>
              <w:t> </w:t>
            </w:r>
          </w:p>
        </w:tc>
      </w:tr>
    </w:tbl>
    <w:p w14:paraId="1DED2D82" w14:textId="77777777" w:rsidR="00572F25" w:rsidRPr="00D81D0E" w:rsidRDefault="00572F25" w:rsidP="00572F25">
      <w:pPr>
        <w:pStyle w:val="Notes"/>
        <w:rPr>
          <w:sz w:val="16"/>
          <w:szCs w:val="16"/>
        </w:rPr>
      </w:pPr>
      <w:r w:rsidRPr="00D81D0E">
        <w:t>*</w:t>
      </w:r>
      <w:r>
        <w:t xml:space="preserve"> </w:t>
      </w:r>
      <w:r w:rsidRPr="00D81D0E">
        <w:t xml:space="preserve">Australian Bureau of Statistics. 1270.0.55.005 – Australian Statistical Geography Standard (ASGS): Volume 5 – Remoteness Structure, July 2016. </w:t>
      </w:r>
      <w:r>
        <w:t xml:space="preserve">Canberra: </w:t>
      </w:r>
      <w:r w:rsidRPr="00D81D0E">
        <w:t>A</w:t>
      </w:r>
      <w:r>
        <w:t>B</w:t>
      </w:r>
      <w:r w:rsidRPr="00D81D0E">
        <w:t>S; 2018</w:t>
      </w:r>
      <w:r>
        <w:t>.</w:t>
      </w:r>
    </w:p>
    <w:p w14:paraId="2EF78335" w14:textId="77777777" w:rsidR="00572F25" w:rsidRPr="00D81D0E" w:rsidRDefault="00572F25" w:rsidP="00572F25">
      <w:pPr>
        <w:pStyle w:val="Captions"/>
        <w:rPr>
          <w:noProof/>
        </w:rPr>
      </w:pPr>
      <w:r w:rsidRPr="00D81D0E">
        <w:t>Table A</w:t>
      </w:r>
      <w:r>
        <w:t>2</w:t>
      </w:r>
      <w:r w:rsidRPr="00D81D0E">
        <w:t>.2:</w:t>
      </w:r>
      <w:r w:rsidRPr="00D81D0E">
        <w:tab/>
        <w:t xml:space="preserve">Number and percentage of Surgical </w:t>
      </w:r>
      <w:r>
        <w:rPr>
          <w:rFonts w:cs="Arial"/>
        </w:rPr>
        <w:t>NAPS</w:t>
      </w:r>
      <w:r w:rsidRPr="00D81D0E">
        <w:t xml:space="preserve"> contributor facilities by funding type*, by surgical procedure group, 20</w:t>
      </w:r>
      <w:r>
        <w:t>21</w:t>
      </w:r>
      <w:r w:rsidRPr="00D81D0E">
        <w:rPr>
          <w:noProof/>
        </w:rPr>
        <w:t xml:space="preserve"> </w:t>
      </w:r>
    </w:p>
    <w:tbl>
      <w:tblPr>
        <w:tblW w:w="8123" w:type="dxa"/>
        <w:tblLook w:val="04A0" w:firstRow="1" w:lastRow="0" w:firstColumn="1" w:lastColumn="0" w:noHBand="0" w:noVBand="1"/>
      </w:tblPr>
      <w:tblGrid>
        <w:gridCol w:w="3780"/>
        <w:gridCol w:w="928"/>
        <w:gridCol w:w="928"/>
        <w:gridCol w:w="1310"/>
        <w:gridCol w:w="1177"/>
      </w:tblGrid>
      <w:tr w:rsidR="00572F25" w:rsidRPr="00A82CA6" w14:paraId="77E87F8E" w14:textId="77777777" w:rsidTr="00140544">
        <w:trPr>
          <w:trHeight w:val="620"/>
        </w:trPr>
        <w:tc>
          <w:tcPr>
            <w:tcW w:w="3780" w:type="dxa"/>
            <w:vMerge w:val="restart"/>
            <w:tcBorders>
              <w:top w:val="single" w:sz="8" w:space="0" w:color="ADD4D1"/>
              <w:left w:val="nil"/>
              <w:bottom w:val="nil"/>
              <w:right w:val="nil"/>
            </w:tcBorders>
            <w:shd w:val="clear" w:color="000000" w:fill="2C5A6C"/>
            <w:noWrap/>
            <w:vAlign w:val="center"/>
            <w:hideMark/>
          </w:tcPr>
          <w:p w14:paraId="68715DD2" w14:textId="77777777" w:rsidR="00572F25" w:rsidRPr="00A82CA6" w:rsidRDefault="00572F25" w:rsidP="00140544">
            <w:pPr>
              <w:spacing w:after="0"/>
              <w:rPr>
                <w:rFonts w:cs="Arial"/>
                <w:color w:val="FFFFFF"/>
                <w:sz w:val="20"/>
                <w:szCs w:val="20"/>
              </w:rPr>
            </w:pPr>
            <w:r w:rsidRPr="00A82CA6">
              <w:rPr>
                <w:rFonts w:cs="Arial"/>
                <w:color w:val="FFFFFF"/>
                <w:sz w:val="20"/>
                <w:szCs w:val="20"/>
              </w:rPr>
              <w:t>Procedure group</w:t>
            </w:r>
          </w:p>
        </w:tc>
        <w:tc>
          <w:tcPr>
            <w:tcW w:w="928" w:type="dxa"/>
            <w:tcBorders>
              <w:top w:val="single" w:sz="8" w:space="0" w:color="ADD4D1"/>
              <w:left w:val="nil"/>
              <w:bottom w:val="nil"/>
              <w:right w:val="nil"/>
            </w:tcBorders>
            <w:shd w:val="clear" w:color="000000" w:fill="2C5A6C"/>
            <w:vAlign w:val="center"/>
            <w:hideMark/>
          </w:tcPr>
          <w:p w14:paraId="60292BC3" w14:textId="77777777" w:rsidR="00572F25" w:rsidRPr="00A82CA6" w:rsidRDefault="00572F25" w:rsidP="00140544">
            <w:pPr>
              <w:spacing w:after="0"/>
              <w:jc w:val="center"/>
              <w:rPr>
                <w:rFonts w:cs="Arial"/>
                <w:color w:val="FFFFFF"/>
                <w:sz w:val="20"/>
                <w:szCs w:val="20"/>
              </w:rPr>
            </w:pPr>
            <w:r w:rsidRPr="00A82CA6">
              <w:rPr>
                <w:rFonts w:cs="Arial"/>
                <w:color w:val="FFFFFF"/>
                <w:sz w:val="20"/>
                <w:szCs w:val="20"/>
              </w:rPr>
              <w:t>Public facilities</w:t>
            </w:r>
          </w:p>
        </w:tc>
        <w:tc>
          <w:tcPr>
            <w:tcW w:w="928" w:type="dxa"/>
            <w:tcBorders>
              <w:top w:val="single" w:sz="8" w:space="0" w:color="ADD4D1"/>
              <w:left w:val="nil"/>
              <w:bottom w:val="nil"/>
              <w:right w:val="nil"/>
            </w:tcBorders>
            <w:shd w:val="clear" w:color="000000" w:fill="2C5A6C"/>
            <w:vAlign w:val="center"/>
            <w:hideMark/>
          </w:tcPr>
          <w:p w14:paraId="2680B5F4" w14:textId="77777777" w:rsidR="00572F25" w:rsidRPr="00A82CA6" w:rsidRDefault="00572F25" w:rsidP="00140544">
            <w:pPr>
              <w:spacing w:after="0"/>
              <w:jc w:val="center"/>
              <w:rPr>
                <w:rFonts w:cs="Arial"/>
                <w:color w:val="FFFFFF"/>
                <w:sz w:val="20"/>
                <w:szCs w:val="20"/>
              </w:rPr>
            </w:pPr>
            <w:r w:rsidRPr="00A82CA6">
              <w:rPr>
                <w:rFonts w:cs="Arial"/>
                <w:color w:val="FFFFFF"/>
                <w:sz w:val="20"/>
                <w:szCs w:val="20"/>
              </w:rPr>
              <w:t>Private facilities</w:t>
            </w:r>
          </w:p>
        </w:tc>
        <w:tc>
          <w:tcPr>
            <w:tcW w:w="2487" w:type="dxa"/>
            <w:gridSpan w:val="2"/>
            <w:tcBorders>
              <w:top w:val="single" w:sz="8" w:space="0" w:color="ADD4D1"/>
              <w:left w:val="nil"/>
              <w:right w:val="nil"/>
            </w:tcBorders>
            <w:shd w:val="clear" w:color="000000" w:fill="2C5A6C"/>
            <w:noWrap/>
            <w:vAlign w:val="center"/>
            <w:hideMark/>
          </w:tcPr>
          <w:p w14:paraId="32D10A83" w14:textId="77777777" w:rsidR="00572F25" w:rsidRPr="00A82CA6" w:rsidRDefault="00572F25" w:rsidP="00140544">
            <w:pPr>
              <w:spacing w:after="0"/>
              <w:jc w:val="center"/>
              <w:rPr>
                <w:rFonts w:cs="Arial"/>
                <w:color w:val="FFFFFF"/>
                <w:sz w:val="20"/>
                <w:szCs w:val="20"/>
              </w:rPr>
            </w:pPr>
            <w:r w:rsidRPr="00A82CA6">
              <w:rPr>
                <w:rFonts w:cs="Arial"/>
                <w:color w:val="FFFFFF"/>
                <w:sz w:val="20"/>
                <w:szCs w:val="20"/>
              </w:rPr>
              <w:t>Contributing</w:t>
            </w:r>
          </w:p>
          <w:p w14:paraId="188D1843" w14:textId="77777777" w:rsidR="00572F25" w:rsidRPr="00A82CA6" w:rsidRDefault="00572F25" w:rsidP="00140544">
            <w:pPr>
              <w:spacing w:after="0"/>
              <w:jc w:val="center"/>
              <w:rPr>
                <w:rFonts w:cs="Arial"/>
                <w:color w:val="FFFFFF"/>
                <w:sz w:val="20"/>
                <w:szCs w:val="20"/>
              </w:rPr>
            </w:pPr>
            <w:r>
              <w:rPr>
                <w:rFonts w:cs="Arial"/>
                <w:color w:val="FFFFFF"/>
                <w:sz w:val="20"/>
                <w:szCs w:val="20"/>
              </w:rPr>
              <w:t>f</w:t>
            </w:r>
            <w:r w:rsidRPr="00A82CA6">
              <w:rPr>
                <w:rFonts w:cs="Arial"/>
                <w:color w:val="FFFFFF"/>
                <w:sz w:val="20"/>
                <w:szCs w:val="20"/>
              </w:rPr>
              <w:t>acilities</w:t>
            </w:r>
          </w:p>
        </w:tc>
      </w:tr>
      <w:tr w:rsidR="00572F25" w:rsidRPr="00A82CA6" w14:paraId="7F127D54" w14:textId="77777777" w:rsidTr="00140544">
        <w:trPr>
          <w:trHeight w:val="300"/>
        </w:trPr>
        <w:tc>
          <w:tcPr>
            <w:tcW w:w="3780" w:type="dxa"/>
            <w:vMerge/>
            <w:tcBorders>
              <w:top w:val="single" w:sz="8" w:space="0" w:color="ADD4D1"/>
              <w:left w:val="nil"/>
              <w:bottom w:val="nil"/>
              <w:right w:val="nil"/>
            </w:tcBorders>
            <w:vAlign w:val="center"/>
            <w:hideMark/>
          </w:tcPr>
          <w:p w14:paraId="2D7253C9" w14:textId="77777777" w:rsidR="00572F25" w:rsidRPr="00A82CA6" w:rsidRDefault="00572F25" w:rsidP="00140544">
            <w:pPr>
              <w:spacing w:after="0"/>
              <w:rPr>
                <w:rFonts w:cs="Arial"/>
                <w:color w:val="FFFFFF"/>
                <w:sz w:val="20"/>
                <w:szCs w:val="20"/>
              </w:rPr>
            </w:pPr>
          </w:p>
        </w:tc>
        <w:tc>
          <w:tcPr>
            <w:tcW w:w="928" w:type="dxa"/>
            <w:tcBorders>
              <w:top w:val="nil"/>
              <w:left w:val="nil"/>
              <w:bottom w:val="nil"/>
              <w:right w:val="nil"/>
            </w:tcBorders>
            <w:shd w:val="clear" w:color="000000" w:fill="2C5A6C"/>
            <w:vAlign w:val="center"/>
            <w:hideMark/>
          </w:tcPr>
          <w:p w14:paraId="160520C3" w14:textId="77777777" w:rsidR="00572F25" w:rsidRPr="00A82CA6" w:rsidRDefault="00572F25" w:rsidP="00140544">
            <w:pPr>
              <w:spacing w:after="0"/>
              <w:jc w:val="center"/>
              <w:rPr>
                <w:rFonts w:cs="Arial"/>
                <w:color w:val="FFFFFF"/>
                <w:sz w:val="20"/>
                <w:szCs w:val="20"/>
              </w:rPr>
            </w:pPr>
            <w:r w:rsidRPr="00A82CA6">
              <w:rPr>
                <w:rFonts w:cs="Arial"/>
                <w:color w:val="FFFFFF"/>
                <w:sz w:val="20"/>
                <w:szCs w:val="20"/>
              </w:rPr>
              <w:t>(n)</w:t>
            </w:r>
          </w:p>
        </w:tc>
        <w:tc>
          <w:tcPr>
            <w:tcW w:w="928" w:type="dxa"/>
            <w:tcBorders>
              <w:top w:val="nil"/>
              <w:left w:val="nil"/>
              <w:bottom w:val="nil"/>
              <w:right w:val="nil"/>
            </w:tcBorders>
            <w:shd w:val="clear" w:color="000000" w:fill="2C5A6C"/>
            <w:vAlign w:val="center"/>
            <w:hideMark/>
          </w:tcPr>
          <w:p w14:paraId="5DC68B0A" w14:textId="77777777" w:rsidR="00572F25" w:rsidRPr="00A82CA6" w:rsidRDefault="00572F25" w:rsidP="00140544">
            <w:pPr>
              <w:spacing w:after="0"/>
              <w:jc w:val="center"/>
              <w:rPr>
                <w:rFonts w:cs="Arial"/>
                <w:color w:val="FFFFFF"/>
                <w:sz w:val="20"/>
                <w:szCs w:val="20"/>
              </w:rPr>
            </w:pPr>
            <w:r w:rsidRPr="00A82CA6">
              <w:rPr>
                <w:rFonts w:cs="Arial"/>
                <w:color w:val="FFFFFF"/>
                <w:sz w:val="20"/>
                <w:szCs w:val="20"/>
              </w:rPr>
              <w:t>(n)</w:t>
            </w:r>
          </w:p>
        </w:tc>
        <w:tc>
          <w:tcPr>
            <w:tcW w:w="2487" w:type="dxa"/>
            <w:gridSpan w:val="2"/>
            <w:tcBorders>
              <w:top w:val="nil"/>
              <w:left w:val="nil"/>
              <w:bottom w:val="nil"/>
              <w:right w:val="nil"/>
            </w:tcBorders>
            <w:shd w:val="clear" w:color="000000" w:fill="2C5A6C"/>
            <w:noWrap/>
            <w:vAlign w:val="center"/>
            <w:hideMark/>
          </w:tcPr>
          <w:p w14:paraId="24D0F34C" w14:textId="77777777" w:rsidR="00572F25" w:rsidRPr="00A82CA6" w:rsidRDefault="00572F25" w:rsidP="00140544">
            <w:pPr>
              <w:spacing w:after="0"/>
              <w:jc w:val="center"/>
              <w:rPr>
                <w:rFonts w:cs="Arial"/>
                <w:color w:val="FFFFFF"/>
                <w:sz w:val="20"/>
                <w:szCs w:val="20"/>
              </w:rPr>
            </w:pPr>
            <w:r w:rsidRPr="00A82CA6">
              <w:rPr>
                <w:rFonts w:cs="Arial"/>
                <w:color w:val="FFFFFF"/>
                <w:sz w:val="20"/>
                <w:szCs w:val="20"/>
              </w:rPr>
              <w:t>(n) (%)</w:t>
            </w:r>
          </w:p>
        </w:tc>
      </w:tr>
      <w:tr w:rsidR="00572F25" w:rsidRPr="00A82CA6" w14:paraId="4A78C3F4" w14:textId="77777777" w:rsidTr="00140544">
        <w:trPr>
          <w:trHeight w:val="300"/>
        </w:trPr>
        <w:tc>
          <w:tcPr>
            <w:tcW w:w="3780" w:type="dxa"/>
            <w:tcBorders>
              <w:top w:val="nil"/>
              <w:left w:val="nil"/>
              <w:bottom w:val="nil"/>
              <w:right w:val="nil"/>
            </w:tcBorders>
            <w:shd w:val="clear" w:color="000000" w:fill="FFFFFF"/>
            <w:noWrap/>
            <w:vAlign w:val="center"/>
            <w:hideMark/>
          </w:tcPr>
          <w:p w14:paraId="035EEDBD" w14:textId="77777777" w:rsidR="00572F25" w:rsidRPr="00A82CA6" w:rsidRDefault="00572F25" w:rsidP="00140544">
            <w:pPr>
              <w:spacing w:after="0"/>
              <w:rPr>
                <w:rFonts w:cs="Arial"/>
                <w:color w:val="000000"/>
                <w:sz w:val="18"/>
                <w:szCs w:val="18"/>
              </w:rPr>
            </w:pPr>
            <w:r w:rsidRPr="00A82CA6">
              <w:rPr>
                <w:rFonts w:cs="Arial"/>
                <w:color w:val="000000"/>
                <w:sz w:val="18"/>
                <w:szCs w:val="18"/>
              </w:rPr>
              <w:t>Plastic and reconstructive surgery</w:t>
            </w:r>
          </w:p>
        </w:tc>
        <w:tc>
          <w:tcPr>
            <w:tcW w:w="928" w:type="dxa"/>
            <w:tcBorders>
              <w:top w:val="nil"/>
              <w:left w:val="nil"/>
              <w:bottom w:val="nil"/>
              <w:right w:val="nil"/>
            </w:tcBorders>
            <w:shd w:val="clear" w:color="000000" w:fill="FFFFFF"/>
            <w:vAlign w:val="center"/>
            <w:hideMark/>
          </w:tcPr>
          <w:p w14:paraId="6BD326A0" w14:textId="77777777" w:rsidR="00572F25" w:rsidRPr="00A82CA6" w:rsidRDefault="00572F25" w:rsidP="00140544">
            <w:pPr>
              <w:spacing w:after="0"/>
              <w:jc w:val="center"/>
              <w:rPr>
                <w:rFonts w:cs="Arial"/>
                <w:color w:val="000000"/>
                <w:sz w:val="18"/>
                <w:szCs w:val="18"/>
              </w:rPr>
            </w:pPr>
            <w:r w:rsidRPr="00A82CA6">
              <w:rPr>
                <w:rFonts w:cs="Arial"/>
                <w:color w:val="000000"/>
                <w:sz w:val="18"/>
                <w:szCs w:val="18"/>
              </w:rPr>
              <w:t>62</w:t>
            </w:r>
          </w:p>
        </w:tc>
        <w:tc>
          <w:tcPr>
            <w:tcW w:w="928" w:type="dxa"/>
            <w:tcBorders>
              <w:top w:val="nil"/>
              <w:left w:val="nil"/>
              <w:bottom w:val="nil"/>
              <w:right w:val="nil"/>
            </w:tcBorders>
            <w:shd w:val="clear" w:color="000000" w:fill="FFFFFF"/>
            <w:vAlign w:val="center"/>
            <w:hideMark/>
          </w:tcPr>
          <w:p w14:paraId="1E7DC675" w14:textId="77777777" w:rsidR="00572F25" w:rsidRPr="00A82CA6" w:rsidRDefault="00572F25" w:rsidP="00140544">
            <w:pPr>
              <w:spacing w:after="0"/>
              <w:jc w:val="center"/>
              <w:rPr>
                <w:rFonts w:cs="Arial"/>
                <w:color w:val="000000"/>
                <w:sz w:val="18"/>
                <w:szCs w:val="18"/>
              </w:rPr>
            </w:pPr>
            <w:r w:rsidRPr="00A82CA6">
              <w:rPr>
                <w:rFonts w:cs="Arial"/>
                <w:color w:val="000000"/>
                <w:sz w:val="18"/>
                <w:szCs w:val="18"/>
              </w:rPr>
              <w:t>57</w:t>
            </w:r>
          </w:p>
        </w:tc>
        <w:tc>
          <w:tcPr>
            <w:tcW w:w="1310" w:type="dxa"/>
            <w:tcBorders>
              <w:top w:val="nil"/>
              <w:left w:val="nil"/>
              <w:bottom w:val="nil"/>
              <w:right w:val="nil"/>
            </w:tcBorders>
            <w:shd w:val="clear" w:color="000000" w:fill="FFFFFF"/>
            <w:noWrap/>
            <w:vAlign w:val="center"/>
            <w:hideMark/>
          </w:tcPr>
          <w:p w14:paraId="5A333392" w14:textId="77777777" w:rsidR="00572F25" w:rsidRPr="00A82CA6" w:rsidRDefault="00572F25" w:rsidP="00140544">
            <w:pPr>
              <w:spacing w:after="0"/>
              <w:jc w:val="right"/>
              <w:rPr>
                <w:rFonts w:cs="Arial"/>
                <w:color w:val="000000"/>
                <w:sz w:val="18"/>
                <w:szCs w:val="18"/>
              </w:rPr>
            </w:pPr>
            <w:r w:rsidRPr="00A82CA6">
              <w:rPr>
                <w:rFonts w:cs="Arial"/>
                <w:color w:val="000000"/>
                <w:sz w:val="18"/>
                <w:szCs w:val="18"/>
              </w:rPr>
              <w:t>119</w:t>
            </w:r>
          </w:p>
        </w:tc>
        <w:tc>
          <w:tcPr>
            <w:tcW w:w="1177" w:type="dxa"/>
            <w:tcBorders>
              <w:top w:val="nil"/>
              <w:left w:val="nil"/>
              <w:bottom w:val="nil"/>
              <w:right w:val="nil"/>
            </w:tcBorders>
            <w:shd w:val="clear" w:color="000000" w:fill="FFFFFF"/>
            <w:noWrap/>
            <w:vAlign w:val="center"/>
            <w:hideMark/>
          </w:tcPr>
          <w:p w14:paraId="794E434C" w14:textId="77777777" w:rsidR="00572F25" w:rsidRPr="00A82CA6" w:rsidRDefault="00572F25" w:rsidP="00140544">
            <w:pPr>
              <w:spacing w:after="0"/>
              <w:rPr>
                <w:rFonts w:cs="Arial"/>
                <w:color w:val="000000"/>
                <w:sz w:val="18"/>
                <w:szCs w:val="18"/>
              </w:rPr>
            </w:pPr>
            <w:r w:rsidRPr="00A82CA6">
              <w:rPr>
                <w:rFonts w:cs="Arial"/>
                <w:color w:val="000000"/>
                <w:sz w:val="18"/>
                <w:szCs w:val="18"/>
              </w:rPr>
              <w:t>65.7</w:t>
            </w:r>
          </w:p>
        </w:tc>
      </w:tr>
      <w:tr w:rsidR="00572F25" w:rsidRPr="00A82CA6" w14:paraId="3606865A" w14:textId="77777777" w:rsidTr="00140544">
        <w:trPr>
          <w:trHeight w:val="300"/>
        </w:trPr>
        <w:tc>
          <w:tcPr>
            <w:tcW w:w="3780" w:type="dxa"/>
            <w:tcBorders>
              <w:top w:val="nil"/>
              <w:left w:val="nil"/>
              <w:bottom w:val="nil"/>
              <w:right w:val="nil"/>
            </w:tcBorders>
            <w:shd w:val="clear" w:color="000000" w:fill="F1F1F2"/>
            <w:noWrap/>
            <w:vAlign w:val="center"/>
            <w:hideMark/>
          </w:tcPr>
          <w:p w14:paraId="16023F89" w14:textId="77777777" w:rsidR="00572F25" w:rsidRPr="00A82CA6" w:rsidRDefault="00572F25" w:rsidP="00140544">
            <w:pPr>
              <w:spacing w:after="0"/>
              <w:rPr>
                <w:rFonts w:cs="Arial"/>
                <w:color w:val="000000"/>
                <w:sz w:val="18"/>
                <w:szCs w:val="18"/>
              </w:rPr>
            </w:pPr>
            <w:r w:rsidRPr="00A82CA6">
              <w:rPr>
                <w:rFonts w:cs="Arial"/>
                <w:color w:val="000000"/>
                <w:sz w:val="18"/>
                <w:szCs w:val="18"/>
              </w:rPr>
              <w:t>Orthopaedic surgery</w:t>
            </w:r>
          </w:p>
        </w:tc>
        <w:tc>
          <w:tcPr>
            <w:tcW w:w="928" w:type="dxa"/>
            <w:tcBorders>
              <w:top w:val="nil"/>
              <w:left w:val="nil"/>
              <w:bottom w:val="nil"/>
              <w:right w:val="nil"/>
            </w:tcBorders>
            <w:shd w:val="clear" w:color="000000" w:fill="F1F1F2"/>
            <w:vAlign w:val="center"/>
            <w:hideMark/>
          </w:tcPr>
          <w:p w14:paraId="6F4C20B7" w14:textId="77777777" w:rsidR="00572F25" w:rsidRPr="00A82CA6" w:rsidRDefault="00572F25" w:rsidP="00140544">
            <w:pPr>
              <w:spacing w:after="0"/>
              <w:jc w:val="center"/>
              <w:rPr>
                <w:rFonts w:cs="Arial"/>
                <w:color w:val="000000"/>
                <w:sz w:val="18"/>
                <w:szCs w:val="18"/>
              </w:rPr>
            </w:pPr>
            <w:r w:rsidRPr="00A82CA6">
              <w:rPr>
                <w:rFonts w:cs="Arial"/>
                <w:color w:val="000000"/>
                <w:sz w:val="18"/>
                <w:szCs w:val="18"/>
              </w:rPr>
              <w:t>49</w:t>
            </w:r>
          </w:p>
        </w:tc>
        <w:tc>
          <w:tcPr>
            <w:tcW w:w="928" w:type="dxa"/>
            <w:tcBorders>
              <w:top w:val="nil"/>
              <w:left w:val="nil"/>
              <w:bottom w:val="nil"/>
              <w:right w:val="nil"/>
            </w:tcBorders>
            <w:shd w:val="clear" w:color="000000" w:fill="F1F1F2"/>
            <w:vAlign w:val="center"/>
            <w:hideMark/>
          </w:tcPr>
          <w:p w14:paraId="5690044A" w14:textId="77777777" w:rsidR="00572F25" w:rsidRPr="00A82CA6" w:rsidRDefault="00572F25" w:rsidP="00140544">
            <w:pPr>
              <w:spacing w:after="0"/>
              <w:jc w:val="center"/>
              <w:rPr>
                <w:rFonts w:cs="Arial"/>
                <w:color w:val="000000"/>
                <w:sz w:val="18"/>
                <w:szCs w:val="18"/>
              </w:rPr>
            </w:pPr>
            <w:r w:rsidRPr="00A82CA6">
              <w:rPr>
                <w:rFonts w:cs="Arial"/>
                <w:color w:val="000000"/>
                <w:sz w:val="18"/>
                <w:szCs w:val="18"/>
              </w:rPr>
              <w:t>61</w:t>
            </w:r>
          </w:p>
        </w:tc>
        <w:tc>
          <w:tcPr>
            <w:tcW w:w="1310" w:type="dxa"/>
            <w:tcBorders>
              <w:top w:val="nil"/>
              <w:left w:val="nil"/>
              <w:bottom w:val="nil"/>
              <w:right w:val="nil"/>
            </w:tcBorders>
            <w:shd w:val="clear" w:color="000000" w:fill="F1F1F2"/>
            <w:noWrap/>
            <w:vAlign w:val="center"/>
            <w:hideMark/>
          </w:tcPr>
          <w:p w14:paraId="6E0175CE" w14:textId="77777777" w:rsidR="00572F25" w:rsidRPr="00A82CA6" w:rsidRDefault="00572F25" w:rsidP="00140544">
            <w:pPr>
              <w:spacing w:after="0"/>
              <w:jc w:val="right"/>
              <w:rPr>
                <w:rFonts w:cs="Arial"/>
                <w:color w:val="000000"/>
                <w:sz w:val="18"/>
                <w:szCs w:val="18"/>
              </w:rPr>
            </w:pPr>
            <w:r w:rsidRPr="00A82CA6">
              <w:rPr>
                <w:rFonts w:cs="Arial"/>
                <w:color w:val="000000"/>
                <w:sz w:val="18"/>
                <w:szCs w:val="18"/>
              </w:rPr>
              <w:t>110</w:t>
            </w:r>
          </w:p>
        </w:tc>
        <w:tc>
          <w:tcPr>
            <w:tcW w:w="1177" w:type="dxa"/>
            <w:tcBorders>
              <w:top w:val="nil"/>
              <w:left w:val="nil"/>
              <w:bottom w:val="nil"/>
              <w:right w:val="nil"/>
            </w:tcBorders>
            <w:shd w:val="clear" w:color="000000" w:fill="F1F1F2"/>
            <w:noWrap/>
            <w:vAlign w:val="center"/>
            <w:hideMark/>
          </w:tcPr>
          <w:p w14:paraId="49114164" w14:textId="77777777" w:rsidR="00572F25" w:rsidRPr="00A82CA6" w:rsidRDefault="00572F25" w:rsidP="00140544">
            <w:pPr>
              <w:spacing w:after="0"/>
              <w:rPr>
                <w:rFonts w:cs="Arial"/>
                <w:color w:val="000000"/>
                <w:sz w:val="18"/>
                <w:szCs w:val="18"/>
              </w:rPr>
            </w:pPr>
            <w:r w:rsidRPr="00A82CA6">
              <w:rPr>
                <w:rFonts w:cs="Arial"/>
                <w:color w:val="000000"/>
                <w:sz w:val="18"/>
                <w:szCs w:val="18"/>
              </w:rPr>
              <w:t>60.8</w:t>
            </w:r>
          </w:p>
        </w:tc>
      </w:tr>
      <w:tr w:rsidR="00572F25" w:rsidRPr="00A82CA6" w14:paraId="5E1E5F22" w14:textId="77777777" w:rsidTr="00140544">
        <w:trPr>
          <w:trHeight w:val="300"/>
        </w:trPr>
        <w:tc>
          <w:tcPr>
            <w:tcW w:w="3780" w:type="dxa"/>
            <w:tcBorders>
              <w:top w:val="nil"/>
              <w:left w:val="nil"/>
              <w:bottom w:val="nil"/>
              <w:right w:val="nil"/>
            </w:tcBorders>
            <w:shd w:val="clear" w:color="000000" w:fill="FFFFFF"/>
            <w:noWrap/>
            <w:vAlign w:val="center"/>
            <w:hideMark/>
          </w:tcPr>
          <w:p w14:paraId="335CE930" w14:textId="77777777" w:rsidR="00572F25" w:rsidRPr="00A82CA6" w:rsidRDefault="00572F25" w:rsidP="00140544">
            <w:pPr>
              <w:spacing w:after="0"/>
              <w:rPr>
                <w:rFonts w:cs="Arial"/>
                <w:color w:val="000000"/>
                <w:sz w:val="18"/>
                <w:szCs w:val="18"/>
              </w:rPr>
            </w:pPr>
            <w:r w:rsidRPr="00A82CA6">
              <w:rPr>
                <w:rFonts w:cs="Arial"/>
                <w:color w:val="000000"/>
                <w:sz w:val="18"/>
                <w:szCs w:val="18"/>
              </w:rPr>
              <w:t>Abdominal surgery</w:t>
            </w:r>
          </w:p>
        </w:tc>
        <w:tc>
          <w:tcPr>
            <w:tcW w:w="928" w:type="dxa"/>
            <w:tcBorders>
              <w:top w:val="nil"/>
              <w:left w:val="nil"/>
              <w:bottom w:val="nil"/>
              <w:right w:val="nil"/>
            </w:tcBorders>
            <w:shd w:val="clear" w:color="000000" w:fill="FFFFFF"/>
            <w:vAlign w:val="center"/>
            <w:hideMark/>
          </w:tcPr>
          <w:p w14:paraId="0E6A9CA6" w14:textId="77777777" w:rsidR="00572F25" w:rsidRPr="00A82CA6" w:rsidRDefault="00572F25" w:rsidP="00140544">
            <w:pPr>
              <w:spacing w:after="0"/>
              <w:jc w:val="center"/>
              <w:rPr>
                <w:rFonts w:cs="Arial"/>
                <w:color w:val="000000"/>
                <w:sz w:val="18"/>
                <w:szCs w:val="18"/>
              </w:rPr>
            </w:pPr>
            <w:r w:rsidRPr="00A82CA6">
              <w:rPr>
                <w:rFonts w:cs="Arial"/>
                <w:color w:val="000000"/>
                <w:sz w:val="18"/>
                <w:szCs w:val="18"/>
              </w:rPr>
              <w:t>65</w:t>
            </w:r>
          </w:p>
        </w:tc>
        <w:tc>
          <w:tcPr>
            <w:tcW w:w="928" w:type="dxa"/>
            <w:tcBorders>
              <w:top w:val="nil"/>
              <w:left w:val="nil"/>
              <w:bottom w:val="nil"/>
              <w:right w:val="nil"/>
            </w:tcBorders>
            <w:shd w:val="clear" w:color="000000" w:fill="FFFFFF"/>
            <w:vAlign w:val="center"/>
            <w:hideMark/>
          </w:tcPr>
          <w:p w14:paraId="2B08475A" w14:textId="77777777" w:rsidR="00572F25" w:rsidRPr="00A82CA6" w:rsidRDefault="00572F25" w:rsidP="00140544">
            <w:pPr>
              <w:spacing w:after="0"/>
              <w:jc w:val="center"/>
              <w:rPr>
                <w:rFonts w:cs="Arial"/>
                <w:color w:val="000000"/>
                <w:sz w:val="18"/>
                <w:szCs w:val="18"/>
              </w:rPr>
            </w:pPr>
            <w:r w:rsidRPr="00A82CA6">
              <w:rPr>
                <w:rFonts w:cs="Arial"/>
                <w:color w:val="000000"/>
                <w:sz w:val="18"/>
                <w:szCs w:val="18"/>
              </w:rPr>
              <w:t>53</w:t>
            </w:r>
          </w:p>
        </w:tc>
        <w:tc>
          <w:tcPr>
            <w:tcW w:w="1310" w:type="dxa"/>
            <w:tcBorders>
              <w:top w:val="nil"/>
              <w:left w:val="nil"/>
              <w:bottom w:val="nil"/>
              <w:right w:val="nil"/>
            </w:tcBorders>
            <w:shd w:val="clear" w:color="000000" w:fill="FFFFFF"/>
            <w:noWrap/>
            <w:vAlign w:val="center"/>
            <w:hideMark/>
          </w:tcPr>
          <w:p w14:paraId="77A60043" w14:textId="77777777" w:rsidR="00572F25" w:rsidRPr="00A82CA6" w:rsidRDefault="00572F25" w:rsidP="00140544">
            <w:pPr>
              <w:spacing w:after="0"/>
              <w:jc w:val="right"/>
              <w:rPr>
                <w:rFonts w:cs="Arial"/>
                <w:color w:val="000000"/>
                <w:sz w:val="18"/>
                <w:szCs w:val="18"/>
              </w:rPr>
            </w:pPr>
            <w:r w:rsidRPr="00A82CA6">
              <w:rPr>
                <w:rFonts w:cs="Arial"/>
                <w:color w:val="000000"/>
                <w:sz w:val="18"/>
                <w:szCs w:val="18"/>
              </w:rPr>
              <w:t>118</w:t>
            </w:r>
          </w:p>
        </w:tc>
        <w:tc>
          <w:tcPr>
            <w:tcW w:w="1177" w:type="dxa"/>
            <w:tcBorders>
              <w:top w:val="nil"/>
              <w:left w:val="nil"/>
              <w:bottom w:val="nil"/>
              <w:right w:val="nil"/>
            </w:tcBorders>
            <w:shd w:val="clear" w:color="000000" w:fill="FFFFFF"/>
            <w:noWrap/>
            <w:vAlign w:val="center"/>
            <w:hideMark/>
          </w:tcPr>
          <w:p w14:paraId="36650FDD" w14:textId="77777777" w:rsidR="00572F25" w:rsidRPr="00A82CA6" w:rsidRDefault="00572F25" w:rsidP="00140544">
            <w:pPr>
              <w:spacing w:after="0"/>
              <w:rPr>
                <w:rFonts w:cs="Arial"/>
                <w:color w:val="000000"/>
                <w:sz w:val="18"/>
                <w:szCs w:val="18"/>
              </w:rPr>
            </w:pPr>
            <w:r w:rsidRPr="00A82CA6">
              <w:rPr>
                <w:rFonts w:cs="Arial"/>
                <w:color w:val="000000"/>
                <w:sz w:val="18"/>
                <w:szCs w:val="18"/>
              </w:rPr>
              <w:t>65.2</w:t>
            </w:r>
          </w:p>
        </w:tc>
      </w:tr>
      <w:tr w:rsidR="00572F25" w:rsidRPr="00A82CA6" w14:paraId="4E7D65A8" w14:textId="77777777" w:rsidTr="00140544">
        <w:trPr>
          <w:trHeight w:val="300"/>
        </w:trPr>
        <w:tc>
          <w:tcPr>
            <w:tcW w:w="3780" w:type="dxa"/>
            <w:tcBorders>
              <w:top w:val="nil"/>
              <w:left w:val="nil"/>
              <w:bottom w:val="nil"/>
              <w:right w:val="nil"/>
            </w:tcBorders>
            <w:shd w:val="clear" w:color="000000" w:fill="F1F1F2"/>
            <w:noWrap/>
            <w:vAlign w:val="center"/>
            <w:hideMark/>
          </w:tcPr>
          <w:p w14:paraId="4E3490FD" w14:textId="77777777" w:rsidR="00572F25" w:rsidRPr="00A82CA6" w:rsidRDefault="00572F25" w:rsidP="00140544">
            <w:pPr>
              <w:spacing w:after="0"/>
              <w:rPr>
                <w:rFonts w:cs="Arial"/>
                <w:color w:val="000000"/>
                <w:sz w:val="18"/>
                <w:szCs w:val="18"/>
              </w:rPr>
            </w:pPr>
            <w:r w:rsidRPr="00A82CA6">
              <w:rPr>
                <w:rFonts w:cs="Arial"/>
                <w:color w:val="000000"/>
                <w:sz w:val="18"/>
                <w:szCs w:val="18"/>
              </w:rPr>
              <w:t>Urological surgery</w:t>
            </w:r>
          </w:p>
        </w:tc>
        <w:tc>
          <w:tcPr>
            <w:tcW w:w="928" w:type="dxa"/>
            <w:tcBorders>
              <w:top w:val="nil"/>
              <w:left w:val="nil"/>
              <w:bottom w:val="nil"/>
              <w:right w:val="nil"/>
            </w:tcBorders>
            <w:shd w:val="clear" w:color="000000" w:fill="F1F1F2"/>
            <w:vAlign w:val="center"/>
            <w:hideMark/>
          </w:tcPr>
          <w:p w14:paraId="51AB1A7E" w14:textId="77777777" w:rsidR="00572F25" w:rsidRPr="00A82CA6" w:rsidRDefault="00572F25" w:rsidP="00140544">
            <w:pPr>
              <w:spacing w:after="0"/>
              <w:jc w:val="center"/>
              <w:rPr>
                <w:rFonts w:cs="Arial"/>
                <w:color w:val="000000"/>
                <w:sz w:val="18"/>
                <w:szCs w:val="18"/>
              </w:rPr>
            </w:pPr>
            <w:r w:rsidRPr="00A82CA6">
              <w:rPr>
                <w:rFonts w:cs="Arial"/>
                <w:color w:val="000000"/>
                <w:sz w:val="18"/>
                <w:szCs w:val="18"/>
              </w:rPr>
              <w:t>51</w:t>
            </w:r>
          </w:p>
        </w:tc>
        <w:tc>
          <w:tcPr>
            <w:tcW w:w="928" w:type="dxa"/>
            <w:tcBorders>
              <w:top w:val="nil"/>
              <w:left w:val="nil"/>
              <w:bottom w:val="nil"/>
              <w:right w:val="nil"/>
            </w:tcBorders>
            <w:shd w:val="clear" w:color="000000" w:fill="F1F1F2"/>
            <w:vAlign w:val="center"/>
            <w:hideMark/>
          </w:tcPr>
          <w:p w14:paraId="2C2432C9" w14:textId="77777777" w:rsidR="00572F25" w:rsidRPr="00A82CA6" w:rsidRDefault="00572F25" w:rsidP="00140544">
            <w:pPr>
              <w:spacing w:after="0"/>
              <w:jc w:val="center"/>
              <w:rPr>
                <w:rFonts w:cs="Arial"/>
                <w:color w:val="000000"/>
                <w:sz w:val="18"/>
                <w:szCs w:val="18"/>
              </w:rPr>
            </w:pPr>
            <w:r w:rsidRPr="00A82CA6">
              <w:rPr>
                <w:rFonts w:cs="Arial"/>
                <w:color w:val="000000"/>
                <w:sz w:val="18"/>
                <w:szCs w:val="18"/>
              </w:rPr>
              <w:t>48</w:t>
            </w:r>
          </w:p>
        </w:tc>
        <w:tc>
          <w:tcPr>
            <w:tcW w:w="1310" w:type="dxa"/>
            <w:tcBorders>
              <w:top w:val="nil"/>
              <w:left w:val="nil"/>
              <w:bottom w:val="nil"/>
              <w:right w:val="nil"/>
            </w:tcBorders>
            <w:shd w:val="clear" w:color="000000" w:fill="F1F1F2"/>
            <w:noWrap/>
            <w:vAlign w:val="center"/>
            <w:hideMark/>
          </w:tcPr>
          <w:p w14:paraId="03BD08CA" w14:textId="77777777" w:rsidR="00572F25" w:rsidRPr="00A82CA6" w:rsidRDefault="00572F25" w:rsidP="00140544">
            <w:pPr>
              <w:spacing w:after="0"/>
              <w:jc w:val="right"/>
              <w:rPr>
                <w:rFonts w:cs="Arial"/>
                <w:color w:val="000000"/>
                <w:sz w:val="18"/>
                <w:szCs w:val="18"/>
              </w:rPr>
            </w:pPr>
            <w:r w:rsidRPr="00A82CA6">
              <w:rPr>
                <w:rFonts w:cs="Arial"/>
                <w:color w:val="000000"/>
                <w:sz w:val="18"/>
                <w:szCs w:val="18"/>
              </w:rPr>
              <w:t>99</w:t>
            </w:r>
          </w:p>
        </w:tc>
        <w:tc>
          <w:tcPr>
            <w:tcW w:w="1177" w:type="dxa"/>
            <w:tcBorders>
              <w:top w:val="nil"/>
              <w:left w:val="nil"/>
              <w:bottom w:val="nil"/>
              <w:right w:val="nil"/>
            </w:tcBorders>
            <w:shd w:val="clear" w:color="000000" w:fill="F1F1F2"/>
            <w:noWrap/>
            <w:vAlign w:val="center"/>
            <w:hideMark/>
          </w:tcPr>
          <w:p w14:paraId="0606D09A" w14:textId="77777777" w:rsidR="00572F25" w:rsidRPr="00A82CA6" w:rsidRDefault="00572F25" w:rsidP="00140544">
            <w:pPr>
              <w:spacing w:after="0"/>
              <w:rPr>
                <w:rFonts w:cs="Arial"/>
                <w:color w:val="000000"/>
                <w:sz w:val="18"/>
                <w:szCs w:val="18"/>
              </w:rPr>
            </w:pPr>
            <w:r w:rsidRPr="00A82CA6">
              <w:rPr>
                <w:rFonts w:cs="Arial"/>
                <w:color w:val="000000"/>
                <w:sz w:val="18"/>
                <w:szCs w:val="18"/>
              </w:rPr>
              <w:t>54.7</w:t>
            </w:r>
          </w:p>
        </w:tc>
      </w:tr>
      <w:tr w:rsidR="00572F25" w:rsidRPr="00A82CA6" w14:paraId="019AEF25" w14:textId="77777777" w:rsidTr="00140544">
        <w:trPr>
          <w:trHeight w:val="300"/>
        </w:trPr>
        <w:tc>
          <w:tcPr>
            <w:tcW w:w="3780" w:type="dxa"/>
            <w:tcBorders>
              <w:top w:val="nil"/>
              <w:left w:val="nil"/>
              <w:bottom w:val="nil"/>
              <w:right w:val="nil"/>
            </w:tcBorders>
            <w:shd w:val="clear" w:color="000000" w:fill="FFFFFF"/>
            <w:noWrap/>
            <w:vAlign w:val="center"/>
            <w:hideMark/>
          </w:tcPr>
          <w:p w14:paraId="3BB1C356" w14:textId="77777777" w:rsidR="00572F25" w:rsidRPr="00A82CA6" w:rsidRDefault="00572F25" w:rsidP="00140544">
            <w:pPr>
              <w:spacing w:after="0"/>
              <w:rPr>
                <w:rFonts w:cs="Arial"/>
                <w:color w:val="000000"/>
                <w:sz w:val="18"/>
                <w:szCs w:val="18"/>
              </w:rPr>
            </w:pPr>
            <w:r w:rsidRPr="00A82CA6">
              <w:rPr>
                <w:rFonts w:cs="Arial"/>
                <w:color w:val="000000"/>
                <w:sz w:val="18"/>
                <w:szCs w:val="18"/>
              </w:rPr>
              <w:t>Head and neck surgery</w:t>
            </w:r>
          </w:p>
        </w:tc>
        <w:tc>
          <w:tcPr>
            <w:tcW w:w="928" w:type="dxa"/>
            <w:tcBorders>
              <w:top w:val="nil"/>
              <w:left w:val="nil"/>
              <w:bottom w:val="nil"/>
              <w:right w:val="nil"/>
            </w:tcBorders>
            <w:shd w:val="clear" w:color="000000" w:fill="FFFFFF"/>
            <w:vAlign w:val="center"/>
            <w:hideMark/>
          </w:tcPr>
          <w:p w14:paraId="2D9F83E6" w14:textId="77777777" w:rsidR="00572F25" w:rsidRPr="00A82CA6" w:rsidRDefault="00572F25" w:rsidP="00140544">
            <w:pPr>
              <w:spacing w:after="0"/>
              <w:jc w:val="center"/>
              <w:rPr>
                <w:rFonts w:cs="Arial"/>
                <w:color w:val="000000"/>
                <w:sz w:val="18"/>
                <w:szCs w:val="18"/>
              </w:rPr>
            </w:pPr>
            <w:r w:rsidRPr="00A82CA6">
              <w:rPr>
                <w:rFonts w:cs="Arial"/>
                <w:color w:val="000000"/>
                <w:sz w:val="18"/>
                <w:szCs w:val="18"/>
              </w:rPr>
              <w:t>51</w:t>
            </w:r>
          </w:p>
        </w:tc>
        <w:tc>
          <w:tcPr>
            <w:tcW w:w="928" w:type="dxa"/>
            <w:tcBorders>
              <w:top w:val="nil"/>
              <w:left w:val="nil"/>
              <w:bottom w:val="nil"/>
              <w:right w:val="nil"/>
            </w:tcBorders>
            <w:shd w:val="clear" w:color="000000" w:fill="FFFFFF"/>
            <w:vAlign w:val="center"/>
            <w:hideMark/>
          </w:tcPr>
          <w:p w14:paraId="5B93D73C" w14:textId="77777777" w:rsidR="00572F25" w:rsidRPr="00A82CA6" w:rsidRDefault="00572F25" w:rsidP="00140544">
            <w:pPr>
              <w:spacing w:after="0"/>
              <w:jc w:val="center"/>
              <w:rPr>
                <w:rFonts w:cs="Arial"/>
                <w:color w:val="000000"/>
                <w:sz w:val="18"/>
                <w:szCs w:val="18"/>
              </w:rPr>
            </w:pPr>
            <w:r w:rsidRPr="00A82CA6">
              <w:rPr>
                <w:rFonts w:cs="Arial"/>
                <w:color w:val="000000"/>
                <w:sz w:val="18"/>
                <w:szCs w:val="18"/>
              </w:rPr>
              <w:t>42</w:t>
            </w:r>
          </w:p>
        </w:tc>
        <w:tc>
          <w:tcPr>
            <w:tcW w:w="1310" w:type="dxa"/>
            <w:tcBorders>
              <w:top w:val="nil"/>
              <w:left w:val="nil"/>
              <w:bottom w:val="nil"/>
              <w:right w:val="nil"/>
            </w:tcBorders>
            <w:shd w:val="clear" w:color="000000" w:fill="FFFFFF"/>
            <w:noWrap/>
            <w:vAlign w:val="center"/>
            <w:hideMark/>
          </w:tcPr>
          <w:p w14:paraId="51B4F9FA" w14:textId="77777777" w:rsidR="00572F25" w:rsidRPr="00A82CA6" w:rsidRDefault="00572F25" w:rsidP="00140544">
            <w:pPr>
              <w:spacing w:after="0"/>
              <w:jc w:val="right"/>
              <w:rPr>
                <w:rFonts w:cs="Arial"/>
                <w:color w:val="000000"/>
                <w:sz w:val="18"/>
                <w:szCs w:val="18"/>
              </w:rPr>
            </w:pPr>
            <w:r w:rsidRPr="00A82CA6">
              <w:rPr>
                <w:rFonts w:cs="Arial"/>
                <w:color w:val="000000"/>
                <w:sz w:val="18"/>
                <w:szCs w:val="18"/>
              </w:rPr>
              <w:t>93</w:t>
            </w:r>
          </w:p>
        </w:tc>
        <w:tc>
          <w:tcPr>
            <w:tcW w:w="1177" w:type="dxa"/>
            <w:tcBorders>
              <w:top w:val="nil"/>
              <w:left w:val="nil"/>
              <w:bottom w:val="nil"/>
              <w:right w:val="nil"/>
            </w:tcBorders>
            <w:shd w:val="clear" w:color="000000" w:fill="FFFFFF"/>
            <w:noWrap/>
            <w:vAlign w:val="center"/>
            <w:hideMark/>
          </w:tcPr>
          <w:p w14:paraId="26E6DC37" w14:textId="77777777" w:rsidR="00572F25" w:rsidRPr="00A82CA6" w:rsidRDefault="00572F25" w:rsidP="00140544">
            <w:pPr>
              <w:spacing w:after="0"/>
              <w:rPr>
                <w:rFonts w:cs="Arial"/>
                <w:color w:val="000000"/>
                <w:sz w:val="18"/>
                <w:szCs w:val="18"/>
              </w:rPr>
            </w:pPr>
            <w:r w:rsidRPr="00A82CA6">
              <w:rPr>
                <w:rFonts w:cs="Arial"/>
                <w:color w:val="000000"/>
                <w:sz w:val="18"/>
                <w:szCs w:val="18"/>
              </w:rPr>
              <w:t>51.4</w:t>
            </w:r>
          </w:p>
        </w:tc>
      </w:tr>
      <w:tr w:rsidR="00572F25" w:rsidRPr="00A82CA6" w14:paraId="230F642F" w14:textId="77777777" w:rsidTr="00140544">
        <w:trPr>
          <w:trHeight w:val="300"/>
        </w:trPr>
        <w:tc>
          <w:tcPr>
            <w:tcW w:w="3780" w:type="dxa"/>
            <w:tcBorders>
              <w:top w:val="nil"/>
              <w:left w:val="nil"/>
              <w:bottom w:val="nil"/>
              <w:right w:val="nil"/>
            </w:tcBorders>
            <w:shd w:val="clear" w:color="000000" w:fill="F1F1F2"/>
            <w:noWrap/>
            <w:vAlign w:val="center"/>
            <w:hideMark/>
          </w:tcPr>
          <w:p w14:paraId="2FD504A8" w14:textId="77777777" w:rsidR="00572F25" w:rsidRPr="00A82CA6" w:rsidRDefault="00572F25" w:rsidP="00140544">
            <w:pPr>
              <w:spacing w:after="0"/>
              <w:rPr>
                <w:rFonts w:cs="Arial"/>
                <w:color w:val="000000"/>
                <w:sz w:val="18"/>
                <w:szCs w:val="18"/>
              </w:rPr>
            </w:pPr>
            <w:r w:rsidRPr="00A82CA6">
              <w:rPr>
                <w:rFonts w:cs="Arial"/>
                <w:color w:val="000000"/>
                <w:sz w:val="18"/>
                <w:szCs w:val="18"/>
              </w:rPr>
              <w:t>Gynaecological surgery</w:t>
            </w:r>
          </w:p>
        </w:tc>
        <w:tc>
          <w:tcPr>
            <w:tcW w:w="928" w:type="dxa"/>
            <w:tcBorders>
              <w:top w:val="nil"/>
              <w:left w:val="nil"/>
              <w:bottom w:val="nil"/>
              <w:right w:val="nil"/>
            </w:tcBorders>
            <w:shd w:val="clear" w:color="000000" w:fill="F1F1F2"/>
            <w:vAlign w:val="center"/>
            <w:hideMark/>
          </w:tcPr>
          <w:p w14:paraId="1A206CF0" w14:textId="77777777" w:rsidR="00572F25" w:rsidRPr="00A82CA6" w:rsidRDefault="00572F25" w:rsidP="00140544">
            <w:pPr>
              <w:spacing w:after="0"/>
              <w:jc w:val="center"/>
              <w:rPr>
                <w:rFonts w:cs="Arial"/>
                <w:color w:val="000000"/>
                <w:sz w:val="18"/>
                <w:szCs w:val="18"/>
              </w:rPr>
            </w:pPr>
            <w:r w:rsidRPr="00A82CA6">
              <w:rPr>
                <w:rFonts w:cs="Arial"/>
                <w:color w:val="000000"/>
                <w:sz w:val="18"/>
                <w:szCs w:val="18"/>
              </w:rPr>
              <w:t>49</w:t>
            </w:r>
          </w:p>
        </w:tc>
        <w:tc>
          <w:tcPr>
            <w:tcW w:w="928" w:type="dxa"/>
            <w:tcBorders>
              <w:top w:val="nil"/>
              <w:left w:val="nil"/>
              <w:bottom w:val="nil"/>
              <w:right w:val="nil"/>
            </w:tcBorders>
            <w:shd w:val="clear" w:color="000000" w:fill="F1F1F2"/>
            <w:vAlign w:val="center"/>
            <w:hideMark/>
          </w:tcPr>
          <w:p w14:paraId="68FFF23D" w14:textId="77777777" w:rsidR="00572F25" w:rsidRPr="00A82CA6" w:rsidRDefault="00572F25" w:rsidP="00140544">
            <w:pPr>
              <w:spacing w:after="0"/>
              <w:jc w:val="center"/>
              <w:rPr>
                <w:rFonts w:cs="Arial"/>
                <w:color w:val="000000"/>
                <w:sz w:val="18"/>
                <w:szCs w:val="18"/>
              </w:rPr>
            </w:pPr>
            <w:r w:rsidRPr="00A82CA6">
              <w:rPr>
                <w:rFonts w:cs="Arial"/>
                <w:color w:val="000000"/>
                <w:sz w:val="18"/>
                <w:szCs w:val="18"/>
              </w:rPr>
              <w:t>32</w:t>
            </w:r>
          </w:p>
        </w:tc>
        <w:tc>
          <w:tcPr>
            <w:tcW w:w="1310" w:type="dxa"/>
            <w:tcBorders>
              <w:top w:val="nil"/>
              <w:left w:val="nil"/>
              <w:bottom w:val="nil"/>
              <w:right w:val="nil"/>
            </w:tcBorders>
            <w:shd w:val="clear" w:color="000000" w:fill="F1F1F2"/>
            <w:noWrap/>
            <w:vAlign w:val="center"/>
            <w:hideMark/>
          </w:tcPr>
          <w:p w14:paraId="3DFCF573" w14:textId="77777777" w:rsidR="00572F25" w:rsidRPr="00A82CA6" w:rsidRDefault="00572F25" w:rsidP="00140544">
            <w:pPr>
              <w:spacing w:after="0"/>
              <w:jc w:val="right"/>
              <w:rPr>
                <w:rFonts w:cs="Arial"/>
                <w:color w:val="000000"/>
                <w:sz w:val="18"/>
                <w:szCs w:val="18"/>
              </w:rPr>
            </w:pPr>
            <w:r w:rsidRPr="00A82CA6">
              <w:rPr>
                <w:rFonts w:cs="Arial"/>
                <w:color w:val="000000"/>
                <w:sz w:val="18"/>
                <w:szCs w:val="18"/>
              </w:rPr>
              <w:t>81</w:t>
            </w:r>
          </w:p>
        </w:tc>
        <w:tc>
          <w:tcPr>
            <w:tcW w:w="1177" w:type="dxa"/>
            <w:tcBorders>
              <w:top w:val="nil"/>
              <w:left w:val="nil"/>
              <w:bottom w:val="nil"/>
              <w:right w:val="nil"/>
            </w:tcBorders>
            <w:shd w:val="clear" w:color="000000" w:fill="F1F1F2"/>
            <w:noWrap/>
            <w:vAlign w:val="center"/>
            <w:hideMark/>
          </w:tcPr>
          <w:p w14:paraId="2C61127F" w14:textId="77777777" w:rsidR="00572F25" w:rsidRPr="00A82CA6" w:rsidRDefault="00572F25" w:rsidP="00140544">
            <w:pPr>
              <w:spacing w:after="0"/>
              <w:rPr>
                <w:rFonts w:cs="Arial"/>
                <w:color w:val="000000"/>
                <w:sz w:val="18"/>
                <w:szCs w:val="18"/>
              </w:rPr>
            </w:pPr>
            <w:r w:rsidRPr="00A82CA6">
              <w:rPr>
                <w:rFonts w:cs="Arial"/>
                <w:color w:val="000000"/>
                <w:sz w:val="18"/>
                <w:szCs w:val="18"/>
              </w:rPr>
              <w:t>44.8</w:t>
            </w:r>
          </w:p>
        </w:tc>
      </w:tr>
      <w:tr w:rsidR="00572F25" w:rsidRPr="00A82CA6" w14:paraId="70868377" w14:textId="77777777" w:rsidTr="00140544">
        <w:trPr>
          <w:trHeight w:val="300"/>
        </w:trPr>
        <w:tc>
          <w:tcPr>
            <w:tcW w:w="3780" w:type="dxa"/>
            <w:tcBorders>
              <w:top w:val="nil"/>
              <w:left w:val="nil"/>
              <w:bottom w:val="nil"/>
              <w:right w:val="nil"/>
            </w:tcBorders>
            <w:shd w:val="clear" w:color="000000" w:fill="FFFFFF"/>
            <w:noWrap/>
            <w:vAlign w:val="center"/>
            <w:hideMark/>
          </w:tcPr>
          <w:p w14:paraId="208334F2" w14:textId="77777777" w:rsidR="00572F25" w:rsidRPr="00A82CA6" w:rsidRDefault="00572F25" w:rsidP="00140544">
            <w:pPr>
              <w:spacing w:after="0"/>
              <w:rPr>
                <w:rFonts w:cs="Arial"/>
                <w:color w:val="000000"/>
                <w:sz w:val="18"/>
                <w:szCs w:val="18"/>
              </w:rPr>
            </w:pPr>
            <w:r w:rsidRPr="00A82CA6">
              <w:rPr>
                <w:rFonts w:cs="Arial"/>
                <w:color w:val="000000"/>
                <w:sz w:val="18"/>
                <w:szCs w:val="18"/>
              </w:rPr>
              <w:t>Obstetrics</w:t>
            </w:r>
          </w:p>
        </w:tc>
        <w:tc>
          <w:tcPr>
            <w:tcW w:w="928" w:type="dxa"/>
            <w:tcBorders>
              <w:top w:val="nil"/>
              <w:left w:val="nil"/>
              <w:bottom w:val="nil"/>
              <w:right w:val="nil"/>
            </w:tcBorders>
            <w:shd w:val="clear" w:color="000000" w:fill="FFFFFF"/>
            <w:vAlign w:val="center"/>
            <w:hideMark/>
          </w:tcPr>
          <w:p w14:paraId="6492E188" w14:textId="77777777" w:rsidR="00572F25" w:rsidRPr="00A82CA6" w:rsidRDefault="00572F25" w:rsidP="00140544">
            <w:pPr>
              <w:spacing w:after="0"/>
              <w:jc w:val="center"/>
              <w:rPr>
                <w:rFonts w:cs="Arial"/>
                <w:color w:val="000000"/>
                <w:sz w:val="18"/>
                <w:szCs w:val="18"/>
              </w:rPr>
            </w:pPr>
            <w:r w:rsidRPr="00A82CA6">
              <w:rPr>
                <w:rFonts w:cs="Arial"/>
                <w:color w:val="000000"/>
                <w:sz w:val="18"/>
                <w:szCs w:val="18"/>
              </w:rPr>
              <w:t>57</w:t>
            </w:r>
          </w:p>
        </w:tc>
        <w:tc>
          <w:tcPr>
            <w:tcW w:w="928" w:type="dxa"/>
            <w:tcBorders>
              <w:top w:val="nil"/>
              <w:left w:val="nil"/>
              <w:bottom w:val="nil"/>
              <w:right w:val="nil"/>
            </w:tcBorders>
            <w:shd w:val="clear" w:color="000000" w:fill="FFFFFF"/>
            <w:vAlign w:val="center"/>
            <w:hideMark/>
          </w:tcPr>
          <w:p w14:paraId="71E31264" w14:textId="77777777" w:rsidR="00572F25" w:rsidRPr="00A82CA6" w:rsidRDefault="00572F25" w:rsidP="00140544">
            <w:pPr>
              <w:spacing w:after="0"/>
              <w:jc w:val="center"/>
              <w:rPr>
                <w:rFonts w:cs="Arial"/>
                <w:color w:val="000000"/>
                <w:sz w:val="18"/>
                <w:szCs w:val="18"/>
              </w:rPr>
            </w:pPr>
            <w:r w:rsidRPr="00A82CA6">
              <w:rPr>
                <w:rFonts w:cs="Arial"/>
                <w:color w:val="000000"/>
                <w:sz w:val="18"/>
                <w:szCs w:val="18"/>
              </w:rPr>
              <w:t>31</w:t>
            </w:r>
          </w:p>
        </w:tc>
        <w:tc>
          <w:tcPr>
            <w:tcW w:w="1310" w:type="dxa"/>
            <w:tcBorders>
              <w:top w:val="nil"/>
              <w:left w:val="nil"/>
              <w:bottom w:val="nil"/>
              <w:right w:val="nil"/>
            </w:tcBorders>
            <w:shd w:val="clear" w:color="000000" w:fill="FFFFFF"/>
            <w:noWrap/>
            <w:vAlign w:val="center"/>
            <w:hideMark/>
          </w:tcPr>
          <w:p w14:paraId="2F458D6D" w14:textId="77777777" w:rsidR="00572F25" w:rsidRPr="00A82CA6" w:rsidRDefault="00572F25" w:rsidP="00140544">
            <w:pPr>
              <w:spacing w:after="0"/>
              <w:jc w:val="right"/>
              <w:rPr>
                <w:rFonts w:cs="Arial"/>
                <w:color w:val="000000"/>
                <w:sz w:val="18"/>
                <w:szCs w:val="18"/>
              </w:rPr>
            </w:pPr>
            <w:r w:rsidRPr="00A82CA6">
              <w:rPr>
                <w:rFonts w:cs="Arial"/>
                <w:color w:val="000000"/>
                <w:sz w:val="18"/>
                <w:szCs w:val="18"/>
              </w:rPr>
              <w:t>88</w:t>
            </w:r>
          </w:p>
        </w:tc>
        <w:tc>
          <w:tcPr>
            <w:tcW w:w="1177" w:type="dxa"/>
            <w:tcBorders>
              <w:top w:val="nil"/>
              <w:left w:val="nil"/>
              <w:bottom w:val="nil"/>
              <w:right w:val="nil"/>
            </w:tcBorders>
            <w:shd w:val="clear" w:color="000000" w:fill="FFFFFF"/>
            <w:noWrap/>
            <w:vAlign w:val="center"/>
            <w:hideMark/>
          </w:tcPr>
          <w:p w14:paraId="1A4F5542" w14:textId="77777777" w:rsidR="00572F25" w:rsidRPr="00A82CA6" w:rsidRDefault="00572F25" w:rsidP="00140544">
            <w:pPr>
              <w:spacing w:after="0"/>
              <w:rPr>
                <w:rFonts w:cs="Arial"/>
                <w:color w:val="000000"/>
                <w:sz w:val="18"/>
                <w:szCs w:val="18"/>
              </w:rPr>
            </w:pPr>
            <w:r w:rsidRPr="00A82CA6">
              <w:rPr>
                <w:rFonts w:cs="Arial"/>
                <w:color w:val="000000"/>
                <w:sz w:val="18"/>
                <w:szCs w:val="18"/>
              </w:rPr>
              <w:t>48.6</w:t>
            </w:r>
          </w:p>
        </w:tc>
      </w:tr>
      <w:tr w:rsidR="00572F25" w:rsidRPr="00A82CA6" w14:paraId="1434F3BF" w14:textId="77777777" w:rsidTr="00140544">
        <w:trPr>
          <w:trHeight w:val="300"/>
        </w:trPr>
        <w:tc>
          <w:tcPr>
            <w:tcW w:w="3780" w:type="dxa"/>
            <w:tcBorders>
              <w:top w:val="nil"/>
              <w:left w:val="nil"/>
              <w:bottom w:val="nil"/>
              <w:right w:val="nil"/>
            </w:tcBorders>
            <w:shd w:val="clear" w:color="000000" w:fill="F1F1F2"/>
            <w:noWrap/>
            <w:vAlign w:val="center"/>
            <w:hideMark/>
          </w:tcPr>
          <w:p w14:paraId="736E58CC" w14:textId="77777777" w:rsidR="00572F25" w:rsidRPr="00A82CA6" w:rsidRDefault="00572F25" w:rsidP="00140544">
            <w:pPr>
              <w:spacing w:after="0"/>
              <w:rPr>
                <w:rFonts w:cs="Arial"/>
                <w:color w:val="000000"/>
                <w:sz w:val="18"/>
                <w:szCs w:val="18"/>
              </w:rPr>
            </w:pPr>
            <w:r w:rsidRPr="00A82CA6">
              <w:rPr>
                <w:rFonts w:cs="Arial"/>
                <w:color w:val="000000"/>
                <w:sz w:val="18"/>
                <w:szCs w:val="18"/>
              </w:rPr>
              <w:t>Gastrointestinal endoscopic procedures</w:t>
            </w:r>
          </w:p>
        </w:tc>
        <w:tc>
          <w:tcPr>
            <w:tcW w:w="928" w:type="dxa"/>
            <w:tcBorders>
              <w:top w:val="nil"/>
              <w:left w:val="nil"/>
              <w:bottom w:val="nil"/>
              <w:right w:val="nil"/>
            </w:tcBorders>
            <w:shd w:val="clear" w:color="000000" w:fill="F1F1F2"/>
            <w:vAlign w:val="center"/>
            <w:hideMark/>
          </w:tcPr>
          <w:p w14:paraId="6B5191F4" w14:textId="77777777" w:rsidR="00572F25" w:rsidRPr="00A82CA6" w:rsidRDefault="00572F25" w:rsidP="00140544">
            <w:pPr>
              <w:spacing w:after="0"/>
              <w:jc w:val="center"/>
              <w:rPr>
                <w:rFonts w:cs="Arial"/>
                <w:color w:val="000000"/>
                <w:sz w:val="18"/>
                <w:szCs w:val="18"/>
              </w:rPr>
            </w:pPr>
            <w:r w:rsidRPr="00A82CA6">
              <w:rPr>
                <w:rFonts w:cs="Arial"/>
                <w:color w:val="000000"/>
                <w:sz w:val="18"/>
                <w:szCs w:val="18"/>
              </w:rPr>
              <w:t>51</w:t>
            </w:r>
          </w:p>
        </w:tc>
        <w:tc>
          <w:tcPr>
            <w:tcW w:w="928" w:type="dxa"/>
            <w:tcBorders>
              <w:top w:val="nil"/>
              <w:left w:val="nil"/>
              <w:bottom w:val="nil"/>
              <w:right w:val="nil"/>
            </w:tcBorders>
            <w:shd w:val="clear" w:color="000000" w:fill="F1F1F2"/>
            <w:vAlign w:val="center"/>
            <w:hideMark/>
          </w:tcPr>
          <w:p w14:paraId="3359239E" w14:textId="77777777" w:rsidR="00572F25" w:rsidRPr="00A82CA6" w:rsidRDefault="00572F25" w:rsidP="00140544">
            <w:pPr>
              <w:spacing w:after="0"/>
              <w:jc w:val="center"/>
              <w:rPr>
                <w:rFonts w:cs="Arial"/>
                <w:color w:val="000000"/>
                <w:sz w:val="18"/>
                <w:szCs w:val="18"/>
              </w:rPr>
            </w:pPr>
            <w:r w:rsidRPr="00A82CA6">
              <w:rPr>
                <w:rFonts w:cs="Arial"/>
                <w:color w:val="000000"/>
                <w:sz w:val="18"/>
                <w:szCs w:val="18"/>
              </w:rPr>
              <w:t>27</w:t>
            </w:r>
          </w:p>
        </w:tc>
        <w:tc>
          <w:tcPr>
            <w:tcW w:w="1310" w:type="dxa"/>
            <w:tcBorders>
              <w:top w:val="nil"/>
              <w:left w:val="nil"/>
              <w:bottom w:val="nil"/>
              <w:right w:val="nil"/>
            </w:tcBorders>
            <w:shd w:val="clear" w:color="000000" w:fill="F1F1F2"/>
            <w:noWrap/>
            <w:vAlign w:val="center"/>
            <w:hideMark/>
          </w:tcPr>
          <w:p w14:paraId="7DB8467A" w14:textId="77777777" w:rsidR="00572F25" w:rsidRPr="00A82CA6" w:rsidRDefault="00572F25" w:rsidP="00140544">
            <w:pPr>
              <w:spacing w:after="0"/>
              <w:jc w:val="right"/>
              <w:rPr>
                <w:rFonts w:cs="Arial"/>
                <w:color w:val="000000"/>
                <w:sz w:val="18"/>
                <w:szCs w:val="18"/>
              </w:rPr>
            </w:pPr>
            <w:r w:rsidRPr="00A82CA6">
              <w:rPr>
                <w:rFonts w:cs="Arial"/>
                <w:color w:val="000000"/>
                <w:sz w:val="18"/>
                <w:szCs w:val="18"/>
              </w:rPr>
              <w:t>78</w:t>
            </w:r>
          </w:p>
        </w:tc>
        <w:tc>
          <w:tcPr>
            <w:tcW w:w="1177" w:type="dxa"/>
            <w:tcBorders>
              <w:top w:val="nil"/>
              <w:left w:val="nil"/>
              <w:bottom w:val="nil"/>
              <w:right w:val="nil"/>
            </w:tcBorders>
            <w:shd w:val="clear" w:color="000000" w:fill="F1F1F2"/>
            <w:noWrap/>
            <w:vAlign w:val="center"/>
            <w:hideMark/>
          </w:tcPr>
          <w:p w14:paraId="2174AD9C" w14:textId="77777777" w:rsidR="00572F25" w:rsidRPr="00A82CA6" w:rsidRDefault="00572F25" w:rsidP="00140544">
            <w:pPr>
              <w:spacing w:after="0"/>
              <w:rPr>
                <w:rFonts w:cs="Arial"/>
                <w:color w:val="000000"/>
                <w:sz w:val="18"/>
                <w:szCs w:val="18"/>
              </w:rPr>
            </w:pPr>
            <w:r w:rsidRPr="00A82CA6">
              <w:rPr>
                <w:rFonts w:cs="Arial"/>
                <w:color w:val="000000"/>
                <w:sz w:val="18"/>
                <w:szCs w:val="18"/>
              </w:rPr>
              <w:t>43.1</w:t>
            </w:r>
          </w:p>
        </w:tc>
      </w:tr>
      <w:tr w:rsidR="00572F25" w:rsidRPr="00A82CA6" w14:paraId="718FFE7E" w14:textId="77777777" w:rsidTr="00140544">
        <w:trPr>
          <w:trHeight w:val="300"/>
        </w:trPr>
        <w:tc>
          <w:tcPr>
            <w:tcW w:w="3780" w:type="dxa"/>
            <w:tcBorders>
              <w:top w:val="nil"/>
              <w:left w:val="nil"/>
              <w:bottom w:val="nil"/>
              <w:right w:val="nil"/>
            </w:tcBorders>
            <w:shd w:val="clear" w:color="000000" w:fill="FFFFFF"/>
            <w:noWrap/>
            <w:vAlign w:val="center"/>
            <w:hideMark/>
          </w:tcPr>
          <w:p w14:paraId="4E779118" w14:textId="77777777" w:rsidR="00572F25" w:rsidRPr="00A82CA6" w:rsidRDefault="00572F25" w:rsidP="00140544">
            <w:pPr>
              <w:spacing w:after="0"/>
              <w:rPr>
                <w:rFonts w:cs="Arial"/>
                <w:color w:val="000000"/>
                <w:sz w:val="18"/>
                <w:szCs w:val="18"/>
              </w:rPr>
            </w:pPr>
            <w:r w:rsidRPr="00A82CA6">
              <w:rPr>
                <w:rFonts w:cs="Arial"/>
                <w:color w:val="000000"/>
                <w:sz w:val="18"/>
                <w:szCs w:val="18"/>
              </w:rPr>
              <w:t>Ophthalmology</w:t>
            </w:r>
          </w:p>
        </w:tc>
        <w:tc>
          <w:tcPr>
            <w:tcW w:w="928" w:type="dxa"/>
            <w:tcBorders>
              <w:top w:val="nil"/>
              <w:left w:val="nil"/>
              <w:bottom w:val="nil"/>
              <w:right w:val="nil"/>
            </w:tcBorders>
            <w:shd w:val="clear" w:color="000000" w:fill="FFFFFF"/>
            <w:vAlign w:val="center"/>
            <w:hideMark/>
          </w:tcPr>
          <w:p w14:paraId="5C063416" w14:textId="77777777" w:rsidR="00572F25" w:rsidRPr="00A82CA6" w:rsidRDefault="00572F25" w:rsidP="00140544">
            <w:pPr>
              <w:spacing w:after="0"/>
              <w:jc w:val="center"/>
              <w:rPr>
                <w:rFonts w:cs="Arial"/>
                <w:color w:val="000000"/>
                <w:sz w:val="18"/>
                <w:szCs w:val="18"/>
              </w:rPr>
            </w:pPr>
            <w:r w:rsidRPr="00A82CA6">
              <w:rPr>
                <w:rFonts w:cs="Arial"/>
                <w:color w:val="000000"/>
                <w:sz w:val="18"/>
                <w:szCs w:val="18"/>
              </w:rPr>
              <w:t>24</w:t>
            </w:r>
          </w:p>
        </w:tc>
        <w:tc>
          <w:tcPr>
            <w:tcW w:w="928" w:type="dxa"/>
            <w:tcBorders>
              <w:top w:val="nil"/>
              <w:left w:val="nil"/>
              <w:bottom w:val="nil"/>
              <w:right w:val="nil"/>
            </w:tcBorders>
            <w:shd w:val="clear" w:color="000000" w:fill="FFFFFF"/>
            <w:vAlign w:val="center"/>
            <w:hideMark/>
          </w:tcPr>
          <w:p w14:paraId="75091F2F" w14:textId="77777777" w:rsidR="00572F25" w:rsidRPr="00A82CA6" w:rsidRDefault="00572F25" w:rsidP="00140544">
            <w:pPr>
              <w:spacing w:after="0"/>
              <w:jc w:val="center"/>
              <w:rPr>
                <w:rFonts w:cs="Arial"/>
                <w:color w:val="000000"/>
                <w:sz w:val="18"/>
                <w:szCs w:val="18"/>
              </w:rPr>
            </w:pPr>
            <w:r w:rsidRPr="00A82CA6">
              <w:rPr>
                <w:rFonts w:cs="Arial"/>
                <w:color w:val="000000"/>
                <w:sz w:val="18"/>
                <w:szCs w:val="18"/>
              </w:rPr>
              <w:t>31</w:t>
            </w:r>
          </w:p>
        </w:tc>
        <w:tc>
          <w:tcPr>
            <w:tcW w:w="1310" w:type="dxa"/>
            <w:tcBorders>
              <w:top w:val="nil"/>
              <w:left w:val="nil"/>
              <w:bottom w:val="nil"/>
              <w:right w:val="nil"/>
            </w:tcBorders>
            <w:shd w:val="clear" w:color="000000" w:fill="FFFFFF"/>
            <w:noWrap/>
            <w:vAlign w:val="center"/>
            <w:hideMark/>
          </w:tcPr>
          <w:p w14:paraId="79FE3D31" w14:textId="77777777" w:rsidR="00572F25" w:rsidRPr="00A82CA6" w:rsidRDefault="00572F25" w:rsidP="00140544">
            <w:pPr>
              <w:spacing w:after="0"/>
              <w:jc w:val="right"/>
              <w:rPr>
                <w:rFonts w:cs="Arial"/>
                <w:color w:val="000000"/>
                <w:sz w:val="18"/>
                <w:szCs w:val="18"/>
              </w:rPr>
            </w:pPr>
            <w:r w:rsidRPr="00A82CA6">
              <w:rPr>
                <w:rFonts w:cs="Arial"/>
                <w:color w:val="000000"/>
                <w:sz w:val="18"/>
                <w:szCs w:val="18"/>
              </w:rPr>
              <w:t>55</w:t>
            </w:r>
          </w:p>
        </w:tc>
        <w:tc>
          <w:tcPr>
            <w:tcW w:w="1177" w:type="dxa"/>
            <w:tcBorders>
              <w:top w:val="nil"/>
              <w:left w:val="nil"/>
              <w:bottom w:val="nil"/>
              <w:right w:val="nil"/>
            </w:tcBorders>
            <w:shd w:val="clear" w:color="000000" w:fill="FFFFFF"/>
            <w:noWrap/>
            <w:vAlign w:val="center"/>
            <w:hideMark/>
          </w:tcPr>
          <w:p w14:paraId="297E6907" w14:textId="77777777" w:rsidR="00572F25" w:rsidRPr="00A82CA6" w:rsidRDefault="00572F25" w:rsidP="00140544">
            <w:pPr>
              <w:spacing w:after="0"/>
              <w:rPr>
                <w:rFonts w:cs="Arial"/>
                <w:color w:val="000000"/>
                <w:sz w:val="18"/>
                <w:szCs w:val="18"/>
              </w:rPr>
            </w:pPr>
            <w:r w:rsidRPr="00A82CA6">
              <w:rPr>
                <w:rFonts w:cs="Arial"/>
                <w:color w:val="000000"/>
                <w:sz w:val="18"/>
                <w:szCs w:val="18"/>
              </w:rPr>
              <w:t>30.4</w:t>
            </w:r>
          </w:p>
        </w:tc>
      </w:tr>
      <w:tr w:rsidR="00572F25" w:rsidRPr="00A82CA6" w14:paraId="295E58FD" w14:textId="77777777" w:rsidTr="00140544">
        <w:trPr>
          <w:trHeight w:val="300"/>
        </w:trPr>
        <w:tc>
          <w:tcPr>
            <w:tcW w:w="3780" w:type="dxa"/>
            <w:tcBorders>
              <w:top w:val="nil"/>
              <w:left w:val="nil"/>
              <w:bottom w:val="nil"/>
              <w:right w:val="nil"/>
            </w:tcBorders>
            <w:shd w:val="clear" w:color="000000" w:fill="F1F1F2"/>
            <w:noWrap/>
            <w:vAlign w:val="center"/>
            <w:hideMark/>
          </w:tcPr>
          <w:p w14:paraId="3C231685" w14:textId="77777777" w:rsidR="00572F25" w:rsidRPr="00A82CA6" w:rsidRDefault="00572F25" w:rsidP="00140544">
            <w:pPr>
              <w:spacing w:after="0"/>
              <w:rPr>
                <w:rFonts w:cs="Arial"/>
                <w:color w:val="000000"/>
                <w:sz w:val="18"/>
                <w:szCs w:val="18"/>
              </w:rPr>
            </w:pPr>
            <w:r w:rsidRPr="00A82CA6">
              <w:rPr>
                <w:rFonts w:cs="Arial"/>
                <w:color w:val="000000"/>
                <w:sz w:val="18"/>
                <w:szCs w:val="18"/>
              </w:rPr>
              <w:t>Vascular surgery</w:t>
            </w:r>
          </w:p>
        </w:tc>
        <w:tc>
          <w:tcPr>
            <w:tcW w:w="928" w:type="dxa"/>
            <w:tcBorders>
              <w:top w:val="nil"/>
              <w:left w:val="nil"/>
              <w:bottom w:val="nil"/>
              <w:right w:val="nil"/>
            </w:tcBorders>
            <w:shd w:val="clear" w:color="000000" w:fill="F1F1F2"/>
            <w:vAlign w:val="center"/>
            <w:hideMark/>
          </w:tcPr>
          <w:p w14:paraId="2923B1C7" w14:textId="77777777" w:rsidR="00572F25" w:rsidRPr="00A82CA6" w:rsidRDefault="00572F25" w:rsidP="00140544">
            <w:pPr>
              <w:spacing w:after="0"/>
              <w:jc w:val="center"/>
              <w:rPr>
                <w:rFonts w:cs="Arial"/>
                <w:color w:val="000000"/>
                <w:sz w:val="18"/>
                <w:szCs w:val="18"/>
              </w:rPr>
            </w:pPr>
            <w:r w:rsidRPr="00A82CA6">
              <w:rPr>
                <w:rFonts w:cs="Arial"/>
                <w:color w:val="000000"/>
                <w:sz w:val="18"/>
                <w:szCs w:val="18"/>
              </w:rPr>
              <w:t>18</w:t>
            </w:r>
          </w:p>
        </w:tc>
        <w:tc>
          <w:tcPr>
            <w:tcW w:w="928" w:type="dxa"/>
            <w:tcBorders>
              <w:top w:val="nil"/>
              <w:left w:val="nil"/>
              <w:bottom w:val="nil"/>
              <w:right w:val="nil"/>
            </w:tcBorders>
            <w:shd w:val="clear" w:color="000000" w:fill="F1F1F2"/>
            <w:vAlign w:val="center"/>
            <w:hideMark/>
          </w:tcPr>
          <w:p w14:paraId="5967E161" w14:textId="77777777" w:rsidR="00572F25" w:rsidRPr="00A82CA6" w:rsidRDefault="00572F25" w:rsidP="00140544">
            <w:pPr>
              <w:spacing w:after="0"/>
              <w:jc w:val="center"/>
              <w:rPr>
                <w:rFonts w:cs="Arial"/>
                <w:color w:val="000000"/>
                <w:sz w:val="18"/>
                <w:szCs w:val="18"/>
              </w:rPr>
            </w:pPr>
            <w:r w:rsidRPr="00A82CA6">
              <w:rPr>
                <w:rFonts w:cs="Arial"/>
                <w:color w:val="000000"/>
                <w:sz w:val="18"/>
                <w:szCs w:val="18"/>
              </w:rPr>
              <w:t>16</w:t>
            </w:r>
          </w:p>
        </w:tc>
        <w:tc>
          <w:tcPr>
            <w:tcW w:w="1310" w:type="dxa"/>
            <w:tcBorders>
              <w:top w:val="nil"/>
              <w:left w:val="nil"/>
              <w:bottom w:val="nil"/>
              <w:right w:val="nil"/>
            </w:tcBorders>
            <w:shd w:val="clear" w:color="000000" w:fill="F1F1F2"/>
            <w:noWrap/>
            <w:vAlign w:val="center"/>
            <w:hideMark/>
          </w:tcPr>
          <w:p w14:paraId="013E2806" w14:textId="77777777" w:rsidR="00572F25" w:rsidRPr="00A82CA6" w:rsidRDefault="00572F25" w:rsidP="00140544">
            <w:pPr>
              <w:spacing w:after="0"/>
              <w:jc w:val="right"/>
              <w:rPr>
                <w:rFonts w:cs="Arial"/>
                <w:color w:val="000000"/>
                <w:sz w:val="18"/>
                <w:szCs w:val="18"/>
              </w:rPr>
            </w:pPr>
            <w:r w:rsidRPr="00A82CA6">
              <w:rPr>
                <w:rFonts w:cs="Arial"/>
                <w:color w:val="000000"/>
                <w:sz w:val="18"/>
                <w:szCs w:val="18"/>
              </w:rPr>
              <w:t>34</w:t>
            </w:r>
          </w:p>
        </w:tc>
        <w:tc>
          <w:tcPr>
            <w:tcW w:w="1177" w:type="dxa"/>
            <w:tcBorders>
              <w:top w:val="nil"/>
              <w:left w:val="nil"/>
              <w:bottom w:val="nil"/>
              <w:right w:val="nil"/>
            </w:tcBorders>
            <w:shd w:val="clear" w:color="000000" w:fill="F1F1F2"/>
            <w:noWrap/>
            <w:vAlign w:val="center"/>
            <w:hideMark/>
          </w:tcPr>
          <w:p w14:paraId="4892233B" w14:textId="77777777" w:rsidR="00572F25" w:rsidRPr="00A82CA6" w:rsidRDefault="00572F25" w:rsidP="00140544">
            <w:pPr>
              <w:spacing w:after="0"/>
              <w:rPr>
                <w:rFonts w:cs="Arial"/>
                <w:color w:val="000000"/>
                <w:sz w:val="18"/>
                <w:szCs w:val="18"/>
              </w:rPr>
            </w:pPr>
            <w:r w:rsidRPr="00A82CA6">
              <w:rPr>
                <w:rFonts w:cs="Arial"/>
                <w:color w:val="000000"/>
                <w:sz w:val="18"/>
                <w:szCs w:val="18"/>
              </w:rPr>
              <w:t>18.8</w:t>
            </w:r>
          </w:p>
        </w:tc>
      </w:tr>
      <w:tr w:rsidR="00572F25" w:rsidRPr="00A82CA6" w14:paraId="0FB6F443" w14:textId="77777777" w:rsidTr="00140544">
        <w:trPr>
          <w:trHeight w:val="300"/>
        </w:trPr>
        <w:tc>
          <w:tcPr>
            <w:tcW w:w="3780" w:type="dxa"/>
            <w:tcBorders>
              <w:top w:val="nil"/>
              <w:left w:val="nil"/>
              <w:bottom w:val="nil"/>
              <w:right w:val="nil"/>
            </w:tcBorders>
            <w:shd w:val="clear" w:color="000000" w:fill="FFFFFF"/>
            <w:noWrap/>
            <w:vAlign w:val="center"/>
            <w:hideMark/>
          </w:tcPr>
          <w:p w14:paraId="2388BCF3" w14:textId="77777777" w:rsidR="00572F25" w:rsidRPr="00A82CA6" w:rsidRDefault="00572F25" w:rsidP="00140544">
            <w:pPr>
              <w:spacing w:after="0"/>
              <w:rPr>
                <w:rFonts w:cs="Arial"/>
                <w:color w:val="000000"/>
                <w:sz w:val="18"/>
                <w:szCs w:val="18"/>
              </w:rPr>
            </w:pPr>
            <w:r w:rsidRPr="00A82CA6">
              <w:rPr>
                <w:rFonts w:cs="Arial"/>
                <w:color w:val="000000"/>
                <w:sz w:val="18"/>
                <w:szCs w:val="18"/>
              </w:rPr>
              <w:t>Neurosurgery</w:t>
            </w:r>
          </w:p>
        </w:tc>
        <w:tc>
          <w:tcPr>
            <w:tcW w:w="928" w:type="dxa"/>
            <w:tcBorders>
              <w:top w:val="nil"/>
              <w:left w:val="nil"/>
              <w:bottom w:val="nil"/>
              <w:right w:val="nil"/>
            </w:tcBorders>
            <w:shd w:val="clear" w:color="000000" w:fill="FFFFFF"/>
            <w:vAlign w:val="center"/>
            <w:hideMark/>
          </w:tcPr>
          <w:p w14:paraId="4FC5845A" w14:textId="77777777" w:rsidR="00572F25" w:rsidRPr="00A82CA6" w:rsidRDefault="00572F25" w:rsidP="00140544">
            <w:pPr>
              <w:spacing w:after="0"/>
              <w:jc w:val="center"/>
              <w:rPr>
                <w:rFonts w:cs="Arial"/>
                <w:color w:val="000000"/>
                <w:sz w:val="18"/>
                <w:szCs w:val="18"/>
              </w:rPr>
            </w:pPr>
            <w:r w:rsidRPr="00A82CA6">
              <w:rPr>
                <w:rFonts w:cs="Arial"/>
                <w:color w:val="000000"/>
                <w:sz w:val="18"/>
                <w:szCs w:val="18"/>
              </w:rPr>
              <w:t>16</w:t>
            </w:r>
          </w:p>
        </w:tc>
        <w:tc>
          <w:tcPr>
            <w:tcW w:w="928" w:type="dxa"/>
            <w:tcBorders>
              <w:top w:val="nil"/>
              <w:left w:val="nil"/>
              <w:bottom w:val="nil"/>
              <w:right w:val="nil"/>
            </w:tcBorders>
            <w:shd w:val="clear" w:color="000000" w:fill="FFFFFF"/>
            <w:vAlign w:val="center"/>
            <w:hideMark/>
          </w:tcPr>
          <w:p w14:paraId="677354DF" w14:textId="77777777" w:rsidR="00572F25" w:rsidRPr="00A82CA6" w:rsidRDefault="00572F25" w:rsidP="00140544">
            <w:pPr>
              <w:spacing w:after="0"/>
              <w:jc w:val="center"/>
              <w:rPr>
                <w:rFonts w:cs="Arial"/>
                <w:color w:val="000000"/>
                <w:sz w:val="18"/>
                <w:szCs w:val="18"/>
              </w:rPr>
            </w:pPr>
            <w:r w:rsidRPr="00A82CA6">
              <w:rPr>
                <w:rFonts w:cs="Arial"/>
                <w:color w:val="000000"/>
                <w:sz w:val="18"/>
                <w:szCs w:val="18"/>
              </w:rPr>
              <w:t>27</w:t>
            </w:r>
          </w:p>
        </w:tc>
        <w:tc>
          <w:tcPr>
            <w:tcW w:w="1310" w:type="dxa"/>
            <w:tcBorders>
              <w:top w:val="nil"/>
              <w:left w:val="nil"/>
              <w:bottom w:val="nil"/>
              <w:right w:val="nil"/>
            </w:tcBorders>
            <w:shd w:val="clear" w:color="000000" w:fill="FFFFFF"/>
            <w:noWrap/>
            <w:vAlign w:val="center"/>
            <w:hideMark/>
          </w:tcPr>
          <w:p w14:paraId="4E8BE998" w14:textId="77777777" w:rsidR="00572F25" w:rsidRPr="00A82CA6" w:rsidRDefault="00572F25" w:rsidP="00140544">
            <w:pPr>
              <w:spacing w:after="0"/>
              <w:jc w:val="right"/>
              <w:rPr>
                <w:rFonts w:cs="Arial"/>
                <w:color w:val="000000"/>
                <w:sz w:val="18"/>
                <w:szCs w:val="18"/>
              </w:rPr>
            </w:pPr>
            <w:r w:rsidRPr="00A82CA6">
              <w:rPr>
                <w:rFonts w:cs="Arial"/>
                <w:color w:val="000000"/>
                <w:sz w:val="18"/>
                <w:szCs w:val="18"/>
              </w:rPr>
              <w:t>43</w:t>
            </w:r>
          </w:p>
        </w:tc>
        <w:tc>
          <w:tcPr>
            <w:tcW w:w="1177" w:type="dxa"/>
            <w:tcBorders>
              <w:top w:val="nil"/>
              <w:left w:val="nil"/>
              <w:bottom w:val="nil"/>
              <w:right w:val="nil"/>
            </w:tcBorders>
            <w:shd w:val="clear" w:color="000000" w:fill="FFFFFF"/>
            <w:noWrap/>
            <w:vAlign w:val="center"/>
            <w:hideMark/>
          </w:tcPr>
          <w:p w14:paraId="688D4C59" w14:textId="77777777" w:rsidR="00572F25" w:rsidRPr="00A82CA6" w:rsidRDefault="00572F25" w:rsidP="00140544">
            <w:pPr>
              <w:spacing w:after="0"/>
              <w:rPr>
                <w:rFonts w:cs="Arial"/>
                <w:color w:val="000000"/>
                <w:sz w:val="18"/>
                <w:szCs w:val="18"/>
              </w:rPr>
            </w:pPr>
            <w:r w:rsidRPr="00A82CA6">
              <w:rPr>
                <w:rFonts w:cs="Arial"/>
                <w:color w:val="000000"/>
                <w:sz w:val="18"/>
                <w:szCs w:val="18"/>
              </w:rPr>
              <w:t>23.8</w:t>
            </w:r>
          </w:p>
        </w:tc>
      </w:tr>
      <w:tr w:rsidR="00572F25" w:rsidRPr="00A82CA6" w14:paraId="15CA4B2E" w14:textId="77777777" w:rsidTr="00140544">
        <w:trPr>
          <w:trHeight w:val="300"/>
        </w:trPr>
        <w:tc>
          <w:tcPr>
            <w:tcW w:w="3780" w:type="dxa"/>
            <w:tcBorders>
              <w:top w:val="nil"/>
              <w:left w:val="nil"/>
              <w:bottom w:val="nil"/>
              <w:right w:val="nil"/>
            </w:tcBorders>
            <w:shd w:val="clear" w:color="000000" w:fill="F1F1F2"/>
            <w:noWrap/>
            <w:vAlign w:val="center"/>
            <w:hideMark/>
          </w:tcPr>
          <w:p w14:paraId="78C56077" w14:textId="77777777" w:rsidR="00572F25" w:rsidRPr="00A82CA6" w:rsidRDefault="00572F25" w:rsidP="00140544">
            <w:pPr>
              <w:spacing w:after="0"/>
              <w:rPr>
                <w:rFonts w:cs="Arial"/>
                <w:color w:val="000000"/>
                <w:sz w:val="18"/>
                <w:szCs w:val="18"/>
              </w:rPr>
            </w:pPr>
            <w:r w:rsidRPr="00A82CA6">
              <w:rPr>
                <w:rFonts w:cs="Arial"/>
                <w:color w:val="000000"/>
                <w:sz w:val="18"/>
                <w:szCs w:val="18"/>
              </w:rPr>
              <w:t>Breast surgery</w:t>
            </w:r>
          </w:p>
        </w:tc>
        <w:tc>
          <w:tcPr>
            <w:tcW w:w="928" w:type="dxa"/>
            <w:tcBorders>
              <w:top w:val="nil"/>
              <w:left w:val="nil"/>
              <w:bottom w:val="nil"/>
              <w:right w:val="nil"/>
            </w:tcBorders>
            <w:shd w:val="clear" w:color="000000" w:fill="F1F1F2"/>
            <w:vAlign w:val="center"/>
            <w:hideMark/>
          </w:tcPr>
          <w:p w14:paraId="4712A2ED" w14:textId="77777777" w:rsidR="00572F25" w:rsidRPr="00A82CA6" w:rsidRDefault="00572F25" w:rsidP="00140544">
            <w:pPr>
              <w:spacing w:after="0"/>
              <w:jc w:val="center"/>
              <w:rPr>
                <w:rFonts w:cs="Arial"/>
                <w:color w:val="000000"/>
                <w:sz w:val="18"/>
                <w:szCs w:val="18"/>
              </w:rPr>
            </w:pPr>
            <w:r w:rsidRPr="00A82CA6">
              <w:rPr>
                <w:rFonts w:cs="Arial"/>
                <w:color w:val="000000"/>
                <w:sz w:val="18"/>
                <w:szCs w:val="18"/>
              </w:rPr>
              <w:t>20</w:t>
            </w:r>
          </w:p>
        </w:tc>
        <w:tc>
          <w:tcPr>
            <w:tcW w:w="928" w:type="dxa"/>
            <w:tcBorders>
              <w:top w:val="nil"/>
              <w:left w:val="nil"/>
              <w:bottom w:val="nil"/>
              <w:right w:val="nil"/>
            </w:tcBorders>
            <w:shd w:val="clear" w:color="000000" w:fill="F1F1F2"/>
            <w:vAlign w:val="center"/>
            <w:hideMark/>
          </w:tcPr>
          <w:p w14:paraId="310134F1" w14:textId="77777777" w:rsidR="00572F25" w:rsidRPr="00A82CA6" w:rsidRDefault="00572F25" w:rsidP="00140544">
            <w:pPr>
              <w:spacing w:after="0"/>
              <w:jc w:val="center"/>
              <w:rPr>
                <w:rFonts w:cs="Arial"/>
                <w:color w:val="000000"/>
                <w:sz w:val="18"/>
                <w:szCs w:val="18"/>
              </w:rPr>
            </w:pPr>
            <w:r w:rsidRPr="00A82CA6">
              <w:rPr>
                <w:rFonts w:cs="Arial"/>
                <w:color w:val="000000"/>
                <w:sz w:val="18"/>
                <w:szCs w:val="18"/>
              </w:rPr>
              <w:t>34</w:t>
            </w:r>
          </w:p>
        </w:tc>
        <w:tc>
          <w:tcPr>
            <w:tcW w:w="1310" w:type="dxa"/>
            <w:tcBorders>
              <w:top w:val="nil"/>
              <w:left w:val="nil"/>
              <w:bottom w:val="nil"/>
              <w:right w:val="nil"/>
            </w:tcBorders>
            <w:shd w:val="clear" w:color="000000" w:fill="F1F1F2"/>
            <w:noWrap/>
            <w:vAlign w:val="center"/>
            <w:hideMark/>
          </w:tcPr>
          <w:p w14:paraId="1658C909" w14:textId="77777777" w:rsidR="00572F25" w:rsidRPr="00A82CA6" w:rsidRDefault="00572F25" w:rsidP="00140544">
            <w:pPr>
              <w:spacing w:after="0"/>
              <w:jc w:val="right"/>
              <w:rPr>
                <w:rFonts w:cs="Arial"/>
                <w:color w:val="000000"/>
                <w:sz w:val="18"/>
                <w:szCs w:val="18"/>
              </w:rPr>
            </w:pPr>
            <w:r w:rsidRPr="00A82CA6">
              <w:rPr>
                <w:rFonts w:cs="Arial"/>
                <w:color w:val="000000"/>
                <w:sz w:val="18"/>
                <w:szCs w:val="18"/>
              </w:rPr>
              <w:t>54</w:t>
            </w:r>
          </w:p>
        </w:tc>
        <w:tc>
          <w:tcPr>
            <w:tcW w:w="1177" w:type="dxa"/>
            <w:tcBorders>
              <w:top w:val="nil"/>
              <w:left w:val="nil"/>
              <w:bottom w:val="nil"/>
              <w:right w:val="nil"/>
            </w:tcBorders>
            <w:shd w:val="clear" w:color="000000" w:fill="F1F1F2"/>
            <w:noWrap/>
            <w:vAlign w:val="center"/>
            <w:hideMark/>
          </w:tcPr>
          <w:p w14:paraId="67251CAF" w14:textId="77777777" w:rsidR="00572F25" w:rsidRPr="00A82CA6" w:rsidRDefault="00572F25" w:rsidP="00140544">
            <w:pPr>
              <w:spacing w:after="0"/>
              <w:rPr>
                <w:rFonts w:cs="Arial"/>
                <w:color w:val="000000"/>
                <w:sz w:val="18"/>
                <w:szCs w:val="18"/>
              </w:rPr>
            </w:pPr>
            <w:r w:rsidRPr="00A82CA6">
              <w:rPr>
                <w:rFonts w:cs="Arial"/>
                <w:color w:val="000000"/>
                <w:sz w:val="18"/>
                <w:szCs w:val="18"/>
              </w:rPr>
              <w:t>29.8</w:t>
            </w:r>
          </w:p>
        </w:tc>
      </w:tr>
      <w:tr w:rsidR="00572F25" w:rsidRPr="00A82CA6" w14:paraId="05E531ED" w14:textId="77777777" w:rsidTr="00140544">
        <w:trPr>
          <w:trHeight w:val="300"/>
        </w:trPr>
        <w:tc>
          <w:tcPr>
            <w:tcW w:w="3780" w:type="dxa"/>
            <w:tcBorders>
              <w:top w:val="nil"/>
              <w:left w:val="nil"/>
              <w:bottom w:val="nil"/>
              <w:right w:val="nil"/>
            </w:tcBorders>
            <w:shd w:val="clear" w:color="000000" w:fill="FFFFFF"/>
            <w:noWrap/>
            <w:vAlign w:val="center"/>
            <w:hideMark/>
          </w:tcPr>
          <w:p w14:paraId="0CB2E2E1" w14:textId="77777777" w:rsidR="00572F25" w:rsidRPr="00A82CA6" w:rsidRDefault="00572F25" w:rsidP="00140544">
            <w:pPr>
              <w:spacing w:after="0"/>
              <w:rPr>
                <w:rFonts w:cs="Arial"/>
                <w:color w:val="000000"/>
                <w:sz w:val="18"/>
                <w:szCs w:val="18"/>
              </w:rPr>
            </w:pPr>
            <w:r w:rsidRPr="00A82CA6">
              <w:rPr>
                <w:rFonts w:cs="Arial"/>
                <w:color w:val="000000"/>
                <w:sz w:val="18"/>
                <w:szCs w:val="18"/>
              </w:rPr>
              <w:t>Cardiac surgery</w:t>
            </w:r>
          </w:p>
        </w:tc>
        <w:tc>
          <w:tcPr>
            <w:tcW w:w="928" w:type="dxa"/>
            <w:tcBorders>
              <w:top w:val="nil"/>
              <w:left w:val="nil"/>
              <w:bottom w:val="nil"/>
              <w:right w:val="nil"/>
            </w:tcBorders>
            <w:shd w:val="clear" w:color="000000" w:fill="FFFFFF"/>
            <w:vAlign w:val="center"/>
            <w:hideMark/>
          </w:tcPr>
          <w:p w14:paraId="45B689EF" w14:textId="77777777" w:rsidR="00572F25" w:rsidRPr="00A82CA6" w:rsidRDefault="00572F25" w:rsidP="00140544">
            <w:pPr>
              <w:spacing w:after="0"/>
              <w:jc w:val="center"/>
              <w:rPr>
                <w:rFonts w:cs="Arial"/>
                <w:color w:val="000000"/>
                <w:sz w:val="18"/>
                <w:szCs w:val="18"/>
              </w:rPr>
            </w:pPr>
            <w:r w:rsidRPr="00A82CA6">
              <w:rPr>
                <w:rFonts w:cs="Arial"/>
                <w:color w:val="000000"/>
                <w:sz w:val="18"/>
                <w:szCs w:val="18"/>
              </w:rPr>
              <w:t>11</w:t>
            </w:r>
          </w:p>
        </w:tc>
        <w:tc>
          <w:tcPr>
            <w:tcW w:w="928" w:type="dxa"/>
            <w:tcBorders>
              <w:top w:val="nil"/>
              <w:left w:val="nil"/>
              <w:bottom w:val="nil"/>
              <w:right w:val="nil"/>
            </w:tcBorders>
            <w:shd w:val="clear" w:color="000000" w:fill="FFFFFF"/>
            <w:vAlign w:val="center"/>
            <w:hideMark/>
          </w:tcPr>
          <w:p w14:paraId="06D67882" w14:textId="77777777" w:rsidR="00572F25" w:rsidRPr="00A82CA6" w:rsidRDefault="00572F25" w:rsidP="00140544">
            <w:pPr>
              <w:spacing w:after="0"/>
              <w:jc w:val="center"/>
              <w:rPr>
                <w:rFonts w:cs="Arial"/>
                <w:color w:val="000000"/>
                <w:sz w:val="18"/>
                <w:szCs w:val="18"/>
              </w:rPr>
            </w:pPr>
            <w:r w:rsidRPr="00A82CA6">
              <w:rPr>
                <w:rFonts w:cs="Arial"/>
                <w:color w:val="000000"/>
                <w:sz w:val="18"/>
                <w:szCs w:val="18"/>
              </w:rPr>
              <w:t>18</w:t>
            </w:r>
          </w:p>
        </w:tc>
        <w:tc>
          <w:tcPr>
            <w:tcW w:w="1310" w:type="dxa"/>
            <w:tcBorders>
              <w:top w:val="nil"/>
              <w:left w:val="nil"/>
              <w:bottom w:val="nil"/>
              <w:right w:val="nil"/>
            </w:tcBorders>
            <w:shd w:val="clear" w:color="000000" w:fill="FFFFFF"/>
            <w:noWrap/>
            <w:vAlign w:val="center"/>
            <w:hideMark/>
          </w:tcPr>
          <w:p w14:paraId="6CD9CF2B" w14:textId="77777777" w:rsidR="00572F25" w:rsidRPr="00A82CA6" w:rsidRDefault="00572F25" w:rsidP="00140544">
            <w:pPr>
              <w:spacing w:after="0"/>
              <w:jc w:val="right"/>
              <w:rPr>
                <w:rFonts w:cs="Arial"/>
                <w:color w:val="000000"/>
                <w:sz w:val="18"/>
                <w:szCs w:val="18"/>
              </w:rPr>
            </w:pPr>
            <w:r w:rsidRPr="00A82CA6">
              <w:rPr>
                <w:rFonts w:cs="Arial"/>
                <w:color w:val="000000"/>
                <w:sz w:val="18"/>
                <w:szCs w:val="18"/>
              </w:rPr>
              <w:t>29</w:t>
            </w:r>
          </w:p>
        </w:tc>
        <w:tc>
          <w:tcPr>
            <w:tcW w:w="1177" w:type="dxa"/>
            <w:tcBorders>
              <w:top w:val="nil"/>
              <w:left w:val="nil"/>
              <w:bottom w:val="nil"/>
              <w:right w:val="nil"/>
            </w:tcBorders>
            <w:shd w:val="clear" w:color="000000" w:fill="FFFFFF"/>
            <w:noWrap/>
            <w:vAlign w:val="center"/>
            <w:hideMark/>
          </w:tcPr>
          <w:p w14:paraId="7AED8A72" w14:textId="77777777" w:rsidR="00572F25" w:rsidRPr="00A82CA6" w:rsidRDefault="00572F25" w:rsidP="00140544">
            <w:pPr>
              <w:spacing w:after="0"/>
              <w:rPr>
                <w:rFonts w:cs="Arial"/>
                <w:color w:val="000000"/>
                <w:sz w:val="18"/>
                <w:szCs w:val="18"/>
              </w:rPr>
            </w:pPr>
            <w:r w:rsidRPr="00A82CA6">
              <w:rPr>
                <w:rFonts w:cs="Arial"/>
                <w:color w:val="000000"/>
                <w:sz w:val="18"/>
                <w:szCs w:val="18"/>
              </w:rPr>
              <w:t>16</w:t>
            </w:r>
          </w:p>
        </w:tc>
      </w:tr>
      <w:tr w:rsidR="00572F25" w:rsidRPr="00A82CA6" w14:paraId="07B90DD9" w14:textId="77777777" w:rsidTr="00140544">
        <w:trPr>
          <w:trHeight w:val="300"/>
        </w:trPr>
        <w:tc>
          <w:tcPr>
            <w:tcW w:w="3780" w:type="dxa"/>
            <w:tcBorders>
              <w:top w:val="nil"/>
              <w:left w:val="nil"/>
              <w:bottom w:val="nil"/>
              <w:right w:val="nil"/>
            </w:tcBorders>
            <w:shd w:val="clear" w:color="000000" w:fill="F1F1F2"/>
            <w:noWrap/>
            <w:vAlign w:val="center"/>
            <w:hideMark/>
          </w:tcPr>
          <w:p w14:paraId="44B903F9" w14:textId="77777777" w:rsidR="00572F25" w:rsidRPr="00A82CA6" w:rsidRDefault="00572F25" w:rsidP="00140544">
            <w:pPr>
              <w:spacing w:after="0"/>
              <w:rPr>
                <w:rFonts w:cs="Arial"/>
                <w:color w:val="000000"/>
                <w:sz w:val="18"/>
                <w:szCs w:val="18"/>
              </w:rPr>
            </w:pPr>
            <w:r w:rsidRPr="00A82CA6">
              <w:rPr>
                <w:rFonts w:cs="Arial"/>
                <w:color w:val="000000"/>
                <w:sz w:val="18"/>
                <w:szCs w:val="18"/>
              </w:rPr>
              <w:t>Dentoalveolar surgery</w:t>
            </w:r>
          </w:p>
        </w:tc>
        <w:tc>
          <w:tcPr>
            <w:tcW w:w="928" w:type="dxa"/>
            <w:tcBorders>
              <w:top w:val="nil"/>
              <w:left w:val="nil"/>
              <w:bottom w:val="nil"/>
              <w:right w:val="nil"/>
            </w:tcBorders>
            <w:shd w:val="clear" w:color="000000" w:fill="F1F1F2"/>
            <w:vAlign w:val="center"/>
            <w:hideMark/>
          </w:tcPr>
          <w:p w14:paraId="08DA4E1D" w14:textId="77777777" w:rsidR="00572F25" w:rsidRPr="00A82CA6" w:rsidRDefault="00572F25" w:rsidP="00140544">
            <w:pPr>
              <w:spacing w:after="0"/>
              <w:jc w:val="center"/>
              <w:rPr>
                <w:rFonts w:cs="Arial"/>
                <w:color w:val="000000"/>
                <w:sz w:val="18"/>
                <w:szCs w:val="18"/>
              </w:rPr>
            </w:pPr>
            <w:r w:rsidRPr="00A82CA6">
              <w:rPr>
                <w:rFonts w:cs="Arial"/>
                <w:color w:val="000000"/>
                <w:sz w:val="18"/>
                <w:szCs w:val="18"/>
              </w:rPr>
              <w:t>15</w:t>
            </w:r>
          </w:p>
        </w:tc>
        <w:tc>
          <w:tcPr>
            <w:tcW w:w="928" w:type="dxa"/>
            <w:tcBorders>
              <w:top w:val="nil"/>
              <w:left w:val="nil"/>
              <w:bottom w:val="nil"/>
              <w:right w:val="nil"/>
            </w:tcBorders>
            <w:shd w:val="clear" w:color="000000" w:fill="F1F1F2"/>
            <w:vAlign w:val="center"/>
            <w:hideMark/>
          </w:tcPr>
          <w:p w14:paraId="39F35C2B" w14:textId="77777777" w:rsidR="00572F25" w:rsidRPr="00A82CA6" w:rsidRDefault="00572F25" w:rsidP="00140544">
            <w:pPr>
              <w:spacing w:after="0"/>
              <w:jc w:val="center"/>
              <w:rPr>
                <w:rFonts w:cs="Arial"/>
                <w:color w:val="000000"/>
                <w:sz w:val="18"/>
                <w:szCs w:val="18"/>
              </w:rPr>
            </w:pPr>
            <w:r w:rsidRPr="00A82CA6">
              <w:rPr>
                <w:rFonts w:cs="Arial"/>
                <w:color w:val="000000"/>
                <w:sz w:val="18"/>
                <w:szCs w:val="18"/>
              </w:rPr>
              <w:t>24</w:t>
            </w:r>
          </w:p>
        </w:tc>
        <w:tc>
          <w:tcPr>
            <w:tcW w:w="1310" w:type="dxa"/>
            <w:tcBorders>
              <w:top w:val="nil"/>
              <w:left w:val="nil"/>
              <w:bottom w:val="nil"/>
              <w:right w:val="nil"/>
            </w:tcBorders>
            <w:shd w:val="clear" w:color="000000" w:fill="F1F1F2"/>
            <w:noWrap/>
            <w:vAlign w:val="center"/>
            <w:hideMark/>
          </w:tcPr>
          <w:p w14:paraId="4823A8D9" w14:textId="77777777" w:rsidR="00572F25" w:rsidRPr="00A82CA6" w:rsidRDefault="00572F25" w:rsidP="00140544">
            <w:pPr>
              <w:spacing w:after="0"/>
              <w:jc w:val="right"/>
              <w:rPr>
                <w:rFonts w:cs="Arial"/>
                <w:color w:val="000000"/>
                <w:sz w:val="18"/>
                <w:szCs w:val="18"/>
              </w:rPr>
            </w:pPr>
            <w:r w:rsidRPr="00A82CA6">
              <w:rPr>
                <w:rFonts w:cs="Arial"/>
                <w:color w:val="000000"/>
                <w:sz w:val="18"/>
                <w:szCs w:val="18"/>
              </w:rPr>
              <w:t>39</w:t>
            </w:r>
          </w:p>
        </w:tc>
        <w:tc>
          <w:tcPr>
            <w:tcW w:w="1177" w:type="dxa"/>
            <w:tcBorders>
              <w:top w:val="nil"/>
              <w:left w:val="nil"/>
              <w:bottom w:val="nil"/>
              <w:right w:val="nil"/>
            </w:tcBorders>
            <w:shd w:val="clear" w:color="000000" w:fill="F1F1F2"/>
            <w:noWrap/>
            <w:vAlign w:val="center"/>
            <w:hideMark/>
          </w:tcPr>
          <w:p w14:paraId="1B1174C3" w14:textId="77777777" w:rsidR="00572F25" w:rsidRPr="00A82CA6" w:rsidRDefault="00572F25" w:rsidP="00140544">
            <w:pPr>
              <w:spacing w:after="0"/>
              <w:rPr>
                <w:rFonts w:cs="Arial"/>
                <w:color w:val="000000"/>
                <w:sz w:val="18"/>
                <w:szCs w:val="18"/>
              </w:rPr>
            </w:pPr>
            <w:r w:rsidRPr="00A82CA6">
              <w:rPr>
                <w:rFonts w:cs="Arial"/>
                <w:color w:val="000000"/>
                <w:sz w:val="18"/>
                <w:szCs w:val="18"/>
              </w:rPr>
              <w:t>21.5</w:t>
            </w:r>
          </w:p>
        </w:tc>
      </w:tr>
      <w:tr w:rsidR="00572F25" w:rsidRPr="00A82CA6" w14:paraId="728FAB0E" w14:textId="77777777" w:rsidTr="00140544">
        <w:trPr>
          <w:trHeight w:val="300"/>
        </w:trPr>
        <w:tc>
          <w:tcPr>
            <w:tcW w:w="3780" w:type="dxa"/>
            <w:tcBorders>
              <w:top w:val="nil"/>
              <w:left w:val="nil"/>
              <w:bottom w:val="nil"/>
              <w:right w:val="nil"/>
            </w:tcBorders>
            <w:shd w:val="clear" w:color="000000" w:fill="FFFFFF"/>
            <w:noWrap/>
            <w:vAlign w:val="center"/>
            <w:hideMark/>
          </w:tcPr>
          <w:p w14:paraId="6154E95D" w14:textId="77777777" w:rsidR="00572F25" w:rsidRPr="00A82CA6" w:rsidRDefault="00572F25" w:rsidP="00140544">
            <w:pPr>
              <w:spacing w:after="0"/>
              <w:rPr>
                <w:rFonts w:cs="Arial"/>
                <w:color w:val="000000"/>
                <w:sz w:val="18"/>
                <w:szCs w:val="18"/>
              </w:rPr>
            </w:pPr>
            <w:r w:rsidRPr="00A82CA6">
              <w:rPr>
                <w:rFonts w:cs="Arial"/>
                <w:color w:val="000000"/>
                <w:sz w:val="18"/>
                <w:szCs w:val="18"/>
              </w:rPr>
              <w:t>Thoracic surgery</w:t>
            </w:r>
          </w:p>
        </w:tc>
        <w:tc>
          <w:tcPr>
            <w:tcW w:w="928" w:type="dxa"/>
            <w:tcBorders>
              <w:top w:val="nil"/>
              <w:left w:val="nil"/>
              <w:bottom w:val="nil"/>
              <w:right w:val="nil"/>
            </w:tcBorders>
            <w:shd w:val="clear" w:color="000000" w:fill="FFFFFF"/>
            <w:vAlign w:val="center"/>
            <w:hideMark/>
          </w:tcPr>
          <w:p w14:paraId="11898315" w14:textId="77777777" w:rsidR="00572F25" w:rsidRPr="00A82CA6" w:rsidRDefault="00572F25" w:rsidP="00140544">
            <w:pPr>
              <w:spacing w:after="0"/>
              <w:jc w:val="center"/>
              <w:rPr>
                <w:rFonts w:cs="Arial"/>
                <w:color w:val="000000"/>
                <w:sz w:val="18"/>
                <w:szCs w:val="18"/>
              </w:rPr>
            </w:pPr>
            <w:r w:rsidRPr="00A82CA6">
              <w:rPr>
                <w:rFonts w:cs="Arial"/>
                <w:color w:val="000000"/>
                <w:sz w:val="18"/>
                <w:szCs w:val="18"/>
              </w:rPr>
              <w:t>12</w:t>
            </w:r>
          </w:p>
        </w:tc>
        <w:tc>
          <w:tcPr>
            <w:tcW w:w="928" w:type="dxa"/>
            <w:tcBorders>
              <w:top w:val="nil"/>
              <w:left w:val="nil"/>
              <w:bottom w:val="nil"/>
              <w:right w:val="nil"/>
            </w:tcBorders>
            <w:shd w:val="clear" w:color="000000" w:fill="FFFFFF"/>
            <w:vAlign w:val="center"/>
            <w:hideMark/>
          </w:tcPr>
          <w:p w14:paraId="63767E7D" w14:textId="77777777" w:rsidR="00572F25" w:rsidRPr="00A82CA6" w:rsidRDefault="00572F25" w:rsidP="00140544">
            <w:pPr>
              <w:spacing w:after="0"/>
              <w:jc w:val="center"/>
              <w:rPr>
                <w:rFonts w:cs="Arial"/>
                <w:color w:val="000000"/>
                <w:sz w:val="18"/>
                <w:szCs w:val="18"/>
              </w:rPr>
            </w:pPr>
            <w:r w:rsidRPr="00A82CA6">
              <w:rPr>
                <w:rFonts w:cs="Arial"/>
                <w:color w:val="000000"/>
                <w:sz w:val="18"/>
                <w:szCs w:val="18"/>
              </w:rPr>
              <w:t>9</w:t>
            </w:r>
          </w:p>
        </w:tc>
        <w:tc>
          <w:tcPr>
            <w:tcW w:w="1310" w:type="dxa"/>
            <w:tcBorders>
              <w:top w:val="nil"/>
              <w:left w:val="nil"/>
              <w:bottom w:val="nil"/>
              <w:right w:val="nil"/>
            </w:tcBorders>
            <w:shd w:val="clear" w:color="000000" w:fill="FFFFFF"/>
            <w:noWrap/>
            <w:vAlign w:val="center"/>
            <w:hideMark/>
          </w:tcPr>
          <w:p w14:paraId="53DF74A6" w14:textId="77777777" w:rsidR="00572F25" w:rsidRPr="00A82CA6" w:rsidRDefault="00572F25" w:rsidP="00140544">
            <w:pPr>
              <w:spacing w:after="0"/>
              <w:jc w:val="right"/>
              <w:rPr>
                <w:rFonts w:cs="Arial"/>
                <w:color w:val="000000"/>
                <w:sz w:val="18"/>
                <w:szCs w:val="18"/>
              </w:rPr>
            </w:pPr>
            <w:r w:rsidRPr="00A82CA6">
              <w:rPr>
                <w:rFonts w:cs="Arial"/>
                <w:color w:val="000000"/>
                <w:sz w:val="18"/>
                <w:szCs w:val="18"/>
              </w:rPr>
              <w:t>21</w:t>
            </w:r>
          </w:p>
        </w:tc>
        <w:tc>
          <w:tcPr>
            <w:tcW w:w="1177" w:type="dxa"/>
            <w:tcBorders>
              <w:top w:val="nil"/>
              <w:left w:val="nil"/>
              <w:bottom w:val="nil"/>
              <w:right w:val="nil"/>
            </w:tcBorders>
            <w:shd w:val="clear" w:color="000000" w:fill="FFFFFF"/>
            <w:noWrap/>
            <w:vAlign w:val="center"/>
            <w:hideMark/>
          </w:tcPr>
          <w:p w14:paraId="3E8AEC15" w14:textId="77777777" w:rsidR="00572F25" w:rsidRPr="00A82CA6" w:rsidRDefault="00572F25" w:rsidP="00140544">
            <w:pPr>
              <w:spacing w:after="0"/>
              <w:rPr>
                <w:rFonts w:cs="Arial"/>
                <w:color w:val="000000"/>
                <w:sz w:val="18"/>
                <w:szCs w:val="18"/>
              </w:rPr>
            </w:pPr>
            <w:r w:rsidRPr="00A82CA6">
              <w:rPr>
                <w:rFonts w:cs="Arial"/>
                <w:color w:val="000000"/>
                <w:sz w:val="18"/>
                <w:szCs w:val="18"/>
              </w:rPr>
              <w:t>11.6</w:t>
            </w:r>
          </w:p>
        </w:tc>
      </w:tr>
    </w:tbl>
    <w:p w14:paraId="0CA23897" w14:textId="77777777" w:rsidR="00572F25" w:rsidRDefault="00572F25" w:rsidP="00572F25">
      <w:pPr>
        <w:pStyle w:val="Notes"/>
      </w:pPr>
      <w:r w:rsidRPr="00186484">
        <w:t>* n=181 facilities</w:t>
      </w:r>
      <w:r>
        <w:t>.</w:t>
      </w:r>
    </w:p>
    <w:p w14:paraId="4661C01D" w14:textId="77777777" w:rsidR="00572F25" w:rsidRDefault="00572F25" w:rsidP="00572F25">
      <w:pPr>
        <w:pStyle w:val="Captions"/>
      </w:pPr>
      <w:r w:rsidRPr="00853E03">
        <w:lastRenderedPageBreak/>
        <w:t>Figure A</w:t>
      </w:r>
      <w:r>
        <w:t>2</w:t>
      </w:r>
      <w:r w:rsidRPr="00853E03">
        <w:t>.1:</w:t>
      </w:r>
      <w:r w:rsidRPr="00853E03">
        <w:tab/>
        <w:t xml:space="preserve">Percentage of </w:t>
      </w:r>
      <w:r>
        <w:t>contributing</w:t>
      </w:r>
      <w:r w:rsidRPr="00853E03">
        <w:t xml:space="preserve"> facilities, by state and territory, </w:t>
      </w:r>
      <w:r w:rsidRPr="00995532">
        <w:t xml:space="preserve">of all eligible </w:t>
      </w:r>
      <w:r>
        <w:t>p</w:t>
      </w:r>
      <w:r w:rsidRPr="009F6156">
        <w:t>eer group classifications</w:t>
      </w:r>
      <w:r w:rsidR="00990F43">
        <w:t>*</w:t>
      </w:r>
      <w:r>
        <w:t xml:space="preserve">, </w:t>
      </w:r>
      <w:r w:rsidRPr="00853E03">
        <w:t xml:space="preserve">Surgical </w:t>
      </w:r>
      <w:r>
        <w:t>NAPS</w:t>
      </w:r>
      <w:r w:rsidRPr="00853E03">
        <w:t xml:space="preserve"> </w:t>
      </w:r>
      <w:r w:rsidR="00511324">
        <w:t>2016-</w:t>
      </w:r>
      <w:r w:rsidRPr="00853E03">
        <w:t>20</w:t>
      </w:r>
      <w:r>
        <w:t>21</w:t>
      </w:r>
    </w:p>
    <w:p w14:paraId="2F13E869" w14:textId="77777777" w:rsidR="00572F25" w:rsidRDefault="00572F25" w:rsidP="00572F25">
      <w:pPr>
        <w:pStyle w:val="Captions"/>
      </w:pPr>
      <w:r>
        <w:rPr>
          <w:noProof/>
        </w:rPr>
        <w:drawing>
          <wp:inline distT="0" distB="0" distL="0" distR="0" wp14:anchorId="75864D87" wp14:editId="0A76AA78">
            <wp:extent cx="5941060" cy="3987165"/>
            <wp:effectExtent l="0" t="0" r="2540" b="13335"/>
            <wp:docPr id="9" name="Chart 9" descr="This is a line graph showing the percentage of all eligible facilities in each state and territory which participated in NAPS between 2016 and 2021">
              <a:extLst xmlns:a="http://schemas.openxmlformats.org/drawingml/2006/main">
                <a:ext uri="{FF2B5EF4-FFF2-40B4-BE49-F238E27FC236}">
                  <a16:creationId xmlns:a16="http://schemas.microsoft.com/office/drawing/2014/main" id="{00000000-0008-0000-0E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9C7CFC0" w14:textId="77777777" w:rsidR="00572F25" w:rsidRPr="008222BE" w:rsidRDefault="00572F25" w:rsidP="00572F25">
      <w:pPr>
        <w:pStyle w:val="Notes"/>
      </w:pPr>
      <w:r w:rsidRPr="008222BE">
        <w:t xml:space="preserve">* Australian Institute of Health and Welfare. Australian hospital peer groups. Health services series no. 66. Cat. no. HSE 170. </w:t>
      </w:r>
      <w:r>
        <w:t xml:space="preserve">Canberra: </w:t>
      </w:r>
      <w:r w:rsidRPr="008222BE">
        <w:t>AIHW; 2015</w:t>
      </w:r>
      <w:r>
        <w:t>.</w:t>
      </w:r>
    </w:p>
    <w:p w14:paraId="7179B6CA" w14:textId="77777777" w:rsidR="00572F25" w:rsidRPr="003B6B00" w:rsidRDefault="00572F25" w:rsidP="00572F25">
      <w:r>
        <w:br w:type="page"/>
      </w:r>
    </w:p>
    <w:p w14:paraId="65664C81" w14:textId="77777777" w:rsidR="00572F25" w:rsidRDefault="00572F25" w:rsidP="00572F25">
      <w:pPr>
        <w:pStyle w:val="Captions"/>
      </w:pPr>
      <w:r w:rsidRPr="00C614C9">
        <w:lastRenderedPageBreak/>
        <w:t>Figure A2.2:</w:t>
      </w:r>
      <w:r w:rsidRPr="00C614C9">
        <w:tab/>
        <w:t xml:space="preserve">Percentage of contributing facilities, by peer group classification*, Surgical </w:t>
      </w:r>
      <w:r>
        <w:rPr>
          <w:rFonts w:cs="Arial"/>
        </w:rPr>
        <w:t>NAPS</w:t>
      </w:r>
      <w:r w:rsidRPr="00C614C9">
        <w:t xml:space="preserve"> </w:t>
      </w:r>
      <w:r w:rsidR="00511324">
        <w:t>2016-</w:t>
      </w:r>
      <w:r w:rsidRPr="00C614C9">
        <w:t>2021</w:t>
      </w:r>
    </w:p>
    <w:p w14:paraId="2091EB13" w14:textId="77777777" w:rsidR="00572F25" w:rsidRDefault="00572F25" w:rsidP="00572F25">
      <w:pPr>
        <w:spacing w:after="0"/>
        <w:rPr>
          <w:highlight w:val="cyan"/>
        </w:rPr>
      </w:pPr>
      <w:r>
        <w:rPr>
          <w:noProof/>
        </w:rPr>
        <w:drawing>
          <wp:inline distT="0" distB="0" distL="0" distR="0" wp14:anchorId="42C662C6" wp14:editId="0C8BCFE2">
            <wp:extent cx="5941060" cy="4196715"/>
            <wp:effectExtent l="0" t="0" r="2540" b="13335"/>
            <wp:docPr id="25" name="Chart 25" descr="This is a line graph showing the percentage of eligible facilities in each peer group nationally that have contributed to Surgical NAPS between 2016 and 2021">
              <a:extLst xmlns:a="http://schemas.openxmlformats.org/drawingml/2006/main">
                <a:ext uri="{FF2B5EF4-FFF2-40B4-BE49-F238E27FC236}">
                  <a16:creationId xmlns:a16="http://schemas.microsoft.com/office/drawing/2014/main" id="{00000000-0008-0000-0F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8F3F532" w14:textId="77777777" w:rsidR="00572F25" w:rsidRPr="008222BE" w:rsidRDefault="00572F25" w:rsidP="00572F25">
      <w:pPr>
        <w:pStyle w:val="Notes"/>
      </w:pPr>
      <w:r>
        <w:t xml:space="preserve">* </w:t>
      </w:r>
      <w:r w:rsidRPr="008222BE">
        <w:t xml:space="preserve">Australian Institute of Health and Welfare. Australian hospital peer groups. Health services series no. 66. Cat. no. HSE 170. </w:t>
      </w:r>
      <w:r>
        <w:t xml:space="preserve">Canberra: </w:t>
      </w:r>
      <w:r w:rsidRPr="008222BE">
        <w:t>AIHW; 2015</w:t>
      </w:r>
      <w:r>
        <w:t>.</w:t>
      </w:r>
    </w:p>
    <w:p w14:paraId="621248F7" w14:textId="77777777" w:rsidR="00572F25" w:rsidRPr="004E6577" w:rsidRDefault="00572F25" w:rsidP="00572F25">
      <w:pPr>
        <w:pStyle w:val="ListParagraph"/>
        <w:numPr>
          <w:ilvl w:val="0"/>
          <w:numId w:val="38"/>
        </w:numPr>
        <w:spacing w:before="0" w:after="0" w:line="240" w:lineRule="auto"/>
        <w:rPr>
          <w:highlight w:val="cyan"/>
        </w:rPr>
      </w:pPr>
      <w:r w:rsidRPr="004E6577">
        <w:rPr>
          <w:highlight w:val="cyan"/>
        </w:rPr>
        <w:br w:type="page"/>
      </w:r>
    </w:p>
    <w:p w14:paraId="728628B5" w14:textId="77777777" w:rsidR="00572F25" w:rsidRDefault="00572F25" w:rsidP="00572F25">
      <w:pPr>
        <w:pStyle w:val="Captions"/>
      </w:pPr>
      <w:r w:rsidRPr="00F072E6">
        <w:lastRenderedPageBreak/>
        <w:t>Figure A</w:t>
      </w:r>
      <w:r>
        <w:t>2</w:t>
      </w:r>
      <w:r w:rsidRPr="00F072E6">
        <w:t>.3:</w:t>
      </w:r>
      <w:r w:rsidRPr="00F072E6">
        <w:tab/>
        <w:t xml:space="preserve">Percentage of contributing facilities, </w:t>
      </w:r>
      <w:r w:rsidRPr="009F6156">
        <w:t>by</w:t>
      </w:r>
      <w:r w:rsidRPr="00F072E6">
        <w:t xml:space="preserve"> remoteness classification*, Surgical </w:t>
      </w:r>
      <w:r>
        <w:t>NAPS</w:t>
      </w:r>
      <w:r w:rsidRPr="00F072E6">
        <w:t xml:space="preserve"> </w:t>
      </w:r>
      <w:r w:rsidR="00511324">
        <w:t>2016-</w:t>
      </w:r>
      <w:r w:rsidRPr="00F072E6">
        <w:t>202</w:t>
      </w:r>
      <w:r>
        <w:t>1</w:t>
      </w:r>
    </w:p>
    <w:p w14:paraId="1FD4A70F" w14:textId="77777777" w:rsidR="00572F25" w:rsidRPr="003B6B00" w:rsidRDefault="00572F25" w:rsidP="00572F25">
      <w:r>
        <w:rPr>
          <w:noProof/>
        </w:rPr>
        <w:drawing>
          <wp:inline distT="0" distB="0" distL="0" distR="0" wp14:anchorId="4986509D" wp14:editId="2C40F567">
            <wp:extent cx="5753819" cy="2337759"/>
            <wp:effectExtent l="0" t="0" r="18415" b="5715"/>
            <wp:docPr id="1" name="Chart 1" descr="This is a line graph showing the percentage of eligible facilities in each remoteness classification nationally that have contributed to Surgical NAPS between 2016 and 20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C19B54E" w14:textId="77777777" w:rsidR="00572F25" w:rsidRDefault="00572F25" w:rsidP="00572F25">
      <w:pPr>
        <w:pStyle w:val="Notes"/>
      </w:pPr>
      <w:r w:rsidRPr="00794D9C">
        <w:t xml:space="preserve">* Australian Bureau of Statistics. 1270.0.55.005 – Australian Statistical Geography Standard </w:t>
      </w:r>
      <w:r w:rsidRPr="008A603A">
        <w:t>(ASGS</w:t>
      </w:r>
      <w:r w:rsidRPr="00794D9C">
        <w:t xml:space="preserve">): Volume 5 – </w:t>
      </w:r>
      <w:r w:rsidRPr="008A603A">
        <w:t>Remoteness Structure</w:t>
      </w:r>
      <w:r w:rsidRPr="00794D9C">
        <w:t xml:space="preserve">, July 2016. </w:t>
      </w:r>
      <w:r>
        <w:t xml:space="preserve">Canberra: </w:t>
      </w:r>
      <w:r w:rsidRPr="00794D9C">
        <w:t>A</w:t>
      </w:r>
      <w:r>
        <w:t>B</w:t>
      </w:r>
      <w:r w:rsidRPr="00794D9C">
        <w:t>S; 2018</w:t>
      </w:r>
      <w:r>
        <w:t>.</w:t>
      </w:r>
    </w:p>
    <w:p w14:paraId="414D366C" w14:textId="77777777" w:rsidR="00572F25" w:rsidRPr="00C84C98" w:rsidRDefault="00572F25" w:rsidP="00572F25">
      <w:pPr>
        <w:spacing w:after="0"/>
        <w:rPr>
          <w:rFonts w:cs="Arial"/>
          <w:sz w:val="18"/>
          <w:szCs w:val="18"/>
        </w:rPr>
      </w:pPr>
      <w:r>
        <w:rPr>
          <w:rFonts w:cs="Arial"/>
          <w:sz w:val="18"/>
          <w:szCs w:val="18"/>
        </w:rPr>
        <w:br w:type="page"/>
      </w:r>
    </w:p>
    <w:p w14:paraId="4A2D92D8" w14:textId="77777777" w:rsidR="00572F25" w:rsidRDefault="00572F25" w:rsidP="00572F25">
      <w:pPr>
        <w:pStyle w:val="Captions"/>
      </w:pPr>
      <w:r w:rsidRPr="00B062C7">
        <w:lastRenderedPageBreak/>
        <w:t>Table A2.3:</w:t>
      </w:r>
      <w:r w:rsidRPr="00B062C7">
        <w:tab/>
        <w:t xml:space="preserve">Number and percentage of contributing public and private facilities, by peer group classification*, </w:t>
      </w:r>
      <w:r w:rsidRPr="00B062C7">
        <w:rPr>
          <w:rFonts w:cs="Arial"/>
        </w:rPr>
        <w:t xml:space="preserve">Surgical </w:t>
      </w:r>
      <w:r w:rsidRPr="00F20786">
        <w:rPr>
          <w:rFonts w:cs="Arial"/>
        </w:rPr>
        <w:t xml:space="preserve">NAPS </w:t>
      </w:r>
      <w:r w:rsidRPr="00F20786">
        <w:t>2021</w:t>
      </w:r>
    </w:p>
    <w:tbl>
      <w:tblPr>
        <w:tblW w:w="9356" w:type="dxa"/>
        <w:tblLayout w:type="fixed"/>
        <w:tblLook w:val="04A0" w:firstRow="1" w:lastRow="0" w:firstColumn="1" w:lastColumn="0" w:noHBand="0" w:noVBand="1"/>
      </w:tblPr>
      <w:tblGrid>
        <w:gridCol w:w="3828"/>
        <w:gridCol w:w="928"/>
        <w:gridCol w:w="1481"/>
        <w:gridCol w:w="1418"/>
        <w:gridCol w:w="1701"/>
      </w:tblGrid>
      <w:tr w:rsidR="00572F25" w:rsidRPr="004E37F8" w14:paraId="7F90F32D" w14:textId="77777777" w:rsidTr="00140544">
        <w:trPr>
          <w:trHeight w:val="645"/>
        </w:trPr>
        <w:tc>
          <w:tcPr>
            <w:tcW w:w="3828" w:type="dxa"/>
            <w:vMerge w:val="restart"/>
            <w:tcBorders>
              <w:top w:val="single" w:sz="8" w:space="0" w:color="ADD4D1"/>
              <w:left w:val="nil"/>
              <w:bottom w:val="nil"/>
              <w:right w:val="nil"/>
            </w:tcBorders>
            <w:shd w:val="clear" w:color="000000" w:fill="2C5A6C"/>
            <w:vAlign w:val="center"/>
            <w:hideMark/>
          </w:tcPr>
          <w:p w14:paraId="5167387E" w14:textId="77777777" w:rsidR="00572F25" w:rsidRPr="004E37F8" w:rsidRDefault="00572F25" w:rsidP="00140544">
            <w:pPr>
              <w:spacing w:after="0"/>
              <w:rPr>
                <w:rFonts w:cs="Arial"/>
                <w:color w:val="FFFFFF"/>
                <w:sz w:val="20"/>
                <w:szCs w:val="20"/>
              </w:rPr>
            </w:pPr>
            <w:bookmarkStart w:id="139" w:name="_Hlk74651049" w:colFirst="1" w:colLast="4"/>
            <w:r w:rsidRPr="004E37F8">
              <w:rPr>
                <w:rFonts w:cs="Arial"/>
                <w:color w:val="FFFFFF"/>
                <w:sz w:val="20"/>
                <w:szCs w:val="20"/>
              </w:rPr>
              <w:t>Peer group classification</w:t>
            </w:r>
          </w:p>
        </w:tc>
        <w:tc>
          <w:tcPr>
            <w:tcW w:w="928" w:type="dxa"/>
            <w:tcBorders>
              <w:top w:val="single" w:sz="8" w:space="0" w:color="ADD4D1"/>
              <w:left w:val="nil"/>
              <w:bottom w:val="nil"/>
              <w:right w:val="nil"/>
            </w:tcBorders>
            <w:shd w:val="clear" w:color="000000" w:fill="2C5A6C"/>
            <w:vAlign w:val="center"/>
            <w:hideMark/>
          </w:tcPr>
          <w:p w14:paraId="7FEF134F" w14:textId="77777777" w:rsidR="00572F25" w:rsidRPr="004E37F8" w:rsidRDefault="00572F25" w:rsidP="00140544">
            <w:pPr>
              <w:spacing w:after="0"/>
              <w:jc w:val="center"/>
              <w:rPr>
                <w:rFonts w:cs="Arial"/>
                <w:color w:val="FFFFFF"/>
                <w:sz w:val="20"/>
                <w:szCs w:val="20"/>
              </w:rPr>
            </w:pPr>
            <w:r w:rsidRPr="004E37F8">
              <w:rPr>
                <w:rFonts w:cs="Arial"/>
                <w:color w:val="FFFFFF"/>
                <w:sz w:val="20"/>
                <w:szCs w:val="20"/>
              </w:rPr>
              <w:t>Number</w:t>
            </w:r>
          </w:p>
        </w:tc>
        <w:tc>
          <w:tcPr>
            <w:tcW w:w="1481" w:type="dxa"/>
            <w:tcBorders>
              <w:top w:val="single" w:sz="8" w:space="0" w:color="ADD4D1"/>
              <w:left w:val="nil"/>
              <w:bottom w:val="nil"/>
              <w:right w:val="nil"/>
            </w:tcBorders>
            <w:shd w:val="clear" w:color="000000" w:fill="2C5A6C"/>
            <w:vAlign w:val="center"/>
            <w:hideMark/>
          </w:tcPr>
          <w:p w14:paraId="11C4C03A" w14:textId="77777777" w:rsidR="00572F25" w:rsidRPr="004E37F8" w:rsidRDefault="00572F25" w:rsidP="00140544">
            <w:pPr>
              <w:spacing w:after="0"/>
              <w:jc w:val="center"/>
              <w:rPr>
                <w:rFonts w:cs="Arial"/>
                <w:color w:val="FFFFFF"/>
                <w:sz w:val="20"/>
                <w:szCs w:val="20"/>
              </w:rPr>
            </w:pPr>
            <w:r w:rsidRPr="004E37F8">
              <w:rPr>
                <w:rFonts w:cs="Arial"/>
                <w:color w:val="FFFFFF"/>
                <w:sz w:val="20"/>
                <w:szCs w:val="20"/>
              </w:rPr>
              <w:t>Percentage of participating facilities</w:t>
            </w:r>
          </w:p>
        </w:tc>
        <w:tc>
          <w:tcPr>
            <w:tcW w:w="1418" w:type="dxa"/>
            <w:tcBorders>
              <w:top w:val="single" w:sz="8" w:space="0" w:color="ADD4D1"/>
              <w:left w:val="nil"/>
              <w:bottom w:val="nil"/>
              <w:right w:val="nil"/>
            </w:tcBorders>
            <w:shd w:val="clear" w:color="000000" w:fill="2C5A6C"/>
            <w:vAlign w:val="center"/>
            <w:hideMark/>
          </w:tcPr>
          <w:p w14:paraId="440F34BB" w14:textId="77777777" w:rsidR="00572F25" w:rsidRPr="004E37F8" w:rsidRDefault="00572F25" w:rsidP="00140544">
            <w:pPr>
              <w:spacing w:after="0"/>
              <w:jc w:val="center"/>
              <w:rPr>
                <w:rFonts w:cs="Arial"/>
                <w:color w:val="FFFFFF"/>
                <w:sz w:val="20"/>
                <w:szCs w:val="20"/>
              </w:rPr>
            </w:pPr>
            <w:r w:rsidRPr="004E37F8">
              <w:rPr>
                <w:rFonts w:cs="Arial"/>
                <w:color w:val="FFFFFF"/>
                <w:sz w:val="20"/>
                <w:szCs w:val="20"/>
              </w:rPr>
              <w:t xml:space="preserve">Number in </w:t>
            </w:r>
            <w:r>
              <w:rPr>
                <w:rFonts w:cs="Arial"/>
                <w:color w:val="FFFFFF"/>
                <w:sz w:val="20"/>
                <w:szCs w:val="20"/>
              </w:rPr>
              <w:t>p</w:t>
            </w:r>
            <w:r w:rsidRPr="004E37F8">
              <w:rPr>
                <w:rFonts w:cs="Arial"/>
                <w:color w:val="FFFFFF"/>
                <w:sz w:val="20"/>
                <w:szCs w:val="20"/>
              </w:rPr>
              <w:t>eer group classification</w:t>
            </w:r>
          </w:p>
        </w:tc>
        <w:tc>
          <w:tcPr>
            <w:tcW w:w="1701" w:type="dxa"/>
            <w:tcBorders>
              <w:top w:val="single" w:sz="8" w:space="0" w:color="ADD4D1"/>
              <w:left w:val="nil"/>
              <w:bottom w:val="nil"/>
              <w:right w:val="nil"/>
            </w:tcBorders>
            <w:shd w:val="clear" w:color="000000" w:fill="2C5A6C"/>
            <w:vAlign w:val="center"/>
            <w:hideMark/>
          </w:tcPr>
          <w:p w14:paraId="1666C49A" w14:textId="77777777" w:rsidR="00572F25" w:rsidRPr="004E37F8" w:rsidRDefault="00572F25" w:rsidP="00140544">
            <w:pPr>
              <w:spacing w:after="0"/>
              <w:jc w:val="center"/>
              <w:rPr>
                <w:rFonts w:cs="Arial"/>
                <w:color w:val="FFFFFF"/>
                <w:sz w:val="20"/>
                <w:szCs w:val="20"/>
              </w:rPr>
            </w:pPr>
            <w:r w:rsidRPr="004E37F8">
              <w:rPr>
                <w:rFonts w:cs="Arial"/>
                <w:color w:val="FFFFFF"/>
                <w:sz w:val="20"/>
                <w:szCs w:val="20"/>
              </w:rPr>
              <w:t xml:space="preserve">Percentage of </w:t>
            </w:r>
            <w:r>
              <w:rPr>
                <w:rFonts w:cs="Arial"/>
                <w:color w:val="FFFFFF"/>
                <w:sz w:val="20"/>
                <w:szCs w:val="20"/>
              </w:rPr>
              <w:t>p</w:t>
            </w:r>
            <w:r w:rsidRPr="004E37F8">
              <w:rPr>
                <w:rFonts w:cs="Arial"/>
                <w:color w:val="FFFFFF"/>
                <w:sz w:val="20"/>
                <w:szCs w:val="20"/>
              </w:rPr>
              <w:t>eer group classification</w:t>
            </w:r>
          </w:p>
        </w:tc>
      </w:tr>
      <w:tr w:rsidR="00572F25" w:rsidRPr="004E37F8" w14:paraId="3CC6D4BF" w14:textId="77777777" w:rsidTr="00140544">
        <w:trPr>
          <w:trHeight w:val="300"/>
        </w:trPr>
        <w:tc>
          <w:tcPr>
            <w:tcW w:w="3828" w:type="dxa"/>
            <w:vMerge/>
            <w:tcBorders>
              <w:top w:val="single" w:sz="8" w:space="0" w:color="ADD4D1"/>
              <w:left w:val="nil"/>
              <w:bottom w:val="nil"/>
              <w:right w:val="nil"/>
            </w:tcBorders>
            <w:vAlign w:val="center"/>
            <w:hideMark/>
          </w:tcPr>
          <w:p w14:paraId="76CDFE21" w14:textId="77777777" w:rsidR="00572F25" w:rsidRPr="004E37F8" w:rsidRDefault="00572F25" w:rsidP="00140544">
            <w:pPr>
              <w:spacing w:after="0"/>
              <w:rPr>
                <w:rFonts w:cs="Arial"/>
                <w:color w:val="FFFFFF"/>
                <w:sz w:val="20"/>
                <w:szCs w:val="20"/>
              </w:rPr>
            </w:pPr>
          </w:p>
        </w:tc>
        <w:tc>
          <w:tcPr>
            <w:tcW w:w="928" w:type="dxa"/>
            <w:tcBorders>
              <w:top w:val="nil"/>
              <w:left w:val="nil"/>
              <w:bottom w:val="nil"/>
              <w:right w:val="nil"/>
            </w:tcBorders>
            <w:shd w:val="clear" w:color="000000" w:fill="2C5A6C"/>
            <w:vAlign w:val="center"/>
            <w:hideMark/>
          </w:tcPr>
          <w:p w14:paraId="579B30B2" w14:textId="77777777" w:rsidR="00572F25" w:rsidRPr="004E37F8" w:rsidRDefault="00572F25" w:rsidP="00140544">
            <w:pPr>
              <w:spacing w:after="0"/>
              <w:jc w:val="center"/>
              <w:rPr>
                <w:rFonts w:cs="Arial"/>
                <w:color w:val="FFFFFF"/>
                <w:sz w:val="20"/>
                <w:szCs w:val="20"/>
              </w:rPr>
            </w:pPr>
            <w:r w:rsidRPr="004E37F8">
              <w:rPr>
                <w:rFonts w:cs="Arial"/>
                <w:color w:val="FFFFFF"/>
                <w:sz w:val="20"/>
                <w:szCs w:val="20"/>
              </w:rPr>
              <w:t>(n)</w:t>
            </w:r>
          </w:p>
        </w:tc>
        <w:tc>
          <w:tcPr>
            <w:tcW w:w="1481" w:type="dxa"/>
            <w:tcBorders>
              <w:top w:val="nil"/>
              <w:left w:val="nil"/>
              <w:bottom w:val="nil"/>
              <w:right w:val="nil"/>
            </w:tcBorders>
            <w:shd w:val="clear" w:color="000000" w:fill="2C5A6C"/>
            <w:vAlign w:val="center"/>
            <w:hideMark/>
          </w:tcPr>
          <w:p w14:paraId="77A80E7A" w14:textId="77777777" w:rsidR="00572F25" w:rsidRPr="004E37F8" w:rsidRDefault="00572F25" w:rsidP="00140544">
            <w:pPr>
              <w:spacing w:after="0"/>
              <w:jc w:val="center"/>
              <w:rPr>
                <w:rFonts w:cs="Arial"/>
                <w:color w:val="FFFFFF"/>
                <w:sz w:val="20"/>
                <w:szCs w:val="20"/>
              </w:rPr>
            </w:pPr>
            <w:bookmarkStart w:id="140" w:name="RANGE!I2"/>
            <w:r w:rsidRPr="004E37F8">
              <w:rPr>
                <w:rFonts w:cs="Arial"/>
                <w:color w:val="FFFFFF"/>
                <w:sz w:val="20"/>
                <w:szCs w:val="20"/>
              </w:rPr>
              <w:t>(%)</w:t>
            </w:r>
            <w:bookmarkEnd w:id="140"/>
          </w:p>
        </w:tc>
        <w:tc>
          <w:tcPr>
            <w:tcW w:w="1418" w:type="dxa"/>
            <w:tcBorders>
              <w:top w:val="nil"/>
              <w:left w:val="nil"/>
              <w:bottom w:val="nil"/>
              <w:right w:val="nil"/>
            </w:tcBorders>
            <w:shd w:val="clear" w:color="000000" w:fill="2C5A6C"/>
            <w:vAlign w:val="center"/>
            <w:hideMark/>
          </w:tcPr>
          <w:p w14:paraId="05405B28" w14:textId="77777777" w:rsidR="00572F25" w:rsidRPr="004E37F8" w:rsidRDefault="00572F25" w:rsidP="00140544">
            <w:pPr>
              <w:spacing w:after="0"/>
              <w:jc w:val="center"/>
              <w:rPr>
                <w:rFonts w:cs="Arial"/>
                <w:color w:val="FFFFFF"/>
                <w:sz w:val="20"/>
                <w:szCs w:val="20"/>
              </w:rPr>
            </w:pPr>
            <w:r w:rsidRPr="004E37F8">
              <w:rPr>
                <w:rFonts w:cs="Arial"/>
                <w:color w:val="FFFFFF"/>
                <w:sz w:val="20"/>
                <w:szCs w:val="20"/>
              </w:rPr>
              <w:t>(n)</w:t>
            </w:r>
          </w:p>
        </w:tc>
        <w:tc>
          <w:tcPr>
            <w:tcW w:w="1701" w:type="dxa"/>
            <w:tcBorders>
              <w:top w:val="nil"/>
              <w:left w:val="nil"/>
              <w:bottom w:val="nil"/>
              <w:right w:val="nil"/>
            </w:tcBorders>
            <w:shd w:val="clear" w:color="000000" w:fill="2C5A6C"/>
            <w:vAlign w:val="center"/>
            <w:hideMark/>
          </w:tcPr>
          <w:p w14:paraId="10F5B253" w14:textId="77777777" w:rsidR="00572F25" w:rsidRPr="004E37F8" w:rsidRDefault="00572F25" w:rsidP="00140544">
            <w:pPr>
              <w:spacing w:after="0"/>
              <w:jc w:val="center"/>
              <w:rPr>
                <w:rFonts w:cs="Arial"/>
                <w:color w:val="FFFFFF"/>
                <w:sz w:val="20"/>
                <w:szCs w:val="20"/>
              </w:rPr>
            </w:pPr>
            <w:r w:rsidRPr="004E37F8">
              <w:rPr>
                <w:rFonts w:cs="Arial"/>
                <w:color w:val="FFFFFF"/>
                <w:sz w:val="20"/>
                <w:szCs w:val="20"/>
              </w:rPr>
              <w:t>(%)</w:t>
            </w:r>
          </w:p>
        </w:tc>
      </w:tr>
      <w:tr w:rsidR="00572F25" w:rsidRPr="004E37F8" w14:paraId="6FA83BA4" w14:textId="77777777" w:rsidTr="00140544">
        <w:trPr>
          <w:trHeight w:val="300"/>
        </w:trPr>
        <w:tc>
          <w:tcPr>
            <w:tcW w:w="3828" w:type="dxa"/>
            <w:tcBorders>
              <w:top w:val="nil"/>
              <w:left w:val="nil"/>
              <w:bottom w:val="nil"/>
              <w:right w:val="nil"/>
            </w:tcBorders>
            <w:shd w:val="clear" w:color="000000" w:fill="E4E4E5"/>
            <w:noWrap/>
            <w:vAlign w:val="center"/>
            <w:hideMark/>
          </w:tcPr>
          <w:p w14:paraId="32DC7EE0" w14:textId="77777777" w:rsidR="00572F25" w:rsidRPr="004E37F8" w:rsidRDefault="00572F25" w:rsidP="00140544">
            <w:pPr>
              <w:spacing w:after="0"/>
              <w:rPr>
                <w:rFonts w:cs="Arial"/>
                <w:b/>
                <w:bCs/>
                <w:color w:val="2C5A6C"/>
                <w:sz w:val="20"/>
                <w:szCs w:val="20"/>
              </w:rPr>
            </w:pPr>
            <w:r w:rsidRPr="004E37F8">
              <w:rPr>
                <w:rFonts w:cs="Arial"/>
                <w:b/>
                <w:bCs/>
                <w:color w:val="2C5A6C"/>
                <w:sz w:val="20"/>
                <w:szCs w:val="20"/>
              </w:rPr>
              <w:t>Public facilities</w:t>
            </w:r>
          </w:p>
        </w:tc>
        <w:tc>
          <w:tcPr>
            <w:tcW w:w="928" w:type="dxa"/>
            <w:tcBorders>
              <w:top w:val="nil"/>
              <w:left w:val="nil"/>
              <w:bottom w:val="nil"/>
              <w:right w:val="nil"/>
            </w:tcBorders>
            <w:shd w:val="clear" w:color="000000" w:fill="E4E4E5"/>
            <w:noWrap/>
            <w:vAlign w:val="center"/>
            <w:hideMark/>
          </w:tcPr>
          <w:p w14:paraId="4FFC28E5" w14:textId="77777777" w:rsidR="00572F25" w:rsidRPr="004E37F8" w:rsidRDefault="00572F25" w:rsidP="00140544">
            <w:pPr>
              <w:spacing w:after="0"/>
              <w:jc w:val="center"/>
              <w:rPr>
                <w:rFonts w:cs="Arial"/>
                <w:b/>
                <w:bCs/>
                <w:color w:val="2C5A6C"/>
                <w:sz w:val="20"/>
                <w:szCs w:val="20"/>
              </w:rPr>
            </w:pPr>
            <w:r w:rsidRPr="004E37F8">
              <w:rPr>
                <w:rFonts w:cs="Arial"/>
                <w:b/>
                <w:bCs/>
                <w:color w:val="2C5A6C"/>
                <w:sz w:val="20"/>
                <w:szCs w:val="20"/>
              </w:rPr>
              <w:t>90</w:t>
            </w:r>
          </w:p>
        </w:tc>
        <w:tc>
          <w:tcPr>
            <w:tcW w:w="1481" w:type="dxa"/>
            <w:tcBorders>
              <w:top w:val="nil"/>
              <w:left w:val="nil"/>
              <w:bottom w:val="nil"/>
              <w:right w:val="nil"/>
            </w:tcBorders>
            <w:shd w:val="clear" w:color="000000" w:fill="E4E4E5"/>
            <w:noWrap/>
            <w:vAlign w:val="center"/>
            <w:hideMark/>
          </w:tcPr>
          <w:p w14:paraId="17B9CB03" w14:textId="77777777" w:rsidR="00572F25" w:rsidRPr="004E37F8" w:rsidRDefault="00572F25" w:rsidP="00140544">
            <w:pPr>
              <w:spacing w:after="0"/>
              <w:jc w:val="center"/>
              <w:rPr>
                <w:rFonts w:cs="Arial"/>
                <w:b/>
                <w:bCs/>
                <w:color w:val="2C5A6C"/>
                <w:sz w:val="20"/>
                <w:szCs w:val="20"/>
              </w:rPr>
            </w:pPr>
            <w:r w:rsidRPr="004E37F8">
              <w:rPr>
                <w:rFonts w:cs="Arial"/>
                <w:b/>
                <w:bCs/>
                <w:color w:val="2C5A6C"/>
                <w:sz w:val="20"/>
                <w:szCs w:val="20"/>
              </w:rPr>
              <w:t>49.7</w:t>
            </w:r>
          </w:p>
        </w:tc>
        <w:tc>
          <w:tcPr>
            <w:tcW w:w="1418" w:type="dxa"/>
            <w:tcBorders>
              <w:top w:val="nil"/>
              <w:left w:val="nil"/>
              <w:bottom w:val="nil"/>
              <w:right w:val="nil"/>
            </w:tcBorders>
            <w:shd w:val="clear" w:color="000000" w:fill="E4E4E5"/>
            <w:vAlign w:val="center"/>
            <w:hideMark/>
          </w:tcPr>
          <w:p w14:paraId="4DADE231" w14:textId="77777777" w:rsidR="00572F25" w:rsidRPr="004E37F8" w:rsidRDefault="00572F25" w:rsidP="00140544">
            <w:pPr>
              <w:spacing w:after="0"/>
              <w:jc w:val="center"/>
              <w:rPr>
                <w:rFonts w:cs="Arial"/>
                <w:b/>
                <w:bCs/>
                <w:color w:val="2C5A6C"/>
                <w:sz w:val="20"/>
                <w:szCs w:val="20"/>
              </w:rPr>
            </w:pPr>
            <w:r w:rsidRPr="004E37F8">
              <w:rPr>
                <w:rFonts w:cs="Arial"/>
                <w:b/>
                <w:bCs/>
                <w:color w:val="2C5A6C"/>
                <w:sz w:val="20"/>
                <w:szCs w:val="20"/>
              </w:rPr>
              <w:t>493</w:t>
            </w:r>
          </w:p>
        </w:tc>
        <w:tc>
          <w:tcPr>
            <w:tcW w:w="1701" w:type="dxa"/>
            <w:tcBorders>
              <w:top w:val="nil"/>
              <w:left w:val="nil"/>
              <w:bottom w:val="nil"/>
              <w:right w:val="nil"/>
            </w:tcBorders>
            <w:shd w:val="clear" w:color="000000" w:fill="E4E4E5"/>
            <w:noWrap/>
            <w:vAlign w:val="center"/>
            <w:hideMark/>
          </w:tcPr>
          <w:p w14:paraId="22CB632B" w14:textId="77777777" w:rsidR="00572F25" w:rsidRPr="004E37F8" w:rsidRDefault="00572F25" w:rsidP="00140544">
            <w:pPr>
              <w:spacing w:after="0"/>
              <w:jc w:val="center"/>
              <w:rPr>
                <w:rFonts w:cs="Arial"/>
                <w:b/>
                <w:bCs/>
                <w:color w:val="2C5A6C"/>
                <w:sz w:val="20"/>
                <w:szCs w:val="20"/>
              </w:rPr>
            </w:pPr>
            <w:r w:rsidRPr="004E37F8">
              <w:rPr>
                <w:rFonts w:cs="Arial"/>
                <w:b/>
                <w:bCs/>
                <w:color w:val="2C5A6C"/>
                <w:sz w:val="20"/>
                <w:szCs w:val="20"/>
              </w:rPr>
              <w:t>18.3</w:t>
            </w:r>
          </w:p>
        </w:tc>
      </w:tr>
      <w:tr w:rsidR="00572F25" w:rsidRPr="004E37F8" w14:paraId="7B5CC2DC" w14:textId="77777777" w:rsidTr="00140544">
        <w:trPr>
          <w:trHeight w:val="300"/>
        </w:trPr>
        <w:tc>
          <w:tcPr>
            <w:tcW w:w="3828" w:type="dxa"/>
            <w:tcBorders>
              <w:top w:val="nil"/>
              <w:left w:val="nil"/>
              <w:bottom w:val="nil"/>
              <w:right w:val="nil"/>
            </w:tcBorders>
            <w:shd w:val="clear" w:color="auto" w:fill="auto"/>
            <w:noWrap/>
            <w:vAlign w:val="center"/>
            <w:hideMark/>
          </w:tcPr>
          <w:p w14:paraId="2404E64F" w14:textId="77777777" w:rsidR="00572F25" w:rsidRPr="004E37F8" w:rsidRDefault="00572F25" w:rsidP="00140544">
            <w:pPr>
              <w:spacing w:after="0"/>
              <w:ind w:firstLineChars="200" w:firstLine="360"/>
              <w:rPr>
                <w:rFonts w:cs="Arial"/>
                <w:color w:val="000000"/>
                <w:sz w:val="18"/>
                <w:szCs w:val="20"/>
              </w:rPr>
            </w:pPr>
            <w:r w:rsidRPr="004E37F8">
              <w:rPr>
                <w:rFonts w:cs="Arial"/>
                <w:color w:val="000000"/>
                <w:sz w:val="18"/>
                <w:szCs w:val="20"/>
              </w:rPr>
              <w:t>Principal referral hospitals</w:t>
            </w:r>
          </w:p>
        </w:tc>
        <w:tc>
          <w:tcPr>
            <w:tcW w:w="928" w:type="dxa"/>
            <w:tcBorders>
              <w:top w:val="nil"/>
              <w:left w:val="nil"/>
              <w:bottom w:val="nil"/>
              <w:right w:val="nil"/>
            </w:tcBorders>
            <w:shd w:val="clear" w:color="auto" w:fill="auto"/>
            <w:noWrap/>
            <w:vAlign w:val="center"/>
            <w:hideMark/>
          </w:tcPr>
          <w:p w14:paraId="6B04358B" w14:textId="77777777" w:rsidR="00572F25" w:rsidRPr="004E37F8" w:rsidRDefault="00572F25" w:rsidP="00140544">
            <w:pPr>
              <w:spacing w:after="0"/>
              <w:jc w:val="center"/>
              <w:rPr>
                <w:rFonts w:cs="Arial"/>
                <w:color w:val="000000"/>
                <w:sz w:val="18"/>
                <w:szCs w:val="20"/>
              </w:rPr>
            </w:pPr>
            <w:r w:rsidRPr="004E37F8">
              <w:rPr>
                <w:rFonts w:cs="Arial"/>
                <w:color w:val="000000"/>
                <w:sz w:val="18"/>
                <w:szCs w:val="20"/>
              </w:rPr>
              <w:t>9</w:t>
            </w:r>
          </w:p>
        </w:tc>
        <w:tc>
          <w:tcPr>
            <w:tcW w:w="1481" w:type="dxa"/>
            <w:tcBorders>
              <w:top w:val="nil"/>
              <w:left w:val="nil"/>
              <w:bottom w:val="nil"/>
              <w:right w:val="nil"/>
            </w:tcBorders>
            <w:shd w:val="clear" w:color="auto" w:fill="auto"/>
            <w:noWrap/>
            <w:vAlign w:val="center"/>
            <w:hideMark/>
          </w:tcPr>
          <w:p w14:paraId="1B871554" w14:textId="77777777" w:rsidR="00572F25" w:rsidRPr="004E37F8" w:rsidRDefault="00572F25" w:rsidP="00140544">
            <w:pPr>
              <w:spacing w:after="0"/>
              <w:jc w:val="center"/>
              <w:rPr>
                <w:rFonts w:cs="Arial"/>
                <w:color w:val="000000"/>
                <w:sz w:val="18"/>
                <w:szCs w:val="20"/>
              </w:rPr>
            </w:pPr>
            <w:r w:rsidRPr="004E37F8">
              <w:rPr>
                <w:rFonts w:cs="Arial"/>
                <w:color w:val="000000"/>
                <w:sz w:val="18"/>
                <w:szCs w:val="20"/>
              </w:rPr>
              <w:t>5.0</w:t>
            </w:r>
          </w:p>
        </w:tc>
        <w:tc>
          <w:tcPr>
            <w:tcW w:w="1418" w:type="dxa"/>
            <w:tcBorders>
              <w:top w:val="nil"/>
              <w:left w:val="nil"/>
              <w:bottom w:val="nil"/>
              <w:right w:val="nil"/>
            </w:tcBorders>
            <w:shd w:val="clear" w:color="auto" w:fill="auto"/>
            <w:vAlign w:val="center"/>
            <w:hideMark/>
          </w:tcPr>
          <w:p w14:paraId="2849E67F" w14:textId="77777777" w:rsidR="00572F25" w:rsidRPr="004E37F8" w:rsidRDefault="00572F25" w:rsidP="00140544">
            <w:pPr>
              <w:spacing w:after="0"/>
              <w:jc w:val="center"/>
              <w:rPr>
                <w:rFonts w:cs="Arial"/>
                <w:bCs/>
                <w:color w:val="000000"/>
                <w:sz w:val="18"/>
                <w:szCs w:val="20"/>
              </w:rPr>
            </w:pPr>
            <w:r w:rsidRPr="004E37F8">
              <w:rPr>
                <w:rFonts w:cs="Arial"/>
                <w:bCs/>
                <w:color w:val="000000"/>
                <w:sz w:val="18"/>
                <w:szCs w:val="20"/>
              </w:rPr>
              <w:t>29</w:t>
            </w:r>
          </w:p>
        </w:tc>
        <w:tc>
          <w:tcPr>
            <w:tcW w:w="1701" w:type="dxa"/>
            <w:tcBorders>
              <w:top w:val="nil"/>
              <w:left w:val="nil"/>
              <w:bottom w:val="nil"/>
              <w:right w:val="nil"/>
            </w:tcBorders>
            <w:shd w:val="clear" w:color="auto" w:fill="auto"/>
            <w:noWrap/>
            <w:vAlign w:val="center"/>
            <w:hideMark/>
          </w:tcPr>
          <w:p w14:paraId="361C6BB5" w14:textId="77777777" w:rsidR="00572F25" w:rsidRPr="004E37F8" w:rsidRDefault="00572F25" w:rsidP="00140544">
            <w:pPr>
              <w:spacing w:after="0"/>
              <w:jc w:val="center"/>
              <w:rPr>
                <w:rFonts w:cs="Arial"/>
                <w:color w:val="000000"/>
                <w:sz w:val="18"/>
                <w:szCs w:val="20"/>
              </w:rPr>
            </w:pPr>
            <w:r w:rsidRPr="004E37F8">
              <w:rPr>
                <w:rFonts w:cs="Arial"/>
                <w:color w:val="000000"/>
                <w:sz w:val="18"/>
                <w:szCs w:val="20"/>
              </w:rPr>
              <w:t>31.0</w:t>
            </w:r>
          </w:p>
        </w:tc>
      </w:tr>
      <w:tr w:rsidR="00572F25" w:rsidRPr="004E37F8" w14:paraId="6156024C" w14:textId="77777777" w:rsidTr="00140544">
        <w:trPr>
          <w:trHeight w:val="300"/>
        </w:trPr>
        <w:tc>
          <w:tcPr>
            <w:tcW w:w="3828" w:type="dxa"/>
            <w:tcBorders>
              <w:top w:val="nil"/>
              <w:left w:val="nil"/>
              <w:bottom w:val="nil"/>
              <w:right w:val="nil"/>
            </w:tcBorders>
            <w:shd w:val="clear" w:color="000000" w:fill="E4E4E5"/>
            <w:noWrap/>
            <w:vAlign w:val="center"/>
            <w:hideMark/>
          </w:tcPr>
          <w:p w14:paraId="30AC7665" w14:textId="77777777" w:rsidR="00572F25" w:rsidRPr="004E37F8" w:rsidRDefault="00572F25" w:rsidP="00140544">
            <w:pPr>
              <w:spacing w:after="0"/>
              <w:ind w:firstLineChars="200" w:firstLine="360"/>
              <w:rPr>
                <w:rFonts w:cs="Arial"/>
                <w:color w:val="000000"/>
                <w:sz w:val="18"/>
                <w:szCs w:val="20"/>
              </w:rPr>
            </w:pPr>
            <w:r w:rsidRPr="004E37F8">
              <w:rPr>
                <w:rFonts w:cs="Arial"/>
                <w:color w:val="000000"/>
                <w:sz w:val="18"/>
                <w:szCs w:val="20"/>
              </w:rPr>
              <w:t>Public acute group A hospitals</w:t>
            </w:r>
          </w:p>
        </w:tc>
        <w:tc>
          <w:tcPr>
            <w:tcW w:w="928" w:type="dxa"/>
            <w:tcBorders>
              <w:top w:val="nil"/>
              <w:left w:val="nil"/>
              <w:bottom w:val="nil"/>
              <w:right w:val="nil"/>
            </w:tcBorders>
            <w:shd w:val="clear" w:color="000000" w:fill="E4E4E5"/>
            <w:noWrap/>
            <w:vAlign w:val="center"/>
            <w:hideMark/>
          </w:tcPr>
          <w:p w14:paraId="6346DFEC" w14:textId="77777777" w:rsidR="00572F25" w:rsidRPr="004E37F8" w:rsidRDefault="00572F25" w:rsidP="00140544">
            <w:pPr>
              <w:spacing w:after="0"/>
              <w:jc w:val="center"/>
              <w:rPr>
                <w:rFonts w:cs="Arial"/>
                <w:color w:val="000000"/>
                <w:sz w:val="18"/>
                <w:szCs w:val="20"/>
              </w:rPr>
            </w:pPr>
            <w:r w:rsidRPr="004E37F8">
              <w:rPr>
                <w:rFonts w:cs="Arial"/>
                <w:color w:val="000000"/>
                <w:sz w:val="18"/>
                <w:szCs w:val="20"/>
              </w:rPr>
              <w:t>24</w:t>
            </w:r>
          </w:p>
        </w:tc>
        <w:tc>
          <w:tcPr>
            <w:tcW w:w="1481" w:type="dxa"/>
            <w:tcBorders>
              <w:top w:val="nil"/>
              <w:left w:val="nil"/>
              <w:bottom w:val="nil"/>
              <w:right w:val="nil"/>
            </w:tcBorders>
            <w:shd w:val="clear" w:color="000000" w:fill="E4E4E5"/>
            <w:noWrap/>
            <w:vAlign w:val="center"/>
            <w:hideMark/>
          </w:tcPr>
          <w:p w14:paraId="31095BC5" w14:textId="77777777" w:rsidR="00572F25" w:rsidRPr="004E37F8" w:rsidRDefault="00572F25" w:rsidP="00140544">
            <w:pPr>
              <w:spacing w:after="0"/>
              <w:jc w:val="center"/>
              <w:rPr>
                <w:rFonts w:cs="Arial"/>
                <w:color w:val="000000"/>
                <w:sz w:val="18"/>
                <w:szCs w:val="20"/>
              </w:rPr>
            </w:pPr>
            <w:r w:rsidRPr="004E37F8">
              <w:rPr>
                <w:rFonts w:cs="Arial"/>
                <w:color w:val="000000"/>
                <w:sz w:val="18"/>
                <w:szCs w:val="20"/>
              </w:rPr>
              <w:t>13.3</w:t>
            </w:r>
          </w:p>
        </w:tc>
        <w:tc>
          <w:tcPr>
            <w:tcW w:w="1418" w:type="dxa"/>
            <w:tcBorders>
              <w:top w:val="nil"/>
              <w:left w:val="nil"/>
              <w:bottom w:val="nil"/>
              <w:right w:val="nil"/>
            </w:tcBorders>
            <w:shd w:val="clear" w:color="000000" w:fill="E4E4E5"/>
            <w:vAlign w:val="center"/>
            <w:hideMark/>
          </w:tcPr>
          <w:p w14:paraId="4F1251C8" w14:textId="77777777" w:rsidR="00572F25" w:rsidRPr="004E37F8" w:rsidRDefault="00572F25" w:rsidP="00140544">
            <w:pPr>
              <w:spacing w:after="0"/>
              <w:jc w:val="center"/>
              <w:rPr>
                <w:rFonts w:cs="Arial"/>
                <w:bCs/>
                <w:color w:val="000000"/>
                <w:sz w:val="18"/>
                <w:szCs w:val="20"/>
              </w:rPr>
            </w:pPr>
            <w:r w:rsidRPr="004E37F8">
              <w:rPr>
                <w:rFonts w:cs="Arial"/>
                <w:bCs/>
                <w:color w:val="000000"/>
                <w:sz w:val="18"/>
                <w:szCs w:val="20"/>
              </w:rPr>
              <w:t>62</w:t>
            </w:r>
          </w:p>
        </w:tc>
        <w:tc>
          <w:tcPr>
            <w:tcW w:w="1701" w:type="dxa"/>
            <w:tcBorders>
              <w:top w:val="nil"/>
              <w:left w:val="nil"/>
              <w:bottom w:val="nil"/>
              <w:right w:val="nil"/>
            </w:tcBorders>
            <w:shd w:val="clear" w:color="000000" w:fill="E4E4E5"/>
            <w:noWrap/>
            <w:vAlign w:val="center"/>
            <w:hideMark/>
          </w:tcPr>
          <w:p w14:paraId="0CD84EDC" w14:textId="77777777" w:rsidR="00572F25" w:rsidRPr="004E37F8" w:rsidRDefault="00572F25" w:rsidP="00140544">
            <w:pPr>
              <w:spacing w:after="0"/>
              <w:jc w:val="center"/>
              <w:rPr>
                <w:rFonts w:cs="Arial"/>
                <w:color w:val="000000"/>
                <w:sz w:val="18"/>
                <w:szCs w:val="20"/>
              </w:rPr>
            </w:pPr>
            <w:r w:rsidRPr="004E37F8">
              <w:rPr>
                <w:rFonts w:cs="Arial"/>
                <w:color w:val="000000"/>
                <w:sz w:val="18"/>
                <w:szCs w:val="20"/>
              </w:rPr>
              <w:t>38.7</w:t>
            </w:r>
          </w:p>
        </w:tc>
      </w:tr>
      <w:tr w:rsidR="00572F25" w:rsidRPr="004E37F8" w14:paraId="55530D35" w14:textId="77777777" w:rsidTr="00140544">
        <w:trPr>
          <w:trHeight w:val="300"/>
        </w:trPr>
        <w:tc>
          <w:tcPr>
            <w:tcW w:w="3828" w:type="dxa"/>
            <w:tcBorders>
              <w:top w:val="nil"/>
              <w:left w:val="nil"/>
              <w:bottom w:val="nil"/>
              <w:right w:val="nil"/>
            </w:tcBorders>
            <w:shd w:val="clear" w:color="auto" w:fill="auto"/>
            <w:noWrap/>
            <w:vAlign w:val="center"/>
            <w:hideMark/>
          </w:tcPr>
          <w:p w14:paraId="3BA2F62D" w14:textId="77777777" w:rsidR="00572F25" w:rsidRPr="004E37F8" w:rsidRDefault="00572F25" w:rsidP="00140544">
            <w:pPr>
              <w:spacing w:after="0"/>
              <w:ind w:firstLineChars="200" w:firstLine="360"/>
              <w:rPr>
                <w:rFonts w:cs="Arial"/>
                <w:color w:val="000000"/>
                <w:sz w:val="18"/>
                <w:szCs w:val="20"/>
              </w:rPr>
            </w:pPr>
            <w:r w:rsidRPr="004E37F8">
              <w:rPr>
                <w:rFonts w:cs="Arial"/>
                <w:color w:val="000000"/>
                <w:sz w:val="18"/>
                <w:szCs w:val="20"/>
              </w:rPr>
              <w:t>Public acute group B hospitals</w:t>
            </w:r>
          </w:p>
        </w:tc>
        <w:tc>
          <w:tcPr>
            <w:tcW w:w="928" w:type="dxa"/>
            <w:tcBorders>
              <w:top w:val="nil"/>
              <w:left w:val="nil"/>
              <w:bottom w:val="nil"/>
              <w:right w:val="nil"/>
            </w:tcBorders>
            <w:shd w:val="clear" w:color="auto" w:fill="auto"/>
            <w:noWrap/>
            <w:vAlign w:val="center"/>
            <w:hideMark/>
          </w:tcPr>
          <w:p w14:paraId="75CAEAA5" w14:textId="77777777" w:rsidR="00572F25" w:rsidRPr="004E37F8" w:rsidRDefault="00572F25" w:rsidP="00140544">
            <w:pPr>
              <w:spacing w:after="0"/>
              <w:jc w:val="center"/>
              <w:rPr>
                <w:rFonts w:cs="Arial"/>
                <w:color w:val="000000"/>
                <w:sz w:val="18"/>
                <w:szCs w:val="20"/>
              </w:rPr>
            </w:pPr>
            <w:r w:rsidRPr="004E37F8">
              <w:rPr>
                <w:rFonts w:cs="Arial"/>
                <w:color w:val="000000"/>
                <w:sz w:val="18"/>
                <w:szCs w:val="20"/>
              </w:rPr>
              <w:t>18</w:t>
            </w:r>
          </w:p>
        </w:tc>
        <w:tc>
          <w:tcPr>
            <w:tcW w:w="1481" w:type="dxa"/>
            <w:tcBorders>
              <w:top w:val="nil"/>
              <w:left w:val="nil"/>
              <w:bottom w:val="nil"/>
              <w:right w:val="nil"/>
            </w:tcBorders>
            <w:shd w:val="clear" w:color="auto" w:fill="auto"/>
            <w:noWrap/>
            <w:vAlign w:val="center"/>
            <w:hideMark/>
          </w:tcPr>
          <w:p w14:paraId="0498B508" w14:textId="77777777" w:rsidR="00572F25" w:rsidRPr="004E37F8" w:rsidRDefault="00572F25" w:rsidP="00140544">
            <w:pPr>
              <w:spacing w:after="0"/>
              <w:jc w:val="center"/>
              <w:rPr>
                <w:rFonts w:cs="Arial"/>
                <w:color w:val="000000"/>
                <w:sz w:val="18"/>
                <w:szCs w:val="20"/>
              </w:rPr>
            </w:pPr>
            <w:r w:rsidRPr="004E37F8">
              <w:rPr>
                <w:rFonts w:cs="Arial"/>
                <w:color w:val="000000"/>
                <w:sz w:val="18"/>
                <w:szCs w:val="20"/>
              </w:rPr>
              <w:t>9.9</w:t>
            </w:r>
          </w:p>
        </w:tc>
        <w:tc>
          <w:tcPr>
            <w:tcW w:w="1418" w:type="dxa"/>
            <w:tcBorders>
              <w:top w:val="nil"/>
              <w:left w:val="nil"/>
              <w:bottom w:val="nil"/>
              <w:right w:val="nil"/>
            </w:tcBorders>
            <w:shd w:val="clear" w:color="auto" w:fill="auto"/>
            <w:vAlign w:val="center"/>
            <w:hideMark/>
          </w:tcPr>
          <w:p w14:paraId="71659566" w14:textId="77777777" w:rsidR="00572F25" w:rsidRPr="004E37F8" w:rsidRDefault="00572F25" w:rsidP="00140544">
            <w:pPr>
              <w:spacing w:after="0"/>
              <w:jc w:val="center"/>
              <w:rPr>
                <w:rFonts w:cs="Arial"/>
                <w:bCs/>
                <w:color w:val="000000"/>
                <w:sz w:val="18"/>
                <w:szCs w:val="20"/>
              </w:rPr>
            </w:pPr>
            <w:r w:rsidRPr="004E37F8">
              <w:rPr>
                <w:rFonts w:cs="Arial"/>
                <w:bCs/>
                <w:color w:val="000000"/>
                <w:sz w:val="18"/>
                <w:szCs w:val="20"/>
              </w:rPr>
              <w:t>44</w:t>
            </w:r>
          </w:p>
        </w:tc>
        <w:tc>
          <w:tcPr>
            <w:tcW w:w="1701" w:type="dxa"/>
            <w:tcBorders>
              <w:top w:val="nil"/>
              <w:left w:val="nil"/>
              <w:bottom w:val="nil"/>
              <w:right w:val="nil"/>
            </w:tcBorders>
            <w:shd w:val="clear" w:color="auto" w:fill="auto"/>
            <w:noWrap/>
            <w:vAlign w:val="center"/>
            <w:hideMark/>
          </w:tcPr>
          <w:p w14:paraId="61214B4F" w14:textId="77777777" w:rsidR="00572F25" w:rsidRPr="004E37F8" w:rsidRDefault="00572F25" w:rsidP="00140544">
            <w:pPr>
              <w:spacing w:after="0"/>
              <w:jc w:val="center"/>
              <w:rPr>
                <w:rFonts w:cs="Arial"/>
                <w:color w:val="000000"/>
                <w:sz w:val="18"/>
                <w:szCs w:val="20"/>
              </w:rPr>
            </w:pPr>
            <w:r w:rsidRPr="004E37F8">
              <w:rPr>
                <w:rFonts w:cs="Arial"/>
                <w:color w:val="000000"/>
                <w:sz w:val="18"/>
                <w:szCs w:val="20"/>
              </w:rPr>
              <w:t>40.9</w:t>
            </w:r>
          </w:p>
        </w:tc>
      </w:tr>
      <w:tr w:rsidR="00572F25" w:rsidRPr="004E37F8" w14:paraId="35A41A17" w14:textId="77777777" w:rsidTr="00140544">
        <w:trPr>
          <w:trHeight w:val="300"/>
        </w:trPr>
        <w:tc>
          <w:tcPr>
            <w:tcW w:w="3828" w:type="dxa"/>
            <w:tcBorders>
              <w:top w:val="nil"/>
              <w:left w:val="nil"/>
              <w:bottom w:val="nil"/>
              <w:right w:val="nil"/>
            </w:tcBorders>
            <w:shd w:val="clear" w:color="000000" w:fill="E4E4E5"/>
            <w:noWrap/>
            <w:vAlign w:val="center"/>
            <w:hideMark/>
          </w:tcPr>
          <w:p w14:paraId="6E2E9F97" w14:textId="77777777" w:rsidR="00572F25" w:rsidRPr="004E37F8" w:rsidRDefault="00572F25" w:rsidP="00140544">
            <w:pPr>
              <w:spacing w:after="0"/>
              <w:ind w:firstLineChars="200" w:firstLine="360"/>
              <w:rPr>
                <w:rFonts w:cs="Arial"/>
                <w:color w:val="000000"/>
                <w:sz w:val="18"/>
                <w:szCs w:val="20"/>
              </w:rPr>
            </w:pPr>
            <w:r w:rsidRPr="004E37F8">
              <w:rPr>
                <w:rFonts w:cs="Arial"/>
                <w:color w:val="000000"/>
                <w:sz w:val="18"/>
                <w:szCs w:val="20"/>
              </w:rPr>
              <w:t>Public acute group C hospitals</w:t>
            </w:r>
          </w:p>
        </w:tc>
        <w:tc>
          <w:tcPr>
            <w:tcW w:w="928" w:type="dxa"/>
            <w:tcBorders>
              <w:top w:val="nil"/>
              <w:left w:val="nil"/>
              <w:bottom w:val="nil"/>
              <w:right w:val="nil"/>
            </w:tcBorders>
            <w:shd w:val="clear" w:color="000000" w:fill="E4E4E5"/>
            <w:noWrap/>
            <w:vAlign w:val="center"/>
            <w:hideMark/>
          </w:tcPr>
          <w:p w14:paraId="0DAD4EEE" w14:textId="77777777" w:rsidR="00572F25" w:rsidRPr="004E37F8" w:rsidRDefault="00572F25" w:rsidP="00140544">
            <w:pPr>
              <w:spacing w:after="0"/>
              <w:jc w:val="center"/>
              <w:rPr>
                <w:rFonts w:cs="Arial"/>
                <w:color w:val="000000"/>
                <w:sz w:val="18"/>
                <w:szCs w:val="20"/>
              </w:rPr>
            </w:pPr>
            <w:r w:rsidRPr="004E37F8">
              <w:rPr>
                <w:rFonts w:cs="Arial"/>
                <w:color w:val="000000"/>
                <w:sz w:val="18"/>
                <w:szCs w:val="20"/>
              </w:rPr>
              <w:t>31</w:t>
            </w:r>
          </w:p>
        </w:tc>
        <w:tc>
          <w:tcPr>
            <w:tcW w:w="1481" w:type="dxa"/>
            <w:tcBorders>
              <w:top w:val="nil"/>
              <w:left w:val="nil"/>
              <w:bottom w:val="nil"/>
              <w:right w:val="nil"/>
            </w:tcBorders>
            <w:shd w:val="clear" w:color="000000" w:fill="E4E4E5"/>
            <w:noWrap/>
            <w:vAlign w:val="center"/>
            <w:hideMark/>
          </w:tcPr>
          <w:p w14:paraId="4CB9C9AA" w14:textId="77777777" w:rsidR="00572F25" w:rsidRPr="004E37F8" w:rsidRDefault="00572F25" w:rsidP="00140544">
            <w:pPr>
              <w:spacing w:after="0"/>
              <w:jc w:val="center"/>
              <w:rPr>
                <w:rFonts w:cs="Arial"/>
                <w:color w:val="000000"/>
                <w:sz w:val="18"/>
                <w:szCs w:val="20"/>
              </w:rPr>
            </w:pPr>
            <w:r w:rsidRPr="004E37F8">
              <w:rPr>
                <w:rFonts w:cs="Arial"/>
                <w:color w:val="000000"/>
                <w:sz w:val="18"/>
                <w:szCs w:val="20"/>
              </w:rPr>
              <w:t>17.1</w:t>
            </w:r>
          </w:p>
        </w:tc>
        <w:tc>
          <w:tcPr>
            <w:tcW w:w="1418" w:type="dxa"/>
            <w:tcBorders>
              <w:top w:val="nil"/>
              <w:left w:val="nil"/>
              <w:bottom w:val="nil"/>
              <w:right w:val="nil"/>
            </w:tcBorders>
            <w:shd w:val="clear" w:color="000000" w:fill="E4E4E5"/>
            <w:vAlign w:val="center"/>
            <w:hideMark/>
          </w:tcPr>
          <w:p w14:paraId="0E7A6A5C" w14:textId="77777777" w:rsidR="00572F25" w:rsidRPr="004E37F8" w:rsidRDefault="00572F25" w:rsidP="00140544">
            <w:pPr>
              <w:spacing w:after="0"/>
              <w:jc w:val="center"/>
              <w:rPr>
                <w:rFonts w:cs="Arial"/>
                <w:bCs/>
                <w:color w:val="000000"/>
                <w:sz w:val="18"/>
                <w:szCs w:val="20"/>
              </w:rPr>
            </w:pPr>
            <w:r w:rsidRPr="004E37F8">
              <w:rPr>
                <w:rFonts w:cs="Arial"/>
                <w:bCs/>
                <w:color w:val="000000"/>
                <w:sz w:val="18"/>
                <w:szCs w:val="20"/>
              </w:rPr>
              <w:t>143</w:t>
            </w:r>
          </w:p>
        </w:tc>
        <w:tc>
          <w:tcPr>
            <w:tcW w:w="1701" w:type="dxa"/>
            <w:tcBorders>
              <w:top w:val="nil"/>
              <w:left w:val="nil"/>
              <w:bottom w:val="nil"/>
              <w:right w:val="nil"/>
            </w:tcBorders>
            <w:shd w:val="clear" w:color="000000" w:fill="E4E4E5"/>
            <w:noWrap/>
            <w:vAlign w:val="center"/>
            <w:hideMark/>
          </w:tcPr>
          <w:p w14:paraId="094EF89B" w14:textId="77777777" w:rsidR="00572F25" w:rsidRPr="004E37F8" w:rsidRDefault="00572F25" w:rsidP="00140544">
            <w:pPr>
              <w:spacing w:after="0"/>
              <w:jc w:val="center"/>
              <w:rPr>
                <w:rFonts w:cs="Arial"/>
                <w:color w:val="000000"/>
                <w:sz w:val="18"/>
                <w:szCs w:val="20"/>
              </w:rPr>
            </w:pPr>
            <w:r w:rsidRPr="004E37F8">
              <w:rPr>
                <w:rFonts w:cs="Arial"/>
                <w:color w:val="000000"/>
                <w:sz w:val="18"/>
                <w:szCs w:val="20"/>
              </w:rPr>
              <w:t>21.7</w:t>
            </w:r>
          </w:p>
        </w:tc>
      </w:tr>
      <w:tr w:rsidR="00572F25" w:rsidRPr="004E37F8" w14:paraId="25EF52BC" w14:textId="77777777" w:rsidTr="00140544">
        <w:trPr>
          <w:trHeight w:val="300"/>
        </w:trPr>
        <w:tc>
          <w:tcPr>
            <w:tcW w:w="3828" w:type="dxa"/>
            <w:tcBorders>
              <w:top w:val="nil"/>
              <w:left w:val="nil"/>
              <w:bottom w:val="nil"/>
              <w:right w:val="nil"/>
            </w:tcBorders>
            <w:shd w:val="clear" w:color="auto" w:fill="auto"/>
            <w:noWrap/>
            <w:vAlign w:val="center"/>
            <w:hideMark/>
          </w:tcPr>
          <w:p w14:paraId="7389BEA4" w14:textId="77777777" w:rsidR="00572F25" w:rsidRPr="004E37F8" w:rsidRDefault="00572F25" w:rsidP="00140544">
            <w:pPr>
              <w:spacing w:after="0"/>
              <w:ind w:firstLineChars="200" w:firstLine="360"/>
              <w:rPr>
                <w:rFonts w:cs="Arial"/>
                <w:color w:val="000000"/>
                <w:sz w:val="18"/>
                <w:szCs w:val="20"/>
              </w:rPr>
            </w:pPr>
            <w:r w:rsidRPr="004E37F8">
              <w:rPr>
                <w:rFonts w:cs="Arial"/>
                <w:color w:val="000000"/>
                <w:sz w:val="18"/>
                <w:szCs w:val="20"/>
              </w:rPr>
              <w:t>Public acute group D hospitals</w:t>
            </w:r>
          </w:p>
        </w:tc>
        <w:tc>
          <w:tcPr>
            <w:tcW w:w="928" w:type="dxa"/>
            <w:tcBorders>
              <w:top w:val="nil"/>
              <w:left w:val="nil"/>
              <w:bottom w:val="nil"/>
              <w:right w:val="nil"/>
            </w:tcBorders>
            <w:shd w:val="clear" w:color="auto" w:fill="auto"/>
            <w:noWrap/>
            <w:vAlign w:val="center"/>
            <w:hideMark/>
          </w:tcPr>
          <w:p w14:paraId="06639510" w14:textId="77777777" w:rsidR="00572F25" w:rsidRPr="004E37F8" w:rsidRDefault="00572F25" w:rsidP="00140544">
            <w:pPr>
              <w:spacing w:after="0"/>
              <w:jc w:val="center"/>
              <w:rPr>
                <w:rFonts w:cs="Arial"/>
                <w:color w:val="000000"/>
                <w:sz w:val="18"/>
                <w:szCs w:val="20"/>
              </w:rPr>
            </w:pPr>
            <w:r w:rsidRPr="004E37F8">
              <w:rPr>
                <w:rFonts w:cs="Arial"/>
                <w:color w:val="000000"/>
                <w:sz w:val="18"/>
                <w:szCs w:val="20"/>
              </w:rPr>
              <w:t>1</w:t>
            </w:r>
          </w:p>
        </w:tc>
        <w:tc>
          <w:tcPr>
            <w:tcW w:w="1481" w:type="dxa"/>
            <w:tcBorders>
              <w:top w:val="nil"/>
              <w:left w:val="nil"/>
              <w:bottom w:val="nil"/>
              <w:right w:val="nil"/>
            </w:tcBorders>
            <w:shd w:val="clear" w:color="auto" w:fill="auto"/>
            <w:noWrap/>
            <w:vAlign w:val="center"/>
            <w:hideMark/>
          </w:tcPr>
          <w:p w14:paraId="355A477A" w14:textId="77777777" w:rsidR="00572F25" w:rsidRPr="004E37F8" w:rsidRDefault="00572F25" w:rsidP="00140544">
            <w:pPr>
              <w:spacing w:after="0"/>
              <w:jc w:val="center"/>
              <w:rPr>
                <w:rFonts w:cs="Arial"/>
                <w:color w:val="000000"/>
                <w:sz w:val="18"/>
                <w:szCs w:val="20"/>
              </w:rPr>
            </w:pPr>
            <w:r w:rsidRPr="004E37F8">
              <w:rPr>
                <w:rFonts w:cs="Arial"/>
                <w:color w:val="000000"/>
                <w:sz w:val="18"/>
                <w:szCs w:val="20"/>
              </w:rPr>
              <w:t>0.6</w:t>
            </w:r>
          </w:p>
        </w:tc>
        <w:tc>
          <w:tcPr>
            <w:tcW w:w="1418" w:type="dxa"/>
            <w:tcBorders>
              <w:top w:val="nil"/>
              <w:left w:val="nil"/>
              <w:bottom w:val="nil"/>
              <w:right w:val="nil"/>
            </w:tcBorders>
            <w:shd w:val="clear" w:color="auto" w:fill="auto"/>
            <w:vAlign w:val="center"/>
            <w:hideMark/>
          </w:tcPr>
          <w:p w14:paraId="6374E3CB" w14:textId="77777777" w:rsidR="00572F25" w:rsidRPr="004E37F8" w:rsidRDefault="00572F25" w:rsidP="00140544">
            <w:pPr>
              <w:spacing w:after="0"/>
              <w:jc w:val="center"/>
              <w:rPr>
                <w:rFonts w:cs="Arial"/>
                <w:bCs/>
                <w:color w:val="000000"/>
                <w:sz w:val="18"/>
                <w:szCs w:val="20"/>
              </w:rPr>
            </w:pPr>
            <w:r w:rsidRPr="004E37F8">
              <w:rPr>
                <w:rFonts w:cs="Arial"/>
                <w:bCs/>
                <w:color w:val="000000"/>
                <w:sz w:val="18"/>
                <w:szCs w:val="20"/>
              </w:rPr>
              <w:t>191</w:t>
            </w:r>
          </w:p>
        </w:tc>
        <w:tc>
          <w:tcPr>
            <w:tcW w:w="1701" w:type="dxa"/>
            <w:tcBorders>
              <w:top w:val="nil"/>
              <w:left w:val="nil"/>
              <w:bottom w:val="nil"/>
              <w:right w:val="nil"/>
            </w:tcBorders>
            <w:shd w:val="clear" w:color="auto" w:fill="auto"/>
            <w:noWrap/>
            <w:vAlign w:val="center"/>
            <w:hideMark/>
          </w:tcPr>
          <w:p w14:paraId="1653BFBC" w14:textId="77777777" w:rsidR="00572F25" w:rsidRPr="004E37F8" w:rsidRDefault="00572F25" w:rsidP="00140544">
            <w:pPr>
              <w:spacing w:after="0"/>
              <w:jc w:val="center"/>
              <w:rPr>
                <w:rFonts w:cs="Arial"/>
                <w:color w:val="000000"/>
                <w:sz w:val="18"/>
                <w:szCs w:val="20"/>
              </w:rPr>
            </w:pPr>
            <w:r w:rsidRPr="004E37F8">
              <w:rPr>
                <w:rFonts w:cs="Arial"/>
                <w:color w:val="000000"/>
                <w:sz w:val="18"/>
                <w:szCs w:val="20"/>
              </w:rPr>
              <w:t>0.5</w:t>
            </w:r>
          </w:p>
        </w:tc>
      </w:tr>
      <w:tr w:rsidR="00572F25" w:rsidRPr="004E37F8" w14:paraId="27934E7C" w14:textId="77777777" w:rsidTr="00140544">
        <w:trPr>
          <w:trHeight w:val="300"/>
        </w:trPr>
        <w:tc>
          <w:tcPr>
            <w:tcW w:w="3828" w:type="dxa"/>
            <w:tcBorders>
              <w:top w:val="nil"/>
              <w:left w:val="nil"/>
              <w:bottom w:val="nil"/>
              <w:right w:val="nil"/>
            </w:tcBorders>
            <w:shd w:val="clear" w:color="000000" w:fill="E4E4E5"/>
            <w:noWrap/>
            <w:vAlign w:val="center"/>
            <w:hideMark/>
          </w:tcPr>
          <w:p w14:paraId="6945BC0E" w14:textId="77777777" w:rsidR="00572F25" w:rsidRPr="004E37F8" w:rsidRDefault="00572F25" w:rsidP="00140544">
            <w:pPr>
              <w:spacing w:after="0"/>
              <w:ind w:firstLineChars="200" w:firstLine="360"/>
              <w:rPr>
                <w:rFonts w:cs="Arial"/>
                <w:color w:val="000000"/>
                <w:sz w:val="18"/>
                <w:szCs w:val="20"/>
              </w:rPr>
            </w:pPr>
            <w:r w:rsidRPr="004E37F8">
              <w:rPr>
                <w:rFonts w:cs="Arial"/>
                <w:color w:val="000000"/>
                <w:sz w:val="18"/>
                <w:szCs w:val="20"/>
              </w:rPr>
              <w:t>Women’s hospitals</w:t>
            </w:r>
          </w:p>
        </w:tc>
        <w:tc>
          <w:tcPr>
            <w:tcW w:w="928" w:type="dxa"/>
            <w:tcBorders>
              <w:top w:val="nil"/>
              <w:left w:val="nil"/>
              <w:bottom w:val="nil"/>
              <w:right w:val="nil"/>
            </w:tcBorders>
            <w:shd w:val="clear" w:color="000000" w:fill="E4E4E5"/>
            <w:noWrap/>
            <w:vAlign w:val="center"/>
            <w:hideMark/>
          </w:tcPr>
          <w:p w14:paraId="334C430C" w14:textId="77777777" w:rsidR="00572F25" w:rsidRPr="004E37F8" w:rsidRDefault="00572F25" w:rsidP="00140544">
            <w:pPr>
              <w:spacing w:after="0"/>
              <w:jc w:val="center"/>
              <w:rPr>
                <w:rFonts w:cs="Arial"/>
                <w:color w:val="000000"/>
                <w:sz w:val="18"/>
                <w:szCs w:val="20"/>
              </w:rPr>
            </w:pPr>
            <w:r w:rsidRPr="004E37F8">
              <w:rPr>
                <w:rFonts w:cs="Arial"/>
                <w:color w:val="000000"/>
                <w:sz w:val="18"/>
                <w:szCs w:val="20"/>
              </w:rPr>
              <w:t>3</w:t>
            </w:r>
          </w:p>
        </w:tc>
        <w:tc>
          <w:tcPr>
            <w:tcW w:w="1481" w:type="dxa"/>
            <w:tcBorders>
              <w:top w:val="nil"/>
              <w:left w:val="nil"/>
              <w:right w:val="nil"/>
            </w:tcBorders>
            <w:shd w:val="clear" w:color="000000" w:fill="E4E4E5"/>
            <w:noWrap/>
            <w:vAlign w:val="center"/>
            <w:hideMark/>
          </w:tcPr>
          <w:p w14:paraId="0FB4F4A9" w14:textId="77777777" w:rsidR="00572F25" w:rsidRPr="004E37F8" w:rsidRDefault="00572F25" w:rsidP="00140544">
            <w:pPr>
              <w:spacing w:after="0"/>
              <w:jc w:val="center"/>
              <w:rPr>
                <w:rFonts w:cs="Arial"/>
                <w:color w:val="000000"/>
                <w:sz w:val="18"/>
                <w:szCs w:val="20"/>
              </w:rPr>
            </w:pPr>
            <w:r w:rsidRPr="004E37F8">
              <w:rPr>
                <w:rFonts w:cs="Arial"/>
                <w:color w:val="000000"/>
                <w:sz w:val="18"/>
                <w:szCs w:val="20"/>
              </w:rPr>
              <w:t>1.7</w:t>
            </w:r>
          </w:p>
        </w:tc>
        <w:tc>
          <w:tcPr>
            <w:tcW w:w="1418" w:type="dxa"/>
            <w:tcBorders>
              <w:top w:val="nil"/>
              <w:left w:val="nil"/>
              <w:right w:val="nil"/>
            </w:tcBorders>
            <w:shd w:val="clear" w:color="000000" w:fill="E4E4E5"/>
            <w:vAlign w:val="center"/>
            <w:hideMark/>
          </w:tcPr>
          <w:p w14:paraId="2C1AADF2" w14:textId="77777777" w:rsidR="00572F25" w:rsidRPr="004E37F8" w:rsidRDefault="00572F25" w:rsidP="00140544">
            <w:pPr>
              <w:spacing w:after="0"/>
              <w:jc w:val="center"/>
              <w:rPr>
                <w:rFonts w:cs="Arial"/>
                <w:bCs/>
                <w:color w:val="000000"/>
                <w:sz w:val="18"/>
                <w:szCs w:val="20"/>
              </w:rPr>
            </w:pPr>
            <w:r w:rsidRPr="004E37F8">
              <w:rPr>
                <w:rFonts w:cs="Arial"/>
                <w:bCs/>
                <w:color w:val="000000"/>
                <w:sz w:val="18"/>
                <w:szCs w:val="20"/>
              </w:rPr>
              <w:t>5</w:t>
            </w:r>
          </w:p>
        </w:tc>
        <w:tc>
          <w:tcPr>
            <w:tcW w:w="1701" w:type="dxa"/>
            <w:tcBorders>
              <w:top w:val="nil"/>
              <w:left w:val="nil"/>
              <w:right w:val="nil"/>
            </w:tcBorders>
            <w:shd w:val="clear" w:color="000000" w:fill="E4E4E5"/>
            <w:noWrap/>
            <w:vAlign w:val="center"/>
            <w:hideMark/>
          </w:tcPr>
          <w:p w14:paraId="168FD962" w14:textId="77777777" w:rsidR="00572F25" w:rsidRPr="004E37F8" w:rsidRDefault="00572F25" w:rsidP="00140544">
            <w:pPr>
              <w:spacing w:after="0"/>
              <w:jc w:val="center"/>
              <w:rPr>
                <w:rFonts w:cs="Arial"/>
                <w:color w:val="000000"/>
                <w:sz w:val="18"/>
                <w:szCs w:val="20"/>
              </w:rPr>
            </w:pPr>
            <w:r w:rsidRPr="004E37F8">
              <w:rPr>
                <w:rFonts w:cs="Arial"/>
                <w:color w:val="000000"/>
                <w:sz w:val="18"/>
                <w:szCs w:val="20"/>
              </w:rPr>
              <w:t>60.0</w:t>
            </w:r>
          </w:p>
        </w:tc>
      </w:tr>
      <w:tr w:rsidR="00572F25" w:rsidRPr="004E37F8" w14:paraId="7A643061" w14:textId="77777777" w:rsidTr="00140544">
        <w:trPr>
          <w:trHeight w:val="315"/>
        </w:trPr>
        <w:tc>
          <w:tcPr>
            <w:tcW w:w="3828" w:type="dxa"/>
            <w:tcBorders>
              <w:top w:val="nil"/>
              <w:left w:val="nil"/>
              <w:bottom w:val="nil"/>
              <w:right w:val="nil"/>
            </w:tcBorders>
            <w:shd w:val="clear" w:color="auto" w:fill="auto"/>
            <w:noWrap/>
            <w:vAlign w:val="center"/>
            <w:hideMark/>
          </w:tcPr>
          <w:p w14:paraId="5936A245" w14:textId="77777777" w:rsidR="00572F25" w:rsidRPr="004E37F8" w:rsidRDefault="00572F25" w:rsidP="00140544">
            <w:pPr>
              <w:spacing w:after="0"/>
              <w:ind w:firstLineChars="200" w:firstLine="360"/>
              <w:rPr>
                <w:rFonts w:cs="Arial"/>
                <w:color w:val="000000"/>
                <w:sz w:val="18"/>
                <w:szCs w:val="20"/>
              </w:rPr>
            </w:pPr>
            <w:r w:rsidRPr="004E37F8">
              <w:rPr>
                <w:rFonts w:cs="Arial"/>
                <w:color w:val="000000"/>
                <w:sz w:val="18"/>
                <w:szCs w:val="20"/>
              </w:rPr>
              <w:t>Children’s hospitals</w:t>
            </w:r>
          </w:p>
        </w:tc>
        <w:tc>
          <w:tcPr>
            <w:tcW w:w="928" w:type="dxa"/>
            <w:tcBorders>
              <w:top w:val="nil"/>
              <w:left w:val="nil"/>
              <w:bottom w:val="nil"/>
              <w:right w:val="nil"/>
            </w:tcBorders>
            <w:shd w:val="clear" w:color="auto" w:fill="auto"/>
            <w:noWrap/>
            <w:vAlign w:val="center"/>
            <w:hideMark/>
          </w:tcPr>
          <w:p w14:paraId="1FFC05E3" w14:textId="77777777" w:rsidR="00572F25" w:rsidRPr="004E37F8" w:rsidRDefault="00572F25" w:rsidP="00140544">
            <w:pPr>
              <w:spacing w:after="0"/>
              <w:jc w:val="center"/>
              <w:rPr>
                <w:rFonts w:cs="Arial"/>
                <w:color w:val="000000"/>
                <w:sz w:val="18"/>
                <w:szCs w:val="20"/>
              </w:rPr>
            </w:pPr>
            <w:r w:rsidRPr="004E37F8">
              <w:rPr>
                <w:rFonts w:cs="Arial"/>
                <w:color w:val="000000"/>
                <w:sz w:val="18"/>
                <w:szCs w:val="20"/>
              </w:rPr>
              <w:t>1</w:t>
            </w:r>
          </w:p>
        </w:tc>
        <w:tc>
          <w:tcPr>
            <w:tcW w:w="1481" w:type="dxa"/>
            <w:tcBorders>
              <w:top w:val="nil"/>
              <w:left w:val="nil"/>
              <w:bottom w:val="nil"/>
              <w:right w:val="nil"/>
            </w:tcBorders>
            <w:shd w:val="clear" w:color="auto" w:fill="auto"/>
            <w:noWrap/>
            <w:vAlign w:val="center"/>
            <w:hideMark/>
          </w:tcPr>
          <w:p w14:paraId="227AA09F" w14:textId="77777777" w:rsidR="00572F25" w:rsidRPr="004E37F8" w:rsidRDefault="00572F25" w:rsidP="00140544">
            <w:pPr>
              <w:spacing w:after="0"/>
              <w:jc w:val="center"/>
              <w:rPr>
                <w:rFonts w:cs="Arial"/>
                <w:color w:val="000000"/>
                <w:sz w:val="18"/>
                <w:szCs w:val="20"/>
              </w:rPr>
            </w:pPr>
            <w:r w:rsidRPr="004E37F8">
              <w:rPr>
                <w:rFonts w:cs="Arial"/>
                <w:color w:val="000000"/>
                <w:sz w:val="18"/>
                <w:szCs w:val="20"/>
              </w:rPr>
              <w:t>0.6</w:t>
            </w:r>
          </w:p>
        </w:tc>
        <w:tc>
          <w:tcPr>
            <w:tcW w:w="1418" w:type="dxa"/>
            <w:tcBorders>
              <w:top w:val="nil"/>
              <w:left w:val="nil"/>
              <w:bottom w:val="nil"/>
              <w:right w:val="nil"/>
            </w:tcBorders>
            <w:shd w:val="clear" w:color="auto" w:fill="auto"/>
            <w:vAlign w:val="center"/>
            <w:hideMark/>
          </w:tcPr>
          <w:p w14:paraId="5570AE5B" w14:textId="77777777" w:rsidR="00572F25" w:rsidRPr="004E37F8" w:rsidRDefault="00572F25" w:rsidP="00140544">
            <w:pPr>
              <w:spacing w:after="0"/>
              <w:jc w:val="center"/>
              <w:rPr>
                <w:rFonts w:cs="Arial"/>
                <w:bCs/>
                <w:color w:val="000000"/>
                <w:sz w:val="18"/>
                <w:szCs w:val="20"/>
              </w:rPr>
            </w:pPr>
            <w:r w:rsidRPr="004E37F8">
              <w:rPr>
                <w:rFonts w:cs="Arial"/>
                <w:bCs/>
                <w:color w:val="000000"/>
                <w:sz w:val="18"/>
                <w:szCs w:val="20"/>
              </w:rPr>
              <w:t>6</w:t>
            </w:r>
          </w:p>
        </w:tc>
        <w:tc>
          <w:tcPr>
            <w:tcW w:w="1701" w:type="dxa"/>
            <w:tcBorders>
              <w:top w:val="nil"/>
              <w:left w:val="nil"/>
              <w:bottom w:val="nil"/>
              <w:right w:val="nil"/>
            </w:tcBorders>
            <w:shd w:val="clear" w:color="auto" w:fill="auto"/>
            <w:noWrap/>
            <w:vAlign w:val="center"/>
            <w:hideMark/>
          </w:tcPr>
          <w:p w14:paraId="5EDDB48B" w14:textId="77777777" w:rsidR="00572F25" w:rsidRPr="004E37F8" w:rsidRDefault="00572F25" w:rsidP="00140544">
            <w:pPr>
              <w:spacing w:after="0"/>
              <w:jc w:val="center"/>
              <w:rPr>
                <w:rFonts w:cs="Arial"/>
                <w:color w:val="000000"/>
                <w:sz w:val="18"/>
                <w:szCs w:val="20"/>
              </w:rPr>
            </w:pPr>
            <w:r w:rsidRPr="004E37F8">
              <w:rPr>
                <w:rFonts w:cs="Arial"/>
                <w:color w:val="000000"/>
                <w:sz w:val="18"/>
                <w:szCs w:val="20"/>
              </w:rPr>
              <w:t>16.7</w:t>
            </w:r>
          </w:p>
        </w:tc>
      </w:tr>
      <w:tr w:rsidR="00572F25" w:rsidRPr="004E37F8" w14:paraId="529AD827" w14:textId="77777777" w:rsidTr="00140544">
        <w:trPr>
          <w:trHeight w:val="315"/>
        </w:trPr>
        <w:tc>
          <w:tcPr>
            <w:tcW w:w="3828" w:type="dxa"/>
            <w:tcBorders>
              <w:top w:val="nil"/>
              <w:left w:val="nil"/>
              <w:bottom w:val="nil"/>
              <w:right w:val="nil"/>
            </w:tcBorders>
            <w:shd w:val="clear" w:color="000000" w:fill="E4E4E5"/>
            <w:noWrap/>
            <w:vAlign w:val="center"/>
            <w:hideMark/>
          </w:tcPr>
          <w:p w14:paraId="70A0EB0D" w14:textId="77777777" w:rsidR="00572F25" w:rsidRPr="004E37F8" w:rsidRDefault="00572F25" w:rsidP="00140544">
            <w:pPr>
              <w:spacing w:after="0"/>
              <w:ind w:firstLineChars="200" w:firstLine="360"/>
              <w:rPr>
                <w:rFonts w:cs="Arial"/>
                <w:color w:val="000000"/>
                <w:sz w:val="18"/>
                <w:szCs w:val="20"/>
              </w:rPr>
            </w:pPr>
            <w:r w:rsidRPr="004E37F8">
              <w:rPr>
                <w:rFonts w:cs="Arial"/>
                <w:color w:val="000000"/>
                <w:sz w:val="18"/>
                <w:szCs w:val="20"/>
              </w:rPr>
              <w:t>Other acute specialised hospitals</w:t>
            </w:r>
          </w:p>
        </w:tc>
        <w:tc>
          <w:tcPr>
            <w:tcW w:w="928" w:type="dxa"/>
            <w:tcBorders>
              <w:top w:val="nil"/>
              <w:left w:val="nil"/>
              <w:bottom w:val="nil"/>
              <w:right w:val="nil"/>
            </w:tcBorders>
            <w:shd w:val="clear" w:color="000000" w:fill="E4E4E5"/>
            <w:noWrap/>
            <w:vAlign w:val="center"/>
            <w:hideMark/>
          </w:tcPr>
          <w:p w14:paraId="68664EA0" w14:textId="77777777" w:rsidR="00572F25" w:rsidRPr="004E37F8" w:rsidRDefault="00572F25" w:rsidP="00140544">
            <w:pPr>
              <w:spacing w:after="0"/>
              <w:jc w:val="center"/>
              <w:rPr>
                <w:rFonts w:cs="Arial"/>
                <w:color w:val="000000"/>
                <w:sz w:val="18"/>
                <w:szCs w:val="20"/>
              </w:rPr>
            </w:pPr>
            <w:r w:rsidRPr="004E37F8">
              <w:rPr>
                <w:rFonts w:cs="Arial"/>
                <w:color w:val="000000"/>
                <w:sz w:val="18"/>
                <w:szCs w:val="20"/>
              </w:rPr>
              <w:t>2</w:t>
            </w:r>
          </w:p>
        </w:tc>
        <w:tc>
          <w:tcPr>
            <w:tcW w:w="1481" w:type="dxa"/>
            <w:tcBorders>
              <w:left w:val="nil"/>
              <w:right w:val="nil"/>
            </w:tcBorders>
            <w:shd w:val="clear" w:color="000000" w:fill="E4E4E5"/>
            <w:noWrap/>
            <w:vAlign w:val="center"/>
            <w:hideMark/>
          </w:tcPr>
          <w:p w14:paraId="37E34889" w14:textId="77777777" w:rsidR="00572F25" w:rsidRPr="004E37F8" w:rsidRDefault="00572F25" w:rsidP="00140544">
            <w:pPr>
              <w:spacing w:after="0"/>
              <w:jc w:val="center"/>
              <w:rPr>
                <w:rFonts w:cs="Arial"/>
                <w:color w:val="000000"/>
                <w:sz w:val="18"/>
                <w:szCs w:val="20"/>
              </w:rPr>
            </w:pPr>
            <w:r w:rsidRPr="004E37F8">
              <w:rPr>
                <w:rFonts w:cs="Arial"/>
                <w:color w:val="000000"/>
                <w:sz w:val="18"/>
                <w:szCs w:val="20"/>
              </w:rPr>
              <w:t>1.1</w:t>
            </w:r>
          </w:p>
        </w:tc>
        <w:tc>
          <w:tcPr>
            <w:tcW w:w="1418" w:type="dxa"/>
            <w:tcBorders>
              <w:left w:val="nil"/>
              <w:right w:val="nil"/>
            </w:tcBorders>
            <w:shd w:val="clear" w:color="000000" w:fill="E4E4E5"/>
            <w:vAlign w:val="center"/>
            <w:hideMark/>
          </w:tcPr>
          <w:p w14:paraId="256285A4" w14:textId="77777777" w:rsidR="00572F25" w:rsidRPr="004E37F8" w:rsidRDefault="00572F25" w:rsidP="00140544">
            <w:pPr>
              <w:spacing w:after="0"/>
              <w:jc w:val="center"/>
              <w:rPr>
                <w:rFonts w:cs="Arial"/>
                <w:bCs/>
                <w:color w:val="000000"/>
                <w:sz w:val="18"/>
                <w:szCs w:val="20"/>
              </w:rPr>
            </w:pPr>
            <w:r w:rsidRPr="004E37F8">
              <w:rPr>
                <w:rFonts w:cs="Arial"/>
                <w:bCs/>
                <w:color w:val="000000"/>
                <w:sz w:val="18"/>
                <w:szCs w:val="20"/>
              </w:rPr>
              <w:t>3</w:t>
            </w:r>
          </w:p>
        </w:tc>
        <w:tc>
          <w:tcPr>
            <w:tcW w:w="1701" w:type="dxa"/>
            <w:tcBorders>
              <w:left w:val="nil"/>
              <w:right w:val="nil"/>
            </w:tcBorders>
            <w:shd w:val="clear" w:color="000000" w:fill="E4E4E5"/>
            <w:noWrap/>
            <w:vAlign w:val="center"/>
            <w:hideMark/>
          </w:tcPr>
          <w:p w14:paraId="4FAD9E33" w14:textId="77777777" w:rsidR="00572F25" w:rsidRPr="004E37F8" w:rsidRDefault="00572F25" w:rsidP="00140544">
            <w:pPr>
              <w:spacing w:after="0"/>
              <w:jc w:val="center"/>
              <w:rPr>
                <w:rFonts w:cs="Arial"/>
                <w:color w:val="000000"/>
                <w:sz w:val="18"/>
                <w:szCs w:val="20"/>
              </w:rPr>
            </w:pPr>
            <w:r w:rsidRPr="004E37F8">
              <w:rPr>
                <w:rFonts w:cs="Arial"/>
                <w:color w:val="000000"/>
                <w:sz w:val="18"/>
                <w:szCs w:val="20"/>
              </w:rPr>
              <w:t>66.7</w:t>
            </w:r>
          </w:p>
        </w:tc>
      </w:tr>
      <w:tr w:rsidR="00572F25" w:rsidRPr="004E37F8" w14:paraId="451F5C40" w14:textId="77777777" w:rsidTr="00140544">
        <w:trPr>
          <w:trHeight w:val="315"/>
        </w:trPr>
        <w:tc>
          <w:tcPr>
            <w:tcW w:w="3828" w:type="dxa"/>
            <w:tcBorders>
              <w:top w:val="nil"/>
              <w:left w:val="nil"/>
              <w:bottom w:val="nil"/>
              <w:right w:val="nil"/>
            </w:tcBorders>
            <w:shd w:val="clear" w:color="auto" w:fill="auto"/>
            <w:noWrap/>
            <w:vAlign w:val="center"/>
            <w:hideMark/>
          </w:tcPr>
          <w:p w14:paraId="196330E7" w14:textId="77777777" w:rsidR="00572F25" w:rsidRPr="004E37F8" w:rsidRDefault="00572F25" w:rsidP="00140544">
            <w:pPr>
              <w:spacing w:after="0"/>
              <w:ind w:firstLineChars="200" w:firstLine="360"/>
              <w:rPr>
                <w:rFonts w:cs="Arial"/>
                <w:color w:val="000000"/>
                <w:sz w:val="18"/>
                <w:szCs w:val="20"/>
              </w:rPr>
            </w:pPr>
            <w:proofErr w:type="spellStart"/>
            <w:r w:rsidRPr="004E37F8">
              <w:rPr>
                <w:rFonts w:cs="Arial"/>
                <w:color w:val="000000"/>
                <w:sz w:val="18"/>
                <w:szCs w:val="20"/>
              </w:rPr>
              <w:t>Unpeered</w:t>
            </w:r>
            <w:proofErr w:type="spellEnd"/>
            <w:r w:rsidRPr="004E37F8">
              <w:rPr>
                <w:rFonts w:cs="Arial"/>
                <w:color w:val="000000"/>
                <w:sz w:val="18"/>
                <w:szCs w:val="20"/>
              </w:rPr>
              <w:t xml:space="preserve"> hospitals</w:t>
            </w:r>
          </w:p>
        </w:tc>
        <w:tc>
          <w:tcPr>
            <w:tcW w:w="928" w:type="dxa"/>
            <w:tcBorders>
              <w:top w:val="nil"/>
              <w:left w:val="nil"/>
              <w:bottom w:val="nil"/>
              <w:right w:val="nil"/>
            </w:tcBorders>
            <w:shd w:val="clear" w:color="auto" w:fill="auto"/>
            <w:noWrap/>
            <w:vAlign w:val="center"/>
            <w:hideMark/>
          </w:tcPr>
          <w:p w14:paraId="0D57D481" w14:textId="77777777" w:rsidR="00572F25" w:rsidRPr="004E37F8" w:rsidRDefault="00572F25" w:rsidP="00140544">
            <w:pPr>
              <w:spacing w:after="0"/>
              <w:jc w:val="center"/>
              <w:rPr>
                <w:rFonts w:cs="Arial"/>
                <w:color w:val="000000"/>
                <w:sz w:val="18"/>
                <w:szCs w:val="20"/>
              </w:rPr>
            </w:pPr>
            <w:r w:rsidRPr="004E37F8">
              <w:rPr>
                <w:rFonts w:cs="Arial"/>
                <w:color w:val="000000"/>
                <w:sz w:val="18"/>
                <w:szCs w:val="20"/>
              </w:rPr>
              <w:t>1</w:t>
            </w:r>
          </w:p>
        </w:tc>
        <w:tc>
          <w:tcPr>
            <w:tcW w:w="1481" w:type="dxa"/>
            <w:tcBorders>
              <w:left w:val="nil"/>
              <w:bottom w:val="nil"/>
              <w:right w:val="nil"/>
            </w:tcBorders>
            <w:shd w:val="clear" w:color="auto" w:fill="auto"/>
            <w:noWrap/>
            <w:vAlign w:val="center"/>
            <w:hideMark/>
          </w:tcPr>
          <w:p w14:paraId="7D801062" w14:textId="77777777" w:rsidR="00572F25" w:rsidRPr="004E37F8" w:rsidRDefault="00572F25" w:rsidP="00140544">
            <w:pPr>
              <w:spacing w:after="0"/>
              <w:jc w:val="center"/>
              <w:rPr>
                <w:rFonts w:cs="Arial"/>
                <w:color w:val="000000"/>
                <w:sz w:val="18"/>
                <w:szCs w:val="20"/>
              </w:rPr>
            </w:pPr>
            <w:r w:rsidRPr="004E37F8">
              <w:rPr>
                <w:rFonts w:cs="Arial"/>
                <w:color w:val="000000"/>
                <w:sz w:val="18"/>
                <w:szCs w:val="20"/>
              </w:rPr>
              <w:t>0.6</w:t>
            </w:r>
          </w:p>
        </w:tc>
        <w:tc>
          <w:tcPr>
            <w:tcW w:w="1418" w:type="dxa"/>
            <w:tcBorders>
              <w:left w:val="nil"/>
              <w:bottom w:val="nil"/>
              <w:right w:val="nil"/>
            </w:tcBorders>
            <w:shd w:val="clear" w:color="auto" w:fill="auto"/>
            <w:vAlign w:val="center"/>
            <w:hideMark/>
          </w:tcPr>
          <w:p w14:paraId="3501704B" w14:textId="77777777" w:rsidR="00572F25" w:rsidRPr="004E37F8" w:rsidRDefault="00572F25" w:rsidP="00140544">
            <w:pPr>
              <w:spacing w:after="0"/>
              <w:jc w:val="center"/>
              <w:rPr>
                <w:rFonts w:cs="Arial"/>
                <w:bCs/>
                <w:color w:val="000000"/>
                <w:sz w:val="18"/>
                <w:szCs w:val="20"/>
              </w:rPr>
            </w:pPr>
            <w:r w:rsidRPr="004E37F8">
              <w:rPr>
                <w:rFonts w:cs="Arial"/>
                <w:bCs/>
                <w:color w:val="000000"/>
                <w:sz w:val="18"/>
                <w:szCs w:val="20"/>
              </w:rPr>
              <w:t>10</w:t>
            </w:r>
          </w:p>
        </w:tc>
        <w:tc>
          <w:tcPr>
            <w:tcW w:w="1701" w:type="dxa"/>
            <w:tcBorders>
              <w:left w:val="nil"/>
              <w:bottom w:val="nil"/>
              <w:right w:val="nil"/>
            </w:tcBorders>
            <w:shd w:val="clear" w:color="auto" w:fill="auto"/>
            <w:noWrap/>
            <w:vAlign w:val="center"/>
            <w:hideMark/>
          </w:tcPr>
          <w:p w14:paraId="133DCE48" w14:textId="77777777" w:rsidR="00572F25" w:rsidRPr="004E37F8" w:rsidRDefault="00572F25" w:rsidP="00140544">
            <w:pPr>
              <w:spacing w:after="0"/>
              <w:jc w:val="center"/>
              <w:rPr>
                <w:rFonts w:cs="Arial"/>
                <w:color w:val="000000"/>
                <w:sz w:val="18"/>
                <w:szCs w:val="20"/>
              </w:rPr>
            </w:pPr>
            <w:r w:rsidRPr="004E37F8">
              <w:rPr>
                <w:rFonts w:cs="Arial"/>
                <w:color w:val="000000"/>
                <w:sz w:val="18"/>
                <w:szCs w:val="20"/>
              </w:rPr>
              <w:t>10.0</w:t>
            </w:r>
          </w:p>
        </w:tc>
      </w:tr>
      <w:tr w:rsidR="00572F25" w:rsidRPr="004E37F8" w14:paraId="355224D4" w14:textId="77777777" w:rsidTr="00140544">
        <w:trPr>
          <w:trHeight w:val="74"/>
        </w:trPr>
        <w:tc>
          <w:tcPr>
            <w:tcW w:w="3828" w:type="dxa"/>
            <w:tcBorders>
              <w:top w:val="nil"/>
              <w:left w:val="nil"/>
              <w:bottom w:val="nil"/>
              <w:right w:val="nil"/>
            </w:tcBorders>
            <w:shd w:val="clear" w:color="auto" w:fill="D0EAED" w:themeFill="accent2" w:themeFillTint="33"/>
            <w:noWrap/>
            <w:vAlign w:val="center"/>
          </w:tcPr>
          <w:p w14:paraId="5F22D0A6" w14:textId="77777777" w:rsidR="00572F25" w:rsidRPr="00B062C7" w:rsidRDefault="00572F25" w:rsidP="00140544">
            <w:pPr>
              <w:spacing w:after="0"/>
              <w:ind w:firstLineChars="200" w:firstLine="200"/>
              <w:rPr>
                <w:rFonts w:cs="Arial"/>
                <w:color w:val="000000"/>
                <w:sz w:val="10"/>
                <w:szCs w:val="10"/>
              </w:rPr>
            </w:pPr>
          </w:p>
        </w:tc>
        <w:tc>
          <w:tcPr>
            <w:tcW w:w="928" w:type="dxa"/>
            <w:tcBorders>
              <w:top w:val="nil"/>
              <w:left w:val="nil"/>
              <w:bottom w:val="nil"/>
              <w:right w:val="nil"/>
            </w:tcBorders>
            <w:shd w:val="clear" w:color="auto" w:fill="D0EAED" w:themeFill="accent2" w:themeFillTint="33"/>
            <w:noWrap/>
            <w:vAlign w:val="center"/>
          </w:tcPr>
          <w:p w14:paraId="55AB627F" w14:textId="77777777" w:rsidR="00572F25" w:rsidRPr="004E37F8" w:rsidRDefault="00572F25" w:rsidP="00140544">
            <w:pPr>
              <w:spacing w:after="0"/>
              <w:jc w:val="center"/>
              <w:rPr>
                <w:rFonts w:cs="Arial"/>
                <w:color w:val="000000"/>
                <w:sz w:val="18"/>
                <w:szCs w:val="20"/>
              </w:rPr>
            </w:pPr>
          </w:p>
        </w:tc>
        <w:tc>
          <w:tcPr>
            <w:tcW w:w="1481" w:type="dxa"/>
            <w:tcBorders>
              <w:top w:val="nil"/>
              <w:left w:val="nil"/>
              <w:right w:val="nil"/>
            </w:tcBorders>
            <w:shd w:val="clear" w:color="auto" w:fill="D0EAED" w:themeFill="accent2" w:themeFillTint="33"/>
            <w:noWrap/>
            <w:vAlign w:val="center"/>
          </w:tcPr>
          <w:p w14:paraId="2AEE7515" w14:textId="77777777" w:rsidR="00572F25" w:rsidRPr="004E37F8" w:rsidRDefault="00572F25" w:rsidP="00140544">
            <w:pPr>
              <w:spacing w:after="0"/>
              <w:jc w:val="center"/>
              <w:rPr>
                <w:rFonts w:cs="Arial"/>
                <w:color w:val="000000"/>
                <w:sz w:val="18"/>
                <w:szCs w:val="20"/>
              </w:rPr>
            </w:pPr>
          </w:p>
        </w:tc>
        <w:tc>
          <w:tcPr>
            <w:tcW w:w="1418" w:type="dxa"/>
            <w:tcBorders>
              <w:top w:val="nil"/>
              <w:left w:val="nil"/>
              <w:right w:val="nil"/>
            </w:tcBorders>
            <w:shd w:val="clear" w:color="auto" w:fill="D0EAED" w:themeFill="accent2" w:themeFillTint="33"/>
            <w:vAlign w:val="center"/>
          </w:tcPr>
          <w:p w14:paraId="190E8365" w14:textId="77777777" w:rsidR="00572F25" w:rsidRPr="004E37F8" w:rsidRDefault="00572F25" w:rsidP="00140544">
            <w:pPr>
              <w:spacing w:after="0"/>
              <w:jc w:val="center"/>
              <w:rPr>
                <w:rFonts w:cs="Arial"/>
                <w:bCs/>
                <w:color w:val="000000"/>
                <w:sz w:val="18"/>
                <w:szCs w:val="20"/>
              </w:rPr>
            </w:pPr>
          </w:p>
        </w:tc>
        <w:tc>
          <w:tcPr>
            <w:tcW w:w="1701" w:type="dxa"/>
            <w:tcBorders>
              <w:top w:val="nil"/>
              <w:left w:val="nil"/>
              <w:right w:val="nil"/>
            </w:tcBorders>
            <w:shd w:val="clear" w:color="auto" w:fill="D0EAED" w:themeFill="accent2" w:themeFillTint="33"/>
            <w:noWrap/>
            <w:vAlign w:val="center"/>
          </w:tcPr>
          <w:p w14:paraId="5CD36838" w14:textId="77777777" w:rsidR="00572F25" w:rsidRPr="004E37F8" w:rsidRDefault="00572F25" w:rsidP="00140544">
            <w:pPr>
              <w:spacing w:after="0"/>
              <w:jc w:val="center"/>
              <w:rPr>
                <w:rFonts w:cs="Arial"/>
                <w:color w:val="000000"/>
                <w:sz w:val="18"/>
                <w:szCs w:val="20"/>
              </w:rPr>
            </w:pPr>
          </w:p>
        </w:tc>
      </w:tr>
      <w:tr w:rsidR="00572F25" w:rsidRPr="004E37F8" w14:paraId="42B43BE6" w14:textId="77777777" w:rsidTr="00140544">
        <w:trPr>
          <w:trHeight w:val="315"/>
        </w:trPr>
        <w:tc>
          <w:tcPr>
            <w:tcW w:w="3828" w:type="dxa"/>
            <w:tcBorders>
              <w:top w:val="nil"/>
              <w:left w:val="nil"/>
              <w:bottom w:val="nil"/>
              <w:right w:val="nil"/>
            </w:tcBorders>
            <w:shd w:val="clear" w:color="000000" w:fill="E4E4E5"/>
            <w:noWrap/>
            <w:vAlign w:val="center"/>
            <w:hideMark/>
          </w:tcPr>
          <w:p w14:paraId="2B5BB5DA" w14:textId="77777777" w:rsidR="00572F25" w:rsidRPr="004E37F8" w:rsidRDefault="00572F25" w:rsidP="00140544">
            <w:pPr>
              <w:spacing w:after="0"/>
              <w:rPr>
                <w:rFonts w:cs="Arial"/>
                <w:b/>
                <w:bCs/>
                <w:color w:val="2C5A6C"/>
                <w:sz w:val="20"/>
                <w:szCs w:val="20"/>
              </w:rPr>
            </w:pPr>
            <w:r w:rsidRPr="004E37F8">
              <w:rPr>
                <w:rFonts w:cs="Arial"/>
                <w:b/>
                <w:bCs/>
                <w:color w:val="2C5A6C"/>
                <w:sz w:val="20"/>
                <w:szCs w:val="20"/>
              </w:rPr>
              <w:t>Private facilities</w:t>
            </w:r>
          </w:p>
        </w:tc>
        <w:tc>
          <w:tcPr>
            <w:tcW w:w="928" w:type="dxa"/>
            <w:tcBorders>
              <w:top w:val="nil"/>
              <w:left w:val="nil"/>
              <w:bottom w:val="nil"/>
              <w:right w:val="nil"/>
            </w:tcBorders>
            <w:shd w:val="clear" w:color="000000" w:fill="E4E4E5"/>
            <w:noWrap/>
            <w:vAlign w:val="center"/>
            <w:hideMark/>
          </w:tcPr>
          <w:p w14:paraId="785C480E" w14:textId="77777777" w:rsidR="00572F25" w:rsidRPr="004E37F8" w:rsidRDefault="00572F25" w:rsidP="00140544">
            <w:pPr>
              <w:spacing w:after="0"/>
              <w:jc w:val="center"/>
              <w:rPr>
                <w:rFonts w:cs="Arial"/>
                <w:b/>
                <w:bCs/>
                <w:color w:val="2C5A6C"/>
                <w:sz w:val="20"/>
                <w:szCs w:val="20"/>
              </w:rPr>
            </w:pPr>
            <w:r w:rsidRPr="004E37F8">
              <w:rPr>
                <w:rFonts w:cs="Arial"/>
                <w:b/>
                <w:bCs/>
                <w:color w:val="2C5A6C"/>
                <w:sz w:val="20"/>
                <w:szCs w:val="20"/>
              </w:rPr>
              <w:t>91</w:t>
            </w:r>
          </w:p>
        </w:tc>
        <w:tc>
          <w:tcPr>
            <w:tcW w:w="1481" w:type="dxa"/>
            <w:tcBorders>
              <w:left w:val="nil"/>
            </w:tcBorders>
            <w:shd w:val="clear" w:color="000000" w:fill="E4E4E5"/>
            <w:noWrap/>
            <w:vAlign w:val="center"/>
            <w:hideMark/>
          </w:tcPr>
          <w:p w14:paraId="07453574" w14:textId="77777777" w:rsidR="00572F25" w:rsidRPr="004E37F8" w:rsidRDefault="00572F25" w:rsidP="00140544">
            <w:pPr>
              <w:spacing w:after="0"/>
              <w:jc w:val="center"/>
              <w:rPr>
                <w:rFonts w:cs="Arial"/>
                <w:b/>
                <w:bCs/>
                <w:color w:val="2C5A6C"/>
                <w:sz w:val="20"/>
                <w:szCs w:val="20"/>
              </w:rPr>
            </w:pPr>
            <w:r w:rsidRPr="004E37F8">
              <w:rPr>
                <w:rFonts w:cs="Arial"/>
                <w:b/>
                <w:bCs/>
                <w:color w:val="2C5A6C"/>
                <w:sz w:val="20"/>
                <w:szCs w:val="20"/>
              </w:rPr>
              <w:t>50.3</w:t>
            </w:r>
          </w:p>
        </w:tc>
        <w:tc>
          <w:tcPr>
            <w:tcW w:w="1418" w:type="dxa"/>
            <w:shd w:val="clear" w:color="000000" w:fill="E4E4E5"/>
            <w:vAlign w:val="center"/>
            <w:hideMark/>
          </w:tcPr>
          <w:p w14:paraId="05205A11" w14:textId="77777777" w:rsidR="00572F25" w:rsidRPr="004E37F8" w:rsidRDefault="00572F25" w:rsidP="00140544">
            <w:pPr>
              <w:spacing w:after="0"/>
              <w:jc w:val="center"/>
              <w:rPr>
                <w:rFonts w:cs="Arial"/>
                <w:b/>
                <w:bCs/>
                <w:color w:val="2C5A6C"/>
                <w:sz w:val="20"/>
                <w:szCs w:val="20"/>
              </w:rPr>
            </w:pPr>
            <w:r w:rsidRPr="004E37F8">
              <w:rPr>
                <w:rFonts w:cs="Arial"/>
                <w:b/>
                <w:bCs/>
                <w:color w:val="2C5A6C"/>
                <w:sz w:val="20"/>
                <w:szCs w:val="20"/>
              </w:rPr>
              <w:t>316</w:t>
            </w:r>
          </w:p>
        </w:tc>
        <w:tc>
          <w:tcPr>
            <w:tcW w:w="1701" w:type="dxa"/>
            <w:tcBorders>
              <w:right w:val="nil"/>
            </w:tcBorders>
            <w:shd w:val="clear" w:color="000000" w:fill="E4E4E5"/>
            <w:noWrap/>
            <w:vAlign w:val="center"/>
            <w:hideMark/>
          </w:tcPr>
          <w:p w14:paraId="452BF71F" w14:textId="77777777" w:rsidR="00572F25" w:rsidRPr="004E37F8" w:rsidRDefault="00572F25" w:rsidP="00140544">
            <w:pPr>
              <w:spacing w:after="0"/>
              <w:jc w:val="center"/>
              <w:rPr>
                <w:rFonts w:cs="Arial"/>
                <w:b/>
                <w:bCs/>
                <w:color w:val="2C5A6C"/>
                <w:sz w:val="20"/>
                <w:szCs w:val="20"/>
              </w:rPr>
            </w:pPr>
            <w:r w:rsidRPr="004E37F8">
              <w:rPr>
                <w:rFonts w:cs="Arial"/>
                <w:b/>
                <w:bCs/>
                <w:color w:val="2C5A6C"/>
                <w:sz w:val="20"/>
                <w:szCs w:val="20"/>
              </w:rPr>
              <w:t>28.8</w:t>
            </w:r>
          </w:p>
        </w:tc>
      </w:tr>
      <w:tr w:rsidR="00572F25" w:rsidRPr="004E37F8" w14:paraId="1015D8A5" w14:textId="77777777" w:rsidTr="00140544">
        <w:trPr>
          <w:trHeight w:val="300"/>
        </w:trPr>
        <w:tc>
          <w:tcPr>
            <w:tcW w:w="3828" w:type="dxa"/>
            <w:tcBorders>
              <w:top w:val="nil"/>
              <w:left w:val="nil"/>
              <w:bottom w:val="nil"/>
              <w:right w:val="nil"/>
            </w:tcBorders>
            <w:shd w:val="clear" w:color="auto" w:fill="auto"/>
            <w:noWrap/>
            <w:vAlign w:val="center"/>
            <w:hideMark/>
          </w:tcPr>
          <w:p w14:paraId="176AC604" w14:textId="77777777" w:rsidR="00572F25" w:rsidRPr="004E37F8" w:rsidRDefault="00572F25" w:rsidP="00140544">
            <w:pPr>
              <w:spacing w:after="0"/>
              <w:ind w:firstLineChars="200" w:firstLine="360"/>
              <w:rPr>
                <w:rFonts w:cs="Arial"/>
                <w:color w:val="000000"/>
                <w:sz w:val="18"/>
                <w:szCs w:val="20"/>
              </w:rPr>
            </w:pPr>
            <w:r w:rsidRPr="004E37F8">
              <w:rPr>
                <w:rFonts w:cs="Arial"/>
                <w:color w:val="000000"/>
                <w:sz w:val="18"/>
                <w:szCs w:val="20"/>
              </w:rPr>
              <w:t>Private acute group A hospitals</w:t>
            </w:r>
          </w:p>
        </w:tc>
        <w:tc>
          <w:tcPr>
            <w:tcW w:w="928" w:type="dxa"/>
            <w:tcBorders>
              <w:top w:val="nil"/>
              <w:left w:val="nil"/>
              <w:bottom w:val="nil"/>
              <w:right w:val="nil"/>
            </w:tcBorders>
            <w:shd w:val="clear" w:color="auto" w:fill="auto"/>
            <w:noWrap/>
            <w:vAlign w:val="center"/>
            <w:hideMark/>
          </w:tcPr>
          <w:p w14:paraId="763B4AA9" w14:textId="77777777" w:rsidR="00572F25" w:rsidRPr="004E37F8" w:rsidRDefault="00572F25" w:rsidP="00140544">
            <w:pPr>
              <w:spacing w:after="0"/>
              <w:jc w:val="center"/>
              <w:rPr>
                <w:rFonts w:cs="Arial"/>
                <w:color w:val="000000"/>
                <w:sz w:val="18"/>
                <w:szCs w:val="20"/>
              </w:rPr>
            </w:pPr>
            <w:r w:rsidRPr="00B062C7">
              <w:rPr>
                <w:rFonts w:cs="Arial"/>
                <w:color w:val="000000"/>
                <w:sz w:val="18"/>
                <w:szCs w:val="20"/>
              </w:rPr>
              <w:t>9</w:t>
            </w:r>
          </w:p>
        </w:tc>
        <w:tc>
          <w:tcPr>
            <w:tcW w:w="1481" w:type="dxa"/>
            <w:tcBorders>
              <w:left w:val="nil"/>
              <w:bottom w:val="nil"/>
              <w:right w:val="nil"/>
            </w:tcBorders>
            <w:shd w:val="clear" w:color="auto" w:fill="auto"/>
            <w:noWrap/>
            <w:vAlign w:val="center"/>
            <w:hideMark/>
          </w:tcPr>
          <w:p w14:paraId="5BAC32F9" w14:textId="77777777" w:rsidR="00572F25" w:rsidRPr="004E37F8" w:rsidRDefault="00572F25" w:rsidP="00140544">
            <w:pPr>
              <w:spacing w:after="0"/>
              <w:jc w:val="center"/>
              <w:rPr>
                <w:rFonts w:cs="Arial"/>
                <w:color w:val="000000"/>
                <w:sz w:val="18"/>
                <w:szCs w:val="20"/>
              </w:rPr>
            </w:pPr>
            <w:r w:rsidRPr="00B062C7">
              <w:rPr>
                <w:rFonts w:cs="Arial"/>
                <w:color w:val="000000"/>
                <w:sz w:val="18"/>
                <w:szCs w:val="20"/>
              </w:rPr>
              <w:t>5.0</w:t>
            </w:r>
          </w:p>
        </w:tc>
        <w:tc>
          <w:tcPr>
            <w:tcW w:w="1418" w:type="dxa"/>
            <w:tcBorders>
              <w:left w:val="nil"/>
              <w:bottom w:val="nil"/>
              <w:right w:val="nil"/>
            </w:tcBorders>
            <w:shd w:val="clear" w:color="auto" w:fill="auto"/>
            <w:vAlign w:val="center"/>
            <w:hideMark/>
          </w:tcPr>
          <w:p w14:paraId="782C64C7" w14:textId="77777777" w:rsidR="00572F25" w:rsidRPr="004E37F8" w:rsidRDefault="00572F25" w:rsidP="00140544">
            <w:pPr>
              <w:spacing w:after="0"/>
              <w:jc w:val="center"/>
              <w:rPr>
                <w:rFonts w:cs="Arial"/>
                <w:bCs/>
                <w:color w:val="000000"/>
                <w:sz w:val="18"/>
                <w:szCs w:val="20"/>
              </w:rPr>
            </w:pPr>
            <w:r w:rsidRPr="00B062C7">
              <w:rPr>
                <w:rFonts w:cs="Arial"/>
                <w:bCs/>
                <w:color w:val="000000"/>
                <w:sz w:val="18"/>
                <w:szCs w:val="20"/>
              </w:rPr>
              <w:t>22</w:t>
            </w:r>
          </w:p>
        </w:tc>
        <w:tc>
          <w:tcPr>
            <w:tcW w:w="1701" w:type="dxa"/>
            <w:tcBorders>
              <w:left w:val="nil"/>
              <w:bottom w:val="nil"/>
              <w:right w:val="nil"/>
            </w:tcBorders>
            <w:shd w:val="clear" w:color="auto" w:fill="auto"/>
            <w:noWrap/>
            <w:vAlign w:val="center"/>
            <w:hideMark/>
          </w:tcPr>
          <w:p w14:paraId="5A231CD4" w14:textId="77777777" w:rsidR="00572F25" w:rsidRPr="004E37F8" w:rsidRDefault="00572F25" w:rsidP="00140544">
            <w:pPr>
              <w:spacing w:after="0"/>
              <w:jc w:val="center"/>
              <w:rPr>
                <w:rFonts w:cs="Arial"/>
                <w:color w:val="000000"/>
                <w:sz w:val="18"/>
                <w:szCs w:val="20"/>
              </w:rPr>
            </w:pPr>
            <w:r w:rsidRPr="00B062C7">
              <w:rPr>
                <w:rFonts w:cs="Arial"/>
                <w:color w:val="000000"/>
                <w:sz w:val="18"/>
                <w:szCs w:val="20"/>
              </w:rPr>
              <w:t>40.9</w:t>
            </w:r>
          </w:p>
        </w:tc>
      </w:tr>
      <w:tr w:rsidR="00572F25" w:rsidRPr="004E37F8" w14:paraId="5176FB0E" w14:textId="77777777" w:rsidTr="00140544">
        <w:trPr>
          <w:trHeight w:val="300"/>
        </w:trPr>
        <w:tc>
          <w:tcPr>
            <w:tcW w:w="3828" w:type="dxa"/>
            <w:tcBorders>
              <w:top w:val="nil"/>
              <w:left w:val="nil"/>
              <w:bottom w:val="nil"/>
              <w:right w:val="nil"/>
            </w:tcBorders>
            <w:shd w:val="clear" w:color="000000" w:fill="E4E4E5"/>
            <w:noWrap/>
            <w:vAlign w:val="center"/>
            <w:hideMark/>
          </w:tcPr>
          <w:p w14:paraId="3124ED70" w14:textId="77777777" w:rsidR="00572F25" w:rsidRPr="004E37F8" w:rsidRDefault="00572F25" w:rsidP="00140544">
            <w:pPr>
              <w:spacing w:after="0"/>
              <w:ind w:firstLineChars="200" w:firstLine="360"/>
              <w:rPr>
                <w:rFonts w:cs="Arial"/>
                <w:color w:val="000000"/>
                <w:sz w:val="18"/>
                <w:szCs w:val="20"/>
              </w:rPr>
            </w:pPr>
            <w:r w:rsidRPr="004E37F8">
              <w:rPr>
                <w:rFonts w:cs="Arial"/>
                <w:color w:val="000000"/>
                <w:sz w:val="18"/>
                <w:szCs w:val="20"/>
              </w:rPr>
              <w:t>Private acute group B hospitals</w:t>
            </w:r>
          </w:p>
        </w:tc>
        <w:tc>
          <w:tcPr>
            <w:tcW w:w="928" w:type="dxa"/>
            <w:tcBorders>
              <w:top w:val="nil"/>
              <w:left w:val="nil"/>
              <w:bottom w:val="nil"/>
              <w:right w:val="nil"/>
            </w:tcBorders>
            <w:shd w:val="clear" w:color="000000" w:fill="E4E4E5"/>
            <w:noWrap/>
            <w:vAlign w:val="center"/>
            <w:hideMark/>
          </w:tcPr>
          <w:p w14:paraId="70B59DB4" w14:textId="77777777" w:rsidR="00572F25" w:rsidRPr="004E37F8" w:rsidRDefault="00572F25" w:rsidP="00140544">
            <w:pPr>
              <w:spacing w:after="0"/>
              <w:jc w:val="center"/>
              <w:rPr>
                <w:rFonts w:cs="Arial"/>
                <w:color w:val="000000"/>
                <w:sz w:val="18"/>
                <w:szCs w:val="20"/>
              </w:rPr>
            </w:pPr>
            <w:r w:rsidRPr="00B062C7">
              <w:rPr>
                <w:rFonts w:cs="Arial"/>
                <w:color w:val="000000"/>
                <w:sz w:val="18"/>
                <w:szCs w:val="20"/>
              </w:rPr>
              <w:t>18</w:t>
            </w:r>
          </w:p>
        </w:tc>
        <w:tc>
          <w:tcPr>
            <w:tcW w:w="1481" w:type="dxa"/>
            <w:tcBorders>
              <w:top w:val="nil"/>
              <w:left w:val="nil"/>
              <w:bottom w:val="nil"/>
              <w:right w:val="nil"/>
            </w:tcBorders>
            <w:shd w:val="clear" w:color="000000" w:fill="E4E4E5"/>
            <w:noWrap/>
            <w:vAlign w:val="center"/>
            <w:hideMark/>
          </w:tcPr>
          <w:p w14:paraId="026FEF31" w14:textId="77777777" w:rsidR="00572F25" w:rsidRPr="004E37F8" w:rsidRDefault="00572F25" w:rsidP="00140544">
            <w:pPr>
              <w:spacing w:after="0"/>
              <w:jc w:val="center"/>
              <w:rPr>
                <w:rFonts w:cs="Arial"/>
                <w:color w:val="000000"/>
                <w:sz w:val="18"/>
                <w:szCs w:val="20"/>
              </w:rPr>
            </w:pPr>
            <w:r w:rsidRPr="00B062C7">
              <w:rPr>
                <w:rFonts w:cs="Arial"/>
                <w:color w:val="000000"/>
                <w:sz w:val="18"/>
                <w:szCs w:val="20"/>
              </w:rPr>
              <w:t>9.9</w:t>
            </w:r>
          </w:p>
        </w:tc>
        <w:tc>
          <w:tcPr>
            <w:tcW w:w="1418" w:type="dxa"/>
            <w:tcBorders>
              <w:top w:val="nil"/>
              <w:left w:val="nil"/>
              <w:bottom w:val="nil"/>
              <w:right w:val="nil"/>
            </w:tcBorders>
            <w:shd w:val="clear" w:color="000000" w:fill="E4E4E5"/>
            <w:vAlign w:val="center"/>
            <w:hideMark/>
          </w:tcPr>
          <w:p w14:paraId="1B37D463" w14:textId="77777777" w:rsidR="00572F25" w:rsidRPr="004E37F8" w:rsidRDefault="00572F25" w:rsidP="00140544">
            <w:pPr>
              <w:spacing w:after="0"/>
              <w:jc w:val="center"/>
              <w:rPr>
                <w:rFonts w:cs="Arial"/>
                <w:bCs/>
                <w:color w:val="000000"/>
                <w:sz w:val="18"/>
                <w:szCs w:val="20"/>
              </w:rPr>
            </w:pPr>
            <w:r w:rsidRPr="00B062C7">
              <w:rPr>
                <w:rFonts w:cs="Arial"/>
                <w:bCs/>
                <w:color w:val="000000"/>
                <w:sz w:val="18"/>
                <w:szCs w:val="20"/>
              </w:rPr>
              <w:t>36</w:t>
            </w:r>
          </w:p>
        </w:tc>
        <w:tc>
          <w:tcPr>
            <w:tcW w:w="1701" w:type="dxa"/>
            <w:tcBorders>
              <w:top w:val="nil"/>
              <w:left w:val="nil"/>
              <w:bottom w:val="nil"/>
              <w:right w:val="nil"/>
            </w:tcBorders>
            <w:shd w:val="clear" w:color="000000" w:fill="E4E4E5"/>
            <w:noWrap/>
            <w:vAlign w:val="center"/>
            <w:hideMark/>
          </w:tcPr>
          <w:p w14:paraId="47DBAC8A" w14:textId="77777777" w:rsidR="00572F25" w:rsidRPr="004E37F8" w:rsidRDefault="00572F25" w:rsidP="00140544">
            <w:pPr>
              <w:spacing w:after="0"/>
              <w:jc w:val="center"/>
              <w:rPr>
                <w:rFonts w:cs="Arial"/>
                <w:color w:val="000000"/>
                <w:sz w:val="18"/>
                <w:szCs w:val="20"/>
              </w:rPr>
            </w:pPr>
            <w:r w:rsidRPr="00B062C7">
              <w:rPr>
                <w:rFonts w:cs="Arial"/>
                <w:color w:val="000000"/>
                <w:sz w:val="18"/>
                <w:szCs w:val="20"/>
              </w:rPr>
              <w:t>50.0</w:t>
            </w:r>
          </w:p>
        </w:tc>
      </w:tr>
      <w:tr w:rsidR="00572F25" w:rsidRPr="004E37F8" w14:paraId="1964692F" w14:textId="77777777" w:rsidTr="00140544">
        <w:trPr>
          <w:trHeight w:val="300"/>
        </w:trPr>
        <w:tc>
          <w:tcPr>
            <w:tcW w:w="3828" w:type="dxa"/>
            <w:tcBorders>
              <w:top w:val="nil"/>
              <w:left w:val="nil"/>
              <w:bottom w:val="nil"/>
              <w:right w:val="nil"/>
            </w:tcBorders>
            <w:shd w:val="clear" w:color="auto" w:fill="auto"/>
            <w:noWrap/>
            <w:vAlign w:val="center"/>
            <w:hideMark/>
          </w:tcPr>
          <w:p w14:paraId="5C8A2884" w14:textId="77777777" w:rsidR="00572F25" w:rsidRPr="004E37F8" w:rsidRDefault="00572F25" w:rsidP="00140544">
            <w:pPr>
              <w:spacing w:after="0"/>
              <w:ind w:firstLineChars="200" w:firstLine="360"/>
              <w:rPr>
                <w:rFonts w:cs="Arial"/>
                <w:color w:val="000000"/>
                <w:sz w:val="18"/>
                <w:szCs w:val="20"/>
              </w:rPr>
            </w:pPr>
            <w:r w:rsidRPr="004E37F8">
              <w:rPr>
                <w:rFonts w:cs="Arial"/>
                <w:color w:val="000000"/>
                <w:sz w:val="18"/>
                <w:szCs w:val="20"/>
              </w:rPr>
              <w:t>Private acute group C hospitals</w:t>
            </w:r>
          </w:p>
        </w:tc>
        <w:tc>
          <w:tcPr>
            <w:tcW w:w="928" w:type="dxa"/>
            <w:tcBorders>
              <w:top w:val="nil"/>
              <w:left w:val="nil"/>
              <w:bottom w:val="nil"/>
              <w:right w:val="nil"/>
            </w:tcBorders>
            <w:shd w:val="clear" w:color="auto" w:fill="auto"/>
            <w:noWrap/>
            <w:vAlign w:val="center"/>
            <w:hideMark/>
          </w:tcPr>
          <w:p w14:paraId="3B414764" w14:textId="77777777" w:rsidR="00572F25" w:rsidRPr="004E37F8" w:rsidRDefault="00572F25" w:rsidP="00140544">
            <w:pPr>
              <w:spacing w:after="0"/>
              <w:jc w:val="center"/>
              <w:rPr>
                <w:rFonts w:cs="Arial"/>
                <w:color w:val="000000"/>
                <w:sz w:val="18"/>
                <w:szCs w:val="20"/>
              </w:rPr>
            </w:pPr>
            <w:r w:rsidRPr="00B062C7">
              <w:rPr>
                <w:rFonts w:cs="Arial"/>
                <w:color w:val="000000"/>
                <w:sz w:val="18"/>
                <w:szCs w:val="20"/>
              </w:rPr>
              <w:t>21</w:t>
            </w:r>
          </w:p>
        </w:tc>
        <w:tc>
          <w:tcPr>
            <w:tcW w:w="1481" w:type="dxa"/>
            <w:tcBorders>
              <w:top w:val="nil"/>
              <w:left w:val="nil"/>
              <w:bottom w:val="nil"/>
              <w:right w:val="nil"/>
            </w:tcBorders>
            <w:shd w:val="clear" w:color="auto" w:fill="auto"/>
            <w:noWrap/>
            <w:vAlign w:val="center"/>
            <w:hideMark/>
          </w:tcPr>
          <w:p w14:paraId="525C8F55" w14:textId="77777777" w:rsidR="00572F25" w:rsidRPr="004E37F8" w:rsidRDefault="00572F25" w:rsidP="00140544">
            <w:pPr>
              <w:spacing w:after="0"/>
              <w:jc w:val="center"/>
              <w:rPr>
                <w:rFonts w:cs="Arial"/>
                <w:color w:val="000000"/>
                <w:sz w:val="18"/>
                <w:szCs w:val="20"/>
              </w:rPr>
            </w:pPr>
            <w:r w:rsidRPr="00B062C7">
              <w:rPr>
                <w:rFonts w:cs="Arial"/>
                <w:color w:val="000000"/>
                <w:sz w:val="18"/>
                <w:szCs w:val="20"/>
              </w:rPr>
              <w:t>11.6</w:t>
            </w:r>
          </w:p>
        </w:tc>
        <w:tc>
          <w:tcPr>
            <w:tcW w:w="1418" w:type="dxa"/>
            <w:tcBorders>
              <w:top w:val="nil"/>
              <w:left w:val="nil"/>
              <w:bottom w:val="nil"/>
              <w:right w:val="nil"/>
            </w:tcBorders>
            <w:shd w:val="clear" w:color="auto" w:fill="auto"/>
            <w:vAlign w:val="center"/>
            <w:hideMark/>
          </w:tcPr>
          <w:p w14:paraId="43F39F13" w14:textId="77777777" w:rsidR="00572F25" w:rsidRPr="004E37F8" w:rsidRDefault="00572F25" w:rsidP="00140544">
            <w:pPr>
              <w:spacing w:after="0"/>
              <w:jc w:val="center"/>
              <w:rPr>
                <w:rFonts w:cs="Arial"/>
                <w:bCs/>
                <w:color w:val="000000"/>
                <w:sz w:val="18"/>
                <w:szCs w:val="20"/>
              </w:rPr>
            </w:pPr>
            <w:r w:rsidRPr="00B062C7">
              <w:rPr>
                <w:rFonts w:cs="Arial"/>
                <w:bCs/>
                <w:color w:val="000000"/>
                <w:sz w:val="18"/>
                <w:szCs w:val="20"/>
              </w:rPr>
              <w:t>49</w:t>
            </w:r>
          </w:p>
        </w:tc>
        <w:tc>
          <w:tcPr>
            <w:tcW w:w="1701" w:type="dxa"/>
            <w:tcBorders>
              <w:top w:val="nil"/>
              <w:left w:val="nil"/>
              <w:bottom w:val="nil"/>
              <w:right w:val="nil"/>
            </w:tcBorders>
            <w:shd w:val="clear" w:color="auto" w:fill="auto"/>
            <w:noWrap/>
            <w:vAlign w:val="center"/>
            <w:hideMark/>
          </w:tcPr>
          <w:p w14:paraId="742A64A8" w14:textId="77777777" w:rsidR="00572F25" w:rsidRPr="004E37F8" w:rsidRDefault="00572F25" w:rsidP="00140544">
            <w:pPr>
              <w:spacing w:after="0"/>
              <w:jc w:val="center"/>
              <w:rPr>
                <w:rFonts w:cs="Arial"/>
                <w:color w:val="000000"/>
                <w:sz w:val="18"/>
                <w:szCs w:val="20"/>
              </w:rPr>
            </w:pPr>
            <w:r w:rsidRPr="00B062C7">
              <w:rPr>
                <w:rFonts w:cs="Arial"/>
                <w:color w:val="000000"/>
                <w:sz w:val="18"/>
                <w:szCs w:val="20"/>
              </w:rPr>
              <w:t>42.9</w:t>
            </w:r>
          </w:p>
        </w:tc>
      </w:tr>
      <w:tr w:rsidR="00572F25" w:rsidRPr="004E37F8" w14:paraId="7F97FB55" w14:textId="77777777" w:rsidTr="00140544">
        <w:trPr>
          <w:trHeight w:val="300"/>
        </w:trPr>
        <w:tc>
          <w:tcPr>
            <w:tcW w:w="3828" w:type="dxa"/>
            <w:tcBorders>
              <w:top w:val="nil"/>
              <w:left w:val="nil"/>
              <w:bottom w:val="nil"/>
              <w:right w:val="nil"/>
            </w:tcBorders>
            <w:shd w:val="clear" w:color="000000" w:fill="E4E4E5"/>
            <w:noWrap/>
            <w:vAlign w:val="center"/>
            <w:hideMark/>
          </w:tcPr>
          <w:p w14:paraId="3C23F622" w14:textId="77777777" w:rsidR="00572F25" w:rsidRPr="004E37F8" w:rsidRDefault="00572F25" w:rsidP="00140544">
            <w:pPr>
              <w:spacing w:after="0"/>
              <w:ind w:firstLineChars="200" w:firstLine="360"/>
              <w:rPr>
                <w:rFonts w:cs="Arial"/>
                <w:color w:val="000000"/>
                <w:sz w:val="18"/>
                <w:szCs w:val="20"/>
              </w:rPr>
            </w:pPr>
            <w:r w:rsidRPr="004E37F8">
              <w:rPr>
                <w:rFonts w:cs="Arial"/>
                <w:color w:val="000000"/>
                <w:sz w:val="18"/>
                <w:szCs w:val="20"/>
              </w:rPr>
              <w:t>Private acute group D hospitals</w:t>
            </w:r>
          </w:p>
        </w:tc>
        <w:tc>
          <w:tcPr>
            <w:tcW w:w="928" w:type="dxa"/>
            <w:tcBorders>
              <w:top w:val="nil"/>
              <w:left w:val="nil"/>
              <w:bottom w:val="nil"/>
              <w:right w:val="nil"/>
            </w:tcBorders>
            <w:shd w:val="clear" w:color="000000" w:fill="E4E4E5"/>
            <w:noWrap/>
            <w:vAlign w:val="center"/>
            <w:hideMark/>
          </w:tcPr>
          <w:p w14:paraId="4AA649D2" w14:textId="77777777" w:rsidR="00572F25" w:rsidRPr="004E37F8" w:rsidRDefault="00572F25" w:rsidP="00140544">
            <w:pPr>
              <w:spacing w:after="0"/>
              <w:jc w:val="center"/>
              <w:rPr>
                <w:rFonts w:cs="Arial"/>
                <w:color w:val="000000"/>
                <w:sz w:val="18"/>
                <w:szCs w:val="20"/>
              </w:rPr>
            </w:pPr>
            <w:r w:rsidRPr="00B062C7">
              <w:rPr>
                <w:rFonts w:cs="Arial"/>
                <w:color w:val="000000"/>
                <w:sz w:val="18"/>
                <w:szCs w:val="20"/>
              </w:rPr>
              <w:t>17</w:t>
            </w:r>
          </w:p>
        </w:tc>
        <w:tc>
          <w:tcPr>
            <w:tcW w:w="1481" w:type="dxa"/>
            <w:tcBorders>
              <w:top w:val="nil"/>
              <w:left w:val="nil"/>
              <w:bottom w:val="nil"/>
              <w:right w:val="nil"/>
            </w:tcBorders>
            <w:shd w:val="clear" w:color="000000" w:fill="E4E4E5"/>
            <w:noWrap/>
            <w:vAlign w:val="center"/>
            <w:hideMark/>
          </w:tcPr>
          <w:p w14:paraId="686AE477" w14:textId="77777777" w:rsidR="00572F25" w:rsidRPr="004E37F8" w:rsidRDefault="00572F25" w:rsidP="00140544">
            <w:pPr>
              <w:spacing w:after="0"/>
              <w:jc w:val="center"/>
              <w:rPr>
                <w:rFonts w:cs="Arial"/>
                <w:color w:val="000000"/>
                <w:sz w:val="18"/>
                <w:szCs w:val="20"/>
              </w:rPr>
            </w:pPr>
            <w:r w:rsidRPr="00B062C7">
              <w:rPr>
                <w:rFonts w:cs="Arial"/>
                <w:color w:val="000000"/>
                <w:sz w:val="18"/>
                <w:szCs w:val="20"/>
              </w:rPr>
              <w:t>9.4</w:t>
            </w:r>
          </w:p>
        </w:tc>
        <w:tc>
          <w:tcPr>
            <w:tcW w:w="1418" w:type="dxa"/>
            <w:tcBorders>
              <w:top w:val="nil"/>
              <w:left w:val="nil"/>
              <w:bottom w:val="nil"/>
              <w:right w:val="nil"/>
            </w:tcBorders>
            <w:shd w:val="clear" w:color="000000" w:fill="E4E4E5"/>
            <w:vAlign w:val="center"/>
            <w:hideMark/>
          </w:tcPr>
          <w:p w14:paraId="67CB87A3" w14:textId="77777777" w:rsidR="00572F25" w:rsidRPr="004E37F8" w:rsidRDefault="00572F25" w:rsidP="00140544">
            <w:pPr>
              <w:spacing w:after="0"/>
              <w:jc w:val="center"/>
              <w:rPr>
                <w:rFonts w:cs="Arial"/>
                <w:bCs/>
                <w:color w:val="000000"/>
                <w:sz w:val="18"/>
                <w:szCs w:val="20"/>
              </w:rPr>
            </w:pPr>
            <w:r w:rsidRPr="00B062C7">
              <w:rPr>
                <w:rFonts w:cs="Arial"/>
                <w:bCs/>
                <w:color w:val="000000"/>
                <w:sz w:val="18"/>
                <w:szCs w:val="20"/>
              </w:rPr>
              <w:t>69</w:t>
            </w:r>
          </w:p>
        </w:tc>
        <w:tc>
          <w:tcPr>
            <w:tcW w:w="1701" w:type="dxa"/>
            <w:tcBorders>
              <w:top w:val="nil"/>
              <w:left w:val="nil"/>
              <w:bottom w:val="nil"/>
              <w:right w:val="nil"/>
            </w:tcBorders>
            <w:shd w:val="clear" w:color="000000" w:fill="E4E4E5"/>
            <w:noWrap/>
            <w:vAlign w:val="center"/>
            <w:hideMark/>
          </w:tcPr>
          <w:p w14:paraId="061F7353" w14:textId="77777777" w:rsidR="00572F25" w:rsidRPr="004E37F8" w:rsidRDefault="00572F25" w:rsidP="00140544">
            <w:pPr>
              <w:spacing w:after="0"/>
              <w:jc w:val="center"/>
              <w:rPr>
                <w:rFonts w:cs="Arial"/>
                <w:color w:val="000000"/>
                <w:sz w:val="18"/>
                <w:szCs w:val="20"/>
              </w:rPr>
            </w:pPr>
            <w:r w:rsidRPr="00B062C7">
              <w:rPr>
                <w:rFonts w:cs="Arial"/>
                <w:color w:val="000000"/>
                <w:sz w:val="18"/>
                <w:szCs w:val="20"/>
              </w:rPr>
              <w:t>24.6</w:t>
            </w:r>
          </w:p>
        </w:tc>
      </w:tr>
      <w:tr w:rsidR="00572F25" w:rsidRPr="004E37F8" w14:paraId="7FA4FBC7" w14:textId="77777777" w:rsidTr="00140544">
        <w:trPr>
          <w:trHeight w:val="300"/>
        </w:trPr>
        <w:tc>
          <w:tcPr>
            <w:tcW w:w="3828" w:type="dxa"/>
            <w:tcBorders>
              <w:top w:val="nil"/>
              <w:left w:val="nil"/>
              <w:bottom w:val="nil"/>
              <w:right w:val="nil"/>
            </w:tcBorders>
            <w:shd w:val="clear" w:color="auto" w:fill="auto"/>
            <w:noWrap/>
            <w:vAlign w:val="center"/>
            <w:hideMark/>
          </w:tcPr>
          <w:p w14:paraId="0491F753" w14:textId="77777777" w:rsidR="00572F25" w:rsidRPr="004E37F8" w:rsidRDefault="00572F25" w:rsidP="00140544">
            <w:pPr>
              <w:spacing w:after="0"/>
              <w:ind w:firstLineChars="200" w:firstLine="360"/>
              <w:rPr>
                <w:rFonts w:cs="Arial"/>
                <w:color w:val="000000"/>
                <w:sz w:val="18"/>
                <w:szCs w:val="20"/>
              </w:rPr>
            </w:pPr>
            <w:r w:rsidRPr="004E37F8">
              <w:rPr>
                <w:rFonts w:cs="Arial"/>
                <w:color w:val="000000"/>
                <w:sz w:val="18"/>
                <w:szCs w:val="20"/>
              </w:rPr>
              <w:t>Mixed day procedure hospitals</w:t>
            </w:r>
          </w:p>
        </w:tc>
        <w:tc>
          <w:tcPr>
            <w:tcW w:w="928" w:type="dxa"/>
            <w:tcBorders>
              <w:top w:val="nil"/>
              <w:left w:val="nil"/>
              <w:bottom w:val="nil"/>
              <w:right w:val="nil"/>
            </w:tcBorders>
            <w:shd w:val="clear" w:color="auto" w:fill="auto"/>
            <w:noWrap/>
            <w:vAlign w:val="center"/>
            <w:hideMark/>
          </w:tcPr>
          <w:p w14:paraId="6EC9DFF9" w14:textId="77777777" w:rsidR="00572F25" w:rsidRPr="004E37F8" w:rsidRDefault="00572F25" w:rsidP="00140544">
            <w:pPr>
              <w:spacing w:after="0"/>
              <w:jc w:val="center"/>
              <w:rPr>
                <w:rFonts w:cs="Arial"/>
                <w:color w:val="000000"/>
                <w:sz w:val="18"/>
                <w:szCs w:val="20"/>
              </w:rPr>
            </w:pPr>
            <w:r w:rsidRPr="00B062C7">
              <w:rPr>
                <w:rFonts w:cs="Arial"/>
                <w:color w:val="000000"/>
                <w:sz w:val="18"/>
                <w:szCs w:val="20"/>
              </w:rPr>
              <w:t>5</w:t>
            </w:r>
          </w:p>
        </w:tc>
        <w:tc>
          <w:tcPr>
            <w:tcW w:w="1481" w:type="dxa"/>
            <w:tcBorders>
              <w:top w:val="nil"/>
              <w:left w:val="nil"/>
              <w:bottom w:val="nil"/>
              <w:right w:val="nil"/>
            </w:tcBorders>
            <w:shd w:val="clear" w:color="auto" w:fill="auto"/>
            <w:noWrap/>
            <w:vAlign w:val="center"/>
            <w:hideMark/>
          </w:tcPr>
          <w:p w14:paraId="51A255D5" w14:textId="77777777" w:rsidR="00572F25" w:rsidRPr="004E37F8" w:rsidRDefault="00572F25" w:rsidP="00140544">
            <w:pPr>
              <w:spacing w:after="0"/>
              <w:jc w:val="center"/>
              <w:rPr>
                <w:rFonts w:cs="Arial"/>
                <w:color w:val="000000"/>
                <w:sz w:val="18"/>
                <w:szCs w:val="20"/>
              </w:rPr>
            </w:pPr>
            <w:r w:rsidRPr="00B062C7">
              <w:rPr>
                <w:rFonts w:cs="Arial"/>
                <w:color w:val="000000"/>
                <w:sz w:val="18"/>
                <w:szCs w:val="20"/>
              </w:rPr>
              <w:t>2.8</w:t>
            </w:r>
          </w:p>
        </w:tc>
        <w:tc>
          <w:tcPr>
            <w:tcW w:w="1418" w:type="dxa"/>
            <w:tcBorders>
              <w:top w:val="nil"/>
              <w:left w:val="nil"/>
              <w:bottom w:val="nil"/>
              <w:right w:val="nil"/>
            </w:tcBorders>
            <w:shd w:val="clear" w:color="auto" w:fill="auto"/>
            <w:vAlign w:val="center"/>
            <w:hideMark/>
          </w:tcPr>
          <w:p w14:paraId="5BC3A851" w14:textId="77777777" w:rsidR="00572F25" w:rsidRPr="004E37F8" w:rsidRDefault="00572F25" w:rsidP="00140544">
            <w:pPr>
              <w:spacing w:after="0"/>
              <w:jc w:val="center"/>
              <w:rPr>
                <w:rFonts w:cs="Arial"/>
                <w:bCs/>
                <w:color w:val="000000"/>
                <w:sz w:val="18"/>
                <w:szCs w:val="20"/>
              </w:rPr>
            </w:pPr>
            <w:r w:rsidRPr="00B062C7">
              <w:rPr>
                <w:rFonts w:cs="Arial"/>
                <w:bCs/>
                <w:color w:val="000000"/>
                <w:sz w:val="18"/>
                <w:szCs w:val="20"/>
              </w:rPr>
              <w:t>53</w:t>
            </w:r>
          </w:p>
        </w:tc>
        <w:tc>
          <w:tcPr>
            <w:tcW w:w="1701" w:type="dxa"/>
            <w:tcBorders>
              <w:top w:val="nil"/>
              <w:left w:val="nil"/>
              <w:bottom w:val="nil"/>
              <w:right w:val="nil"/>
            </w:tcBorders>
            <w:shd w:val="clear" w:color="auto" w:fill="auto"/>
            <w:noWrap/>
            <w:vAlign w:val="center"/>
            <w:hideMark/>
          </w:tcPr>
          <w:p w14:paraId="7C1D0064" w14:textId="77777777" w:rsidR="00572F25" w:rsidRPr="004E37F8" w:rsidRDefault="00572F25" w:rsidP="00140544">
            <w:pPr>
              <w:spacing w:after="0"/>
              <w:jc w:val="center"/>
              <w:rPr>
                <w:rFonts w:cs="Arial"/>
                <w:color w:val="000000"/>
                <w:sz w:val="18"/>
                <w:szCs w:val="20"/>
              </w:rPr>
            </w:pPr>
            <w:r w:rsidRPr="00B062C7">
              <w:rPr>
                <w:rFonts w:cs="Arial"/>
                <w:color w:val="000000"/>
                <w:sz w:val="18"/>
                <w:szCs w:val="20"/>
              </w:rPr>
              <w:t>9.4</w:t>
            </w:r>
          </w:p>
        </w:tc>
      </w:tr>
      <w:tr w:rsidR="00572F25" w:rsidRPr="004E37F8" w14:paraId="464A1A89" w14:textId="77777777" w:rsidTr="00140544">
        <w:trPr>
          <w:trHeight w:val="300"/>
        </w:trPr>
        <w:tc>
          <w:tcPr>
            <w:tcW w:w="3828" w:type="dxa"/>
            <w:tcBorders>
              <w:top w:val="nil"/>
              <w:left w:val="nil"/>
              <w:bottom w:val="nil"/>
              <w:right w:val="nil"/>
            </w:tcBorders>
            <w:shd w:val="clear" w:color="000000" w:fill="E4E4E5"/>
            <w:noWrap/>
            <w:vAlign w:val="center"/>
            <w:hideMark/>
          </w:tcPr>
          <w:p w14:paraId="775C0071" w14:textId="77777777" w:rsidR="00572F25" w:rsidRPr="004E37F8" w:rsidRDefault="00572F25" w:rsidP="00140544">
            <w:pPr>
              <w:spacing w:after="0"/>
              <w:ind w:firstLineChars="200" w:firstLine="360"/>
              <w:rPr>
                <w:rFonts w:cs="Arial"/>
                <w:color w:val="000000"/>
                <w:sz w:val="18"/>
                <w:szCs w:val="20"/>
              </w:rPr>
            </w:pPr>
            <w:r w:rsidRPr="004E37F8">
              <w:rPr>
                <w:rFonts w:cs="Arial"/>
                <w:color w:val="000000"/>
                <w:sz w:val="18"/>
                <w:szCs w:val="20"/>
              </w:rPr>
              <w:t>Other day procedure hospital</w:t>
            </w:r>
            <w:r>
              <w:rPr>
                <w:rFonts w:cs="Arial"/>
                <w:color w:val="000000"/>
                <w:sz w:val="18"/>
                <w:szCs w:val="20"/>
              </w:rPr>
              <w:t>s</w:t>
            </w:r>
          </w:p>
        </w:tc>
        <w:tc>
          <w:tcPr>
            <w:tcW w:w="928" w:type="dxa"/>
            <w:tcBorders>
              <w:top w:val="nil"/>
              <w:left w:val="nil"/>
              <w:bottom w:val="nil"/>
              <w:right w:val="nil"/>
            </w:tcBorders>
            <w:shd w:val="clear" w:color="000000" w:fill="E4E4E5"/>
            <w:noWrap/>
            <w:vAlign w:val="center"/>
            <w:hideMark/>
          </w:tcPr>
          <w:p w14:paraId="1F89F8B2" w14:textId="77777777" w:rsidR="00572F25" w:rsidRPr="004E37F8" w:rsidRDefault="00572F25" w:rsidP="00140544">
            <w:pPr>
              <w:spacing w:after="0"/>
              <w:jc w:val="center"/>
              <w:rPr>
                <w:rFonts w:cs="Arial"/>
                <w:color w:val="000000"/>
                <w:sz w:val="18"/>
                <w:szCs w:val="20"/>
              </w:rPr>
            </w:pPr>
            <w:r w:rsidRPr="00B062C7">
              <w:rPr>
                <w:rFonts w:cs="Arial"/>
                <w:color w:val="000000"/>
                <w:sz w:val="18"/>
                <w:szCs w:val="20"/>
              </w:rPr>
              <w:t>1</w:t>
            </w:r>
          </w:p>
        </w:tc>
        <w:tc>
          <w:tcPr>
            <w:tcW w:w="1481" w:type="dxa"/>
            <w:tcBorders>
              <w:top w:val="nil"/>
              <w:left w:val="nil"/>
              <w:bottom w:val="nil"/>
              <w:right w:val="nil"/>
            </w:tcBorders>
            <w:shd w:val="clear" w:color="000000" w:fill="E4E4E5"/>
            <w:noWrap/>
            <w:vAlign w:val="center"/>
            <w:hideMark/>
          </w:tcPr>
          <w:p w14:paraId="0B169212" w14:textId="77777777" w:rsidR="00572F25" w:rsidRPr="004E37F8" w:rsidRDefault="00572F25" w:rsidP="00140544">
            <w:pPr>
              <w:spacing w:after="0"/>
              <w:jc w:val="center"/>
              <w:rPr>
                <w:rFonts w:cs="Arial"/>
                <w:color w:val="000000"/>
                <w:sz w:val="18"/>
                <w:szCs w:val="20"/>
              </w:rPr>
            </w:pPr>
            <w:r w:rsidRPr="00B062C7">
              <w:rPr>
                <w:rFonts w:cs="Arial"/>
                <w:color w:val="000000"/>
                <w:sz w:val="18"/>
                <w:szCs w:val="20"/>
              </w:rPr>
              <w:t>0.6</w:t>
            </w:r>
          </w:p>
        </w:tc>
        <w:tc>
          <w:tcPr>
            <w:tcW w:w="1418" w:type="dxa"/>
            <w:tcBorders>
              <w:top w:val="nil"/>
              <w:left w:val="nil"/>
              <w:bottom w:val="nil"/>
              <w:right w:val="nil"/>
            </w:tcBorders>
            <w:shd w:val="clear" w:color="000000" w:fill="E4E4E5"/>
            <w:vAlign w:val="center"/>
            <w:hideMark/>
          </w:tcPr>
          <w:p w14:paraId="7BEE6200" w14:textId="77777777" w:rsidR="00572F25" w:rsidRPr="004E37F8" w:rsidRDefault="00572F25" w:rsidP="00140544">
            <w:pPr>
              <w:spacing w:after="0"/>
              <w:jc w:val="center"/>
              <w:rPr>
                <w:rFonts w:cs="Arial"/>
                <w:bCs/>
                <w:color w:val="000000"/>
                <w:sz w:val="18"/>
                <w:szCs w:val="20"/>
              </w:rPr>
            </w:pPr>
            <w:r w:rsidRPr="00B062C7">
              <w:rPr>
                <w:rFonts w:cs="Arial"/>
                <w:bCs/>
                <w:color w:val="000000"/>
                <w:sz w:val="18"/>
                <w:szCs w:val="20"/>
              </w:rPr>
              <w:t>4</w:t>
            </w:r>
          </w:p>
        </w:tc>
        <w:tc>
          <w:tcPr>
            <w:tcW w:w="1701" w:type="dxa"/>
            <w:tcBorders>
              <w:top w:val="nil"/>
              <w:left w:val="nil"/>
              <w:bottom w:val="nil"/>
              <w:right w:val="nil"/>
            </w:tcBorders>
            <w:shd w:val="clear" w:color="000000" w:fill="E4E4E5"/>
            <w:noWrap/>
            <w:vAlign w:val="center"/>
            <w:hideMark/>
          </w:tcPr>
          <w:p w14:paraId="03329350" w14:textId="77777777" w:rsidR="00572F25" w:rsidRPr="004E37F8" w:rsidRDefault="00572F25" w:rsidP="00140544">
            <w:pPr>
              <w:spacing w:after="0"/>
              <w:jc w:val="center"/>
              <w:rPr>
                <w:rFonts w:cs="Arial"/>
                <w:color w:val="000000"/>
                <w:sz w:val="18"/>
                <w:szCs w:val="20"/>
              </w:rPr>
            </w:pPr>
            <w:r w:rsidRPr="00B062C7">
              <w:rPr>
                <w:rFonts w:cs="Arial"/>
                <w:color w:val="000000"/>
                <w:sz w:val="18"/>
                <w:szCs w:val="20"/>
              </w:rPr>
              <w:t>25.0</w:t>
            </w:r>
          </w:p>
        </w:tc>
      </w:tr>
      <w:tr w:rsidR="00572F25" w:rsidRPr="004E37F8" w14:paraId="1D0780ED" w14:textId="77777777" w:rsidTr="00140544">
        <w:trPr>
          <w:trHeight w:val="300"/>
        </w:trPr>
        <w:tc>
          <w:tcPr>
            <w:tcW w:w="3828" w:type="dxa"/>
            <w:tcBorders>
              <w:top w:val="nil"/>
              <w:left w:val="nil"/>
              <w:bottom w:val="nil"/>
              <w:right w:val="nil"/>
            </w:tcBorders>
            <w:shd w:val="clear" w:color="auto" w:fill="auto"/>
            <w:noWrap/>
            <w:vAlign w:val="center"/>
            <w:hideMark/>
          </w:tcPr>
          <w:p w14:paraId="23E8D5A3" w14:textId="77777777" w:rsidR="00572F25" w:rsidRPr="004E37F8" w:rsidRDefault="00572F25" w:rsidP="00140544">
            <w:pPr>
              <w:spacing w:after="0"/>
              <w:ind w:firstLineChars="200" w:firstLine="360"/>
              <w:rPr>
                <w:rFonts w:cs="Arial"/>
                <w:color w:val="000000"/>
                <w:sz w:val="18"/>
                <w:szCs w:val="20"/>
              </w:rPr>
            </w:pPr>
            <w:r w:rsidRPr="004E37F8">
              <w:rPr>
                <w:rFonts w:cs="Arial"/>
                <w:color w:val="000000"/>
                <w:sz w:val="18"/>
                <w:szCs w:val="20"/>
              </w:rPr>
              <w:t>Eye surgery centres</w:t>
            </w:r>
          </w:p>
        </w:tc>
        <w:tc>
          <w:tcPr>
            <w:tcW w:w="928" w:type="dxa"/>
            <w:tcBorders>
              <w:top w:val="nil"/>
              <w:left w:val="nil"/>
              <w:bottom w:val="nil"/>
              <w:right w:val="nil"/>
            </w:tcBorders>
            <w:shd w:val="clear" w:color="auto" w:fill="auto"/>
            <w:noWrap/>
            <w:vAlign w:val="center"/>
            <w:hideMark/>
          </w:tcPr>
          <w:p w14:paraId="36588CDB" w14:textId="77777777" w:rsidR="00572F25" w:rsidRPr="004E37F8" w:rsidRDefault="00572F25" w:rsidP="00140544">
            <w:pPr>
              <w:spacing w:after="0"/>
              <w:jc w:val="center"/>
              <w:rPr>
                <w:rFonts w:cs="Arial"/>
                <w:color w:val="000000"/>
                <w:sz w:val="18"/>
                <w:szCs w:val="20"/>
              </w:rPr>
            </w:pPr>
            <w:r w:rsidRPr="00B062C7">
              <w:rPr>
                <w:rFonts w:cs="Arial"/>
                <w:color w:val="000000"/>
                <w:sz w:val="18"/>
                <w:szCs w:val="20"/>
              </w:rPr>
              <w:t>11</w:t>
            </w:r>
          </w:p>
        </w:tc>
        <w:tc>
          <w:tcPr>
            <w:tcW w:w="1481" w:type="dxa"/>
            <w:tcBorders>
              <w:top w:val="nil"/>
              <w:left w:val="nil"/>
              <w:bottom w:val="nil"/>
              <w:right w:val="nil"/>
            </w:tcBorders>
            <w:shd w:val="clear" w:color="auto" w:fill="auto"/>
            <w:noWrap/>
            <w:vAlign w:val="center"/>
            <w:hideMark/>
          </w:tcPr>
          <w:p w14:paraId="7E2081B3" w14:textId="77777777" w:rsidR="00572F25" w:rsidRPr="004E37F8" w:rsidRDefault="00572F25" w:rsidP="00140544">
            <w:pPr>
              <w:spacing w:after="0"/>
              <w:jc w:val="center"/>
              <w:rPr>
                <w:rFonts w:cs="Arial"/>
                <w:color w:val="000000"/>
                <w:sz w:val="18"/>
                <w:szCs w:val="20"/>
              </w:rPr>
            </w:pPr>
            <w:r w:rsidRPr="00B062C7">
              <w:rPr>
                <w:rFonts w:cs="Arial"/>
                <w:color w:val="000000"/>
                <w:sz w:val="18"/>
                <w:szCs w:val="20"/>
              </w:rPr>
              <w:t>6.1</w:t>
            </w:r>
          </w:p>
        </w:tc>
        <w:tc>
          <w:tcPr>
            <w:tcW w:w="1418" w:type="dxa"/>
            <w:tcBorders>
              <w:top w:val="nil"/>
              <w:left w:val="nil"/>
              <w:right w:val="nil"/>
            </w:tcBorders>
            <w:shd w:val="clear" w:color="auto" w:fill="auto"/>
            <w:vAlign w:val="center"/>
            <w:hideMark/>
          </w:tcPr>
          <w:p w14:paraId="401CAF8E" w14:textId="77777777" w:rsidR="00572F25" w:rsidRPr="004E37F8" w:rsidRDefault="00572F25" w:rsidP="00140544">
            <w:pPr>
              <w:spacing w:after="0"/>
              <w:jc w:val="center"/>
              <w:rPr>
                <w:rFonts w:cs="Arial"/>
                <w:bCs/>
                <w:color w:val="000000"/>
                <w:sz w:val="18"/>
                <w:szCs w:val="20"/>
              </w:rPr>
            </w:pPr>
            <w:r w:rsidRPr="00B062C7">
              <w:rPr>
                <w:rFonts w:cs="Arial"/>
                <w:bCs/>
                <w:color w:val="000000"/>
                <w:sz w:val="18"/>
                <w:szCs w:val="20"/>
              </w:rPr>
              <w:t>42</w:t>
            </w:r>
          </w:p>
        </w:tc>
        <w:tc>
          <w:tcPr>
            <w:tcW w:w="1701" w:type="dxa"/>
            <w:tcBorders>
              <w:top w:val="nil"/>
              <w:left w:val="nil"/>
              <w:bottom w:val="nil"/>
              <w:right w:val="nil"/>
            </w:tcBorders>
            <w:shd w:val="clear" w:color="auto" w:fill="auto"/>
            <w:noWrap/>
            <w:vAlign w:val="center"/>
            <w:hideMark/>
          </w:tcPr>
          <w:p w14:paraId="2787BA6C" w14:textId="77777777" w:rsidR="00572F25" w:rsidRPr="004E37F8" w:rsidRDefault="00572F25" w:rsidP="00140544">
            <w:pPr>
              <w:spacing w:after="0"/>
              <w:jc w:val="center"/>
              <w:rPr>
                <w:rFonts w:cs="Arial"/>
                <w:color w:val="000000"/>
                <w:sz w:val="18"/>
                <w:szCs w:val="20"/>
              </w:rPr>
            </w:pPr>
            <w:r w:rsidRPr="00B062C7">
              <w:rPr>
                <w:rFonts w:cs="Arial"/>
                <w:color w:val="000000"/>
                <w:sz w:val="18"/>
                <w:szCs w:val="20"/>
              </w:rPr>
              <w:t>26.2</w:t>
            </w:r>
          </w:p>
        </w:tc>
      </w:tr>
      <w:tr w:rsidR="00572F25" w:rsidRPr="004E37F8" w14:paraId="2141E34D" w14:textId="77777777" w:rsidTr="00140544">
        <w:trPr>
          <w:trHeight w:val="300"/>
        </w:trPr>
        <w:tc>
          <w:tcPr>
            <w:tcW w:w="3828" w:type="dxa"/>
            <w:tcBorders>
              <w:top w:val="nil"/>
              <w:left w:val="nil"/>
              <w:right w:val="nil"/>
            </w:tcBorders>
            <w:shd w:val="clear" w:color="000000" w:fill="E4E4E5"/>
            <w:noWrap/>
            <w:vAlign w:val="center"/>
            <w:hideMark/>
          </w:tcPr>
          <w:p w14:paraId="43E9C6B6" w14:textId="77777777" w:rsidR="00666DA5" w:rsidRDefault="00666DA5" w:rsidP="00666DA5">
            <w:pPr>
              <w:spacing w:before="0" w:after="0" w:line="240" w:lineRule="auto"/>
              <w:ind w:firstLineChars="200" w:firstLine="360"/>
              <w:rPr>
                <w:rFonts w:cs="Arial"/>
                <w:color w:val="000000"/>
                <w:sz w:val="18"/>
                <w:szCs w:val="20"/>
              </w:rPr>
            </w:pPr>
          </w:p>
          <w:p w14:paraId="7A78F9F2" w14:textId="77777777" w:rsidR="00666DA5" w:rsidRDefault="00572F25" w:rsidP="00666DA5">
            <w:pPr>
              <w:spacing w:before="0" w:after="0" w:line="240" w:lineRule="auto"/>
              <w:ind w:firstLineChars="200" w:firstLine="360"/>
              <w:rPr>
                <w:rFonts w:cs="Arial"/>
                <w:color w:val="000000"/>
                <w:sz w:val="18"/>
                <w:szCs w:val="20"/>
              </w:rPr>
            </w:pPr>
            <w:r w:rsidRPr="004E37F8">
              <w:rPr>
                <w:rFonts w:cs="Arial"/>
                <w:color w:val="000000"/>
                <w:sz w:val="18"/>
                <w:szCs w:val="20"/>
              </w:rPr>
              <w:t xml:space="preserve">Plastic </w:t>
            </w:r>
            <w:r>
              <w:rPr>
                <w:rFonts w:cs="Arial"/>
                <w:color w:val="000000"/>
                <w:sz w:val="18"/>
                <w:szCs w:val="20"/>
              </w:rPr>
              <w:t>and</w:t>
            </w:r>
            <w:r w:rsidRPr="004E37F8">
              <w:rPr>
                <w:rFonts w:cs="Arial"/>
                <w:color w:val="000000"/>
                <w:sz w:val="18"/>
                <w:szCs w:val="20"/>
              </w:rPr>
              <w:t xml:space="preserve"> reconstructive surgery </w:t>
            </w:r>
            <w:r>
              <w:rPr>
                <w:rFonts w:cs="Arial"/>
                <w:color w:val="000000"/>
                <w:sz w:val="18"/>
                <w:szCs w:val="20"/>
              </w:rPr>
              <w:t xml:space="preserve"> </w:t>
            </w:r>
            <w:r w:rsidR="00666DA5">
              <w:rPr>
                <w:rFonts w:cs="Arial"/>
                <w:color w:val="000000"/>
                <w:sz w:val="18"/>
                <w:szCs w:val="20"/>
              </w:rPr>
              <w:t xml:space="preserve"> </w:t>
            </w:r>
          </w:p>
          <w:p w14:paraId="0E19C436" w14:textId="77777777" w:rsidR="00572F25" w:rsidRPr="004E37F8" w:rsidRDefault="00572F25" w:rsidP="00666DA5">
            <w:pPr>
              <w:spacing w:before="0" w:after="0" w:line="240" w:lineRule="auto"/>
              <w:ind w:firstLineChars="200" w:firstLine="360"/>
              <w:rPr>
                <w:rFonts w:cs="Arial"/>
                <w:color w:val="000000"/>
                <w:sz w:val="18"/>
                <w:szCs w:val="20"/>
              </w:rPr>
            </w:pPr>
            <w:r w:rsidRPr="004E37F8">
              <w:rPr>
                <w:rFonts w:cs="Arial"/>
                <w:color w:val="000000"/>
                <w:sz w:val="18"/>
                <w:szCs w:val="20"/>
              </w:rPr>
              <w:t>centres</w:t>
            </w:r>
          </w:p>
        </w:tc>
        <w:tc>
          <w:tcPr>
            <w:tcW w:w="928" w:type="dxa"/>
            <w:tcBorders>
              <w:top w:val="nil"/>
              <w:left w:val="nil"/>
              <w:bottom w:val="nil"/>
              <w:right w:val="nil"/>
            </w:tcBorders>
            <w:shd w:val="clear" w:color="000000" w:fill="E4E4E5"/>
            <w:noWrap/>
            <w:vAlign w:val="center"/>
            <w:hideMark/>
          </w:tcPr>
          <w:p w14:paraId="0D88F282" w14:textId="77777777" w:rsidR="00572F25" w:rsidRPr="004E37F8" w:rsidRDefault="00572F25" w:rsidP="00140544">
            <w:pPr>
              <w:spacing w:after="0"/>
              <w:jc w:val="center"/>
              <w:rPr>
                <w:rFonts w:cs="Arial"/>
                <w:color w:val="000000"/>
                <w:sz w:val="18"/>
                <w:szCs w:val="20"/>
              </w:rPr>
            </w:pPr>
            <w:r w:rsidRPr="00B062C7">
              <w:rPr>
                <w:rFonts w:cs="Arial"/>
                <w:color w:val="000000"/>
                <w:sz w:val="18"/>
                <w:szCs w:val="20"/>
              </w:rPr>
              <w:t>1</w:t>
            </w:r>
          </w:p>
        </w:tc>
        <w:tc>
          <w:tcPr>
            <w:tcW w:w="1481" w:type="dxa"/>
            <w:tcBorders>
              <w:top w:val="nil"/>
              <w:left w:val="nil"/>
              <w:bottom w:val="nil"/>
              <w:right w:val="nil"/>
            </w:tcBorders>
            <w:shd w:val="clear" w:color="000000" w:fill="E4E4E5"/>
            <w:noWrap/>
            <w:vAlign w:val="center"/>
            <w:hideMark/>
          </w:tcPr>
          <w:p w14:paraId="59CC231E" w14:textId="77777777" w:rsidR="00572F25" w:rsidRPr="004E37F8" w:rsidRDefault="00572F25" w:rsidP="00140544">
            <w:pPr>
              <w:spacing w:after="0"/>
              <w:jc w:val="center"/>
              <w:rPr>
                <w:rFonts w:cs="Arial"/>
                <w:color w:val="000000"/>
                <w:sz w:val="18"/>
                <w:szCs w:val="20"/>
              </w:rPr>
            </w:pPr>
            <w:r w:rsidRPr="00B062C7">
              <w:rPr>
                <w:rFonts w:cs="Arial"/>
                <w:color w:val="000000"/>
                <w:sz w:val="18"/>
                <w:szCs w:val="20"/>
              </w:rPr>
              <w:t>0.6</w:t>
            </w:r>
          </w:p>
        </w:tc>
        <w:tc>
          <w:tcPr>
            <w:tcW w:w="1418" w:type="dxa"/>
            <w:tcBorders>
              <w:top w:val="nil"/>
              <w:left w:val="nil"/>
              <w:bottom w:val="nil"/>
              <w:right w:val="nil"/>
            </w:tcBorders>
            <w:shd w:val="clear" w:color="000000" w:fill="E4E4E5"/>
            <w:vAlign w:val="center"/>
            <w:hideMark/>
          </w:tcPr>
          <w:p w14:paraId="076C1117" w14:textId="77777777" w:rsidR="00572F25" w:rsidRPr="004E37F8" w:rsidRDefault="00572F25" w:rsidP="00140544">
            <w:pPr>
              <w:spacing w:after="0"/>
              <w:jc w:val="center"/>
              <w:rPr>
                <w:rFonts w:cs="Arial"/>
                <w:bCs/>
                <w:color w:val="000000"/>
                <w:sz w:val="18"/>
                <w:szCs w:val="20"/>
              </w:rPr>
            </w:pPr>
            <w:r w:rsidRPr="00B062C7">
              <w:rPr>
                <w:rFonts w:cs="Arial"/>
                <w:bCs/>
                <w:color w:val="000000"/>
                <w:sz w:val="18"/>
                <w:szCs w:val="20"/>
              </w:rPr>
              <w:t>26</w:t>
            </w:r>
          </w:p>
        </w:tc>
        <w:tc>
          <w:tcPr>
            <w:tcW w:w="1701" w:type="dxa"/>
            <w:tcBorders>
              <w:top w:val="nil"/>
              <w:left w:val="nil"/>
              <w:bottom w:val="nil"/>
              <w:right w:val="nil"/>
            </w:tcBorders>
            <w:shd w:val="clear" w:color="000000" w:fill="E4E4E5"/>
            <w:noWrap/>
            <w:vAlign w:val="center"/>
            <w:hideMark/>
          </w:tcPr>
          <w:p w14:paraId="57D85501" w14:textId="77777777" w:rsidR="00572F25" w:rsidRPr="004E37F8" w:rsidRDefault="00572F25" w:rsidP="00140544">
            <w:pPr>
              <w:spacing w:after="0"/>
              <w:jc w:val="center"/>
              <w:rPr>
                <w:rFonts w:cs="Arial"/>
                <w:color w:val="000000"/>
                <w:sz w:val="18"/>
                <w:szCs w:val="20"/>
              </w:rPr>
            </w:pPr>
            <w:r w:rsidRPr="00B062C7">
              <w:rPr>
                <w:rFonts w:cs="Arial"/>
                <w:color w:val="000000"/>
                <w:sz w:val="18"/>
                <w:szCs w:val="20"/>
              </w:rPr>
              <w:t>3.8</w:t>
            </w:r>
          </w:p>
        </w:tc>
      </w:tr>
      <w:tr w:rsidR="00572F25" w:rsidRPr="004E37F8" w14:paraId="5BD19ADA" w14:textId="77777777" w:rsidTr="00140544">
        <w:trPr>
          <w:trHeight w:val="315"/>
        </w:trPr>
        <w:tc>
          <w:tcPr>
            <w:tcW w:w="3828" w:type="dxa"/>
            <w:tcBorders>
              <w:top w:val="nil"/>
              <w:left w:val="nil"/>
              <w:bottom w:val="nil"/>
              <w:right w:val="nil"/>
            </w:tcBorders>
            <w:shd w:val="clear" w:color="auto" w:fill="auto"/>
            <w:noWrap/>
            <w:vAlign w:val="center"/>
            <w:hideMark/>
          </w:tcPr>
          <w:p w14:paraId="77B9D5F0" w14:textId="77777777" w:rsidR="00572F25" w:rsidRPr="004E37F8" w:rsidRDefault="00572F25" w:rsidP="00140544">
            <w:pPr>
              <w:spacing w:after="0"/>
              <w:ind w:firstLineChars="200" w:firstLine="360"/>
              <w:rPr>
                <w:rFonts w:cs="Arial"/>
                <w:color w:val="000000"/>
                <w:sz w:val="18"/>
                <w:szCs w:val="20"/>
              </w:rPr>
            </w:pPr>
            <w:r w:rsidRPr="004E37F8">
              <w:rPr>
                <w:rFonts w:cs="Arial"/>
                <w:color w:val="000000"/>
                <w:sz w:val="18"/>
                <w:szCs w:val="20"/>
              </w:rPr>
              <w:t>Other acute specialised hospitals</w:t>
            </w:r>
          </w:p>
        </w:tc>
        <w:tc>
          <w:tcPr>
            <w:tcW w:w="928" w:type="dxa"/>
            <w:tcBorders>
              <w:top w:val="nil"/>
              <w:left w:val="nil"/>
              <w:bottom w:val="nil"/>
              <w:right w:val="nil"/>
            </w:tcBorders>
            <w:shd w:val="clear" w:color="auto" w:fill="auto"/>
            <w:noWrap/>
            <w:vAlign w:val="center"/>
            <w:hideMark/>
          </w:tcPr>
          <w:p w14:paraId="2F5157A4" w14:textId="77777777" w:rsidR="00572F25" w:rsidRPr="004E37F8" w:rsidRDefault="00572F25" w:rsidP="00140544">
            <w:pPr>
              <w:spacing w:after="0"/>
              <w:jc w:val="center"/>
              <w:rPr>
                <w:rFonts w:cs="Arial"/>
                <w:color w:val="000000"/>
                <w:sz w:val="18"/>
                <w:szCs w:val="20"/>
              </w:rPr>
            </w:pPr>
            <w:r w:rsidRPr="00B062C7">
              <w:rPr>
                <w:rFonts w:cs="Arial"/>
                <w:color w:val="000000"/>
                <w:sz w:val="18"/>
                <w:szCs w:val="20"/>
              </w:rPr>
              <w:t>8</w:t>
            </w:r>
          </w:p>
        </w:tc>
        <w:tc>
          <w:tcPr>
            <w:tcW w:w="1481" w:type="dxa"/>
            <w:tcBorders>
              <w:top w:val="nil"/>
              <w:left w:val="nil"/>
              <w:bottom w:val="nil"/>
              <w:right w:val="nil"/>
            </w:tcBorders>
            <w:shd w:val="clear" w:color="auto" w:fill="auto"/>
            <w:noWrap/>
            <w:vAlign w:val="center"/>
            <w:hideMark/>
          </w:tcPr>
          <w:p w14:paraId="5E9C075E" w14:textId="77777777" w:rsidR="00572F25" w:rsidRPr="004E37F8" w:rsidRDefault="00572F25" w:rsidP="00140544">
            <w:pPr>
              <w:spacing w:after="0"/>
              <w:jc w:val="center"/>
              <w:rPr>
                <w:rFonts w:cs="Arial"/>
                <w:color w:val="000000"/>
                <w:sz w:val="18"/>
                <w:szCs w:val="20"/>
              </w:rPr>
            </w:pPr>
            <w:r w:rsidRPr="00B062C7">
              <w:rPr>
                <w:rFonts w:cs="Arial"/>
                <w:color w:val="000000"/>
                <w:sz w:val="18"/>
                <w:szCs w:val="20"/>
              </w:rPr>
              <w:t>4.4</w:t>
            </w:r>
          </w:p>
        </w:tc>
        <w:tc>
          <w:tcPr>
            <w:tcW w:w="1418" w:type="dxa"/>
            <w:tcBorders>
              <w:left w:val="nil"/>
              <w:bottom w:val="nil"/>
              <w:right w:val="nil"/>
            </w:tcBorders>
            <w:shd w:val="clear" w:color="auto" w:fill="auto"/>
            <w:vAlign w:val="center"/>
            <w:hideMark/>
          </w:tcPr>
          <w:p w14:paraId="22D3845B" w14:textId="77777777" w:rsidR="00572F25" w:rsidRPr="004E37F8" w:rsidRDefault="00572F25" w:rsidP="00140544">
            <w:pPr>
              <w:spacing w:after="0"/>
              <w:jc w:val="center"/>
              <w:rPr>
                <w:rFonts w:cs="Arial"/>
                <w:bCs/>
                <w:color w:val="000000"/>
                <w:sz w:val="18"/>
                <w:szCs w:val="20"/>
              </w:rPr>
            </w:pPr>
            <w:r w:rsidRPr="00B062C7">
              <w:rPr>
                <w:rFonts w:cs="Arial"/>
                <w:bCs/>
                <w:color w:val="000000"/>
                <w:sz w:val="18"/>
                <w:szCs w:val="20"/>
              </w:rPr>
              <w:t>15</w:t>
            </w:r>
          </w:p>
        </w:tc>
        <w:tc>
          <w:tcPr>
            <w:tcW w:w="1701" w:type="dxa"/>
            <w:tcBorders>
              <w:top w:val="nil"/>
              <w:left w:val="nil"/>
              <w:bottom w:val="nil"/>
              <w:right w:val="nil"/>
            </w:tcBorders>
            <w:shd w:val="clear" w:color="auto" w:fill="auto"/>
            <w:noWrap/>
            <w:vAlign w:val="center"/>
            <w:hideMark/>
          </w:tcPr>
          <w:p w14:paraId="27895D6B" w14:textId="77777777" w:rsidR="00572F25" w:rsidRPr="004E37F8" w:rsidRDefault="00572F25" w:rsidP="00140544">
            <w:pPr>
              <w:spacing w:after="0"/>
              <w:jc w:val="center"/>
              <w:rPr>
                <w:rFonts w:cs="Arial"/>
                <w:color w:val="000000"/>
                <w:sz w:val="18"/>
                <w:szCs w:val="20"/>
              </w:rPr>
            </w:pPr>
            <w:r w:rsidRPr="00B062C7">
              <w:rPr>
                <w:rFonts w:cs="Arial"/>
                <w:color w:val="000000"/>
                <w:sz w:val="18"/>
                <w:szCs w:val="20"/>
              </w:rPr>
              <w:t>53.3</w:t>
            </w:r>
          </w:p>
        </w:tc>
      </w:tr>
      <w:tr w:rsidR="00572F25" w:rsidRPr="004E37F8" w14:paraId="7D683428" w14:textId="77777777" w:rsidTr="00140544">
        <w:trPr>
          <w:trHeight w:val="315"/>
        </w:trPr>
        <w:tc>
          <w:tcPr>
            <w:tcW w:w="3828" w:type="dxa"/>
            <w:tcBorders>
              <w:left w:val="nil"/>
              <w:bottom w:val="nil"/>
              <w:right w:val="nil"/>
            </w:tcBorders>
            <w:shd w:val="clear" w:color="000000" w:fill="2C5A6C"/>
            <w:noWrap/>
            <w:vAlign w:val="center"/>
            <w:hideMark/>
          </w:tcPr>
          <w:p w14:paraId="132E73E4" w14:textId="77777777" w:rsidR="00572F25" w:rsidRPr="004E37F8" w:rsidRDefault="00572F25" w:rsidP="00140544">
            <w:pPr>
              <w:spacing w:after="0"/>
              <w:rPr>
                <w:rFonts w:cs="Arial"/>
                <w:color w:val="FFFFFF"/>
                <w:sz w:val="20"/>
                <w:szCs w:val="20"/>
              </w:rPr>
            </w:pPr>
            <w:r w:rsidRPr="004E37F8">
              <w:rPr>
                <w:rFonts w:cs="Arial"/>
                <w:color w:val="FFFFFF"/>
                <w:sz w:val="20"/>
                <w:szCs w:val="20"/>
              </w:rPr>
              <w:t>Total</w:t>
            </w:r>
          </w:p>
        </w:tc>
        <w:tc>
          <w:tcPr>
            <w:tcW w:w="928" w:type="dxa"/>
            <w:tcBorders>
              <w:top w:val="nil"/>
              <w:left w:val="nil"/>
              <w:bottom w:val="nil"/>
              <w:right w:val="nil"/>
            </w:tcBorders>
            <w:shd w:val="clear" w:color="000000" w:fill="2C5A6C"/>
            <w:noWrap/>
            <w:vAlign w:val="center"/>
            <w:hideMark/>
          </w:tcPr>
          <w:p w14:paraId="7820AB5F" w14:textId="77777777" w:rsidR="00572F25" w:rsidRPr="004E37F8" w:rsidRDefault="00572F25" w:rsidP="00140544">
            <w:pPr>
              <w:spacing w:after="0"/>
              <w:jc w:val="center"/>
              <w:rPr>
                <w:rFonts w:cs="Arial"/>
                <w:color w:val="FFFFFF"/>
                <w:sz w:val="20"/>
                <w:szCs w:val="20"/>
              </w:rPr>
            </w:pPr>
            <w:r w:rsidRPr="004E37F8">
              <w:rPr>
                <w:rFonts w:cs="Arial"/>
                <w:color w:val="FFFFFF"/>
                <w:sz w:val="20"/>
                <w:szCs w:val="20"/>
              </w:rPr>
              <w:t>181</w:t>
            </w:r>
          </w:p>
        </w:tc>
        <w:tc>
          <w:tcPr>
            <w:tcW w:w="1481" w:type="dxa"/>
            <w:tcBorders>
              <w:top w:val="nil"/>
              <w:left w:val="nil"/>
              <w:bottom w:val="nil"/>
              <w:right w:val="nil"/>
            </w:tcBorders>
            <w:shd w:val="clear" w:color="000000" w:fill="2C5A6C"/>
            <w:noWrap/>
            <w:vAlign w:val="center"/>
            <w:hideMark/>
          </w:tcPr>
          <w:p w14:paraId="185B4889" w14:textId="77777777" w:rsidR="00572F25" w:rsidRPr="004E37F8" w:rsidRDefault="00572F25" w:rsidP="00140544">
            <w:pPr>
              <w:spacing w:after="0"/>
              <w:jc w:val="center"/>
              <w:rPr>
                <w:rFonts w:cs="Arial"/>
                <w:color w:val="FFFFFF"/>
                <w:sz w:val="20"/>
                <w:szCs w:val="20"/>
              </w:rPr>
            </w:pPr>
            <w:r w:rsidRPr="004E37F8">
              <w:rPr>
                <w:rFonts w:cs="Arial"/>
                <w:color w:val="FFFFFF"/>
                <w:sz w:val="20"/>
                <w:szCs w:val="20"/>
              </w:rPr>
              <w:t>100</w:t>
            </w:r>
          </w:p>
        </w:tc>
        <w:tc>
          <w:tcPr>
            <w:tcW w:w="1418" w:type="dxa"/>
            <w:tcBorders>
              <w:top w:val="nil"/>
              <w:left w:val="nil"/>
              <w:bottom w:val="nil"/>
              <w:right w:val="nil"/>
            </w:tcBorders>
            <w:shd w:val="clear" w:color="000000" w:fill="2C5A6C"/>
            <w:noWrap/>
            <w:vAlign w:val="center"/>
            <w:hideMark/>
          </w:tcPr>
          <w:p w14:paraId="00FA6E57" w14:textId="77777777" w:rsidR="00572F25" w:rsidRPr="004E37F8" w:rsidRDefault="00572F25" w:rsidP="00140544">
            <w:pPr>
              <w:spacing w:after="0"/>
              <w:jc w:val="center"/>
              <w:rPr>
                <w:rFonts w:cs="Arial"/>
                <w:color w:val="FFFFFF"/>
                <w:sz w:val="20"/>
                <w:szCs w:val="20"/>
              </w:rPr>
            </w:pPr>
            <w:r w:rsidRPr="004E37F8">
              <w:rPr>
                <w:rFonts w:cs="Arial"/>
                <w:color w:val="FFFFFF"/>
                <w:sz w:val="20"/>
                <w:szCs w:val="20"/>
              </w:rPr>
              <w:t>809</w:t>
            </w:r>
          </w:p>
        </w:tc>
        <w:tc>
          <w:tcPr>
            <w:tcW w:w="1701" w:type="dxa"/>
            <w:tcBorders>
              <w:top w:val="nil"/>
              <w:left w:val="nil"/>
              <w:bottom w:val="nil"/>
              <w:right w:val="nil"/>
            </w:tcBorders>
            <w:shd w:val="clear" w:color="000000" w:fill="2C5A6C"/>
            <w:noWrap/>
            <w:vAlign w:val="center"/>
            <w:hideMark/>
          </w:tcPr>
          <w:p w14:paraId="2267A66C" w14:textId="77777777" w:rsidR="00572F25" w:rsidRPr="004E37F8" w:rsidRDefault="00572F25" w:rsidP="00140544">
            <w:pPr>
              <w:spacing w:after="0"/>
              <w:jc w:val="center"/>
              <w:rPr>
                <w:rFonts w:cs="Arial"/>
                <w:color w:val="FFFFFF"/>
                <w:sz w:val="20"/>
                <w:szCs w:val="20"/>
              </w:rPr>
            </w:pPr>
            <w:r w:rsidRPr="004E37F8">
              <w:rPr>
                <w:rFonts w:cs="Arial"/>
                <w:color w:val="FFFFFF"/>
                <w:sz w:val="20"/>
                <w:szCs w:val="20"/>
              </w:rPr>
              <w:t>22.4</w:t>
            </w:r>
          </w:p>
        </w:tc>
      </w:tr>
    </w:tbl>
    <w:bookmarkEnd w:id="139"/>
    <w:p w14:paraId="21A5CD58" w14:textId="77777777" w:rsidR="00572F25" w:rsidRPr="008222BE" w:rsidRDefault="00572F25" w:rsidP="00572F25">
      <w:pPr>
        <w:pStyle w:val="FootnoteText"/>
        <w:spacing w:before="240" w:line="276" w:lineRule="auto"/>
        <w:rPr>
          <w:rFonts w:cs="Arial"/>
          <w:sz w:val="18"/>
          <w:szCs w:val="18"/>
        </w:rPr>
      </w:pPr>
      <w:r>
        <w:rPr>
          <w:rFonts w:cs="Arial"/>
          <w:sz w:val="18"/>
          <w:szCs w:val="18"/>
        </w:rPr>
        <w:t xml:space="preserve">* </w:t>
      </w:r>
      <w:r w:rsidRPr="008222BE">
        <w:rPr>
          <w:rFonts w:cs="Arial"/>
          <w:sz w:val="18"/>
          <w:szCs w:val="18"/>
        </w:rPr>
        <w:t xml:space="preserve">Australian Institute of Health and Welfare. Australian hospital peer groups. Health services series no. 66. Cat. no. HSE 170. </w:t>
      </w:r>
      <w:r>
        <w:rPr>
          <w:rFonts w:cs="Arial"/>
          <w:sz w:val="18"/>
          <w:szCs w:val="18"/>
        </w:rPr>
        <w:t xml:space="preserve">Canberra: </w:t>
      </w:r>
      <w:r w:rsidRPr="008222BE">
        <w:rPr>
          <w:rFonts w:cs="Arial"/>
          <w:sz w:val="18"/>
          <w:szCs w:val="18"/>
        </w:rPr>
        <w:t>AIHW; 2015</w:t>
      </w:r>
      <w:r>
        <w:rPr>
          <w:rFonts w:cs="Arial"/>
          <w:sz w:val="18"/>
          <w:szCs w:val="18"/>
        </w:rPr>
        <w:t>.</w:t>
      </w:r>
    </w:p>
    <w:p w14:paraId="70C36CED" w14:textId="77777777" w:rsidR="00572F25" w:rsidRDefault="00572F25" w:rsidP="00572F25">
      <w:pPr>
        <w:spacing w:after="0"/>
        <w:rPr>
          <w:highlight w:val="cyan"/>
        </w:rPr>
      </w:pPr>
    </w:p>
    <w:p w14:paraId="1436B6A3" w14:textId="77777777" w:rsidR="00572F25" w:rsidRPr="003B6B00" w:rsidRDefault="00572F25" w:rsidP="00572F25">
      <w:r>
        <w:br w:type="page"/>
      </w:r>
    </w:p>
    <w:p w14:paraId="12094C7B" w14:textId="77777777" w:rsidR="00572F25" w:rsidRDefault="00572F25" w:rsidP="00572F25">
      <w:pPr>
        <w:pStyle w:val="Captions"/>
      </w:pPr>
      <w:r>
        <w:lastRenderedPageBreak/>
        <w:t>Figure A2</w:t>
      </w:r>
      <w:r w:rsidRPr="00E67DFA">
        <w:t>.</w:t>
      </w:r>
      <w:r>
        <w:t>4</w:t>
      </w:r>
      <w:r w:rsidRPr="00E67DFA">
        <w:t>:</w:t>
      </w:r>
      <w:r w:rsidRPr="00E67DFA">
        <w:tab/>
        <w:t>Percentage of</w:t>
      </w:r>
      <w:r w:rsidRPr="00587A6B">
        <w:t xml:space="preserve"> </w:t>
      </w:r>
      <w:r w:rsidRPr="00684D0C">
        <w:t>appropriateness</w:t>
      </w:r>
      <w:r>
        <w:t>*</w:t>
      </w:r>
      <w:r w:rsidRPr="00E67DFA">
        <w:t xml:space="preserve"> for</w:t>
      </w:r>
      <w:r>
        <w:t xml:space="preserve"> </w:t>
      </w:r>
      <w:r w:rsidRPr="00E67DFA">
        <w:t xml:space="preserve">procedural antimicrobial </w:t>
      </w:r>
      <w:r>
        <w:t>dose</w:t>
      </w:r>
      <w:r w:rsidRPr="0070324B">
        <w:rPr>
          <w:rFonts w:cstheme="minorHAnsi"/>
          <w:sz w:val="18"/>
          <w:szCs w:val="18"/>
          <w:vertAlign w:val="superscript"/>
        </w:rPr>
        <w:t>†</w:t>
      </w:r>
      <w:r>
        <w:rPr>
          <w:rFonts w:cstheme="minorHAnsi"/>
          <w:sz w:val="18"/>
          <w:szCs w:val="18"/>
        </w:rPr>
        <w:t xml:space="preserve">, </w:t>
      </w:r>
      <w:r w:rsidRPr="00E67DFA">
        <w:t xml:space="preserve">Surgical </w:t>
      </w:r>
      <w:r>
        <w:rPr>
          <w:rFonts w:cs="Arial"/>
        </w:rPr>
        <w:t>NAPS</w:t>
      </w:r>
      <w:r>
        <w:t xml:space="preserve"> contributor facilities, 2021</w:t>
      </w:r>
    </w:p>
    <w:p w14:paraId="6DC54431" w14:textId="43D5F06E" w:rsidR="00C05F79" w:rsidRDefault="00C05F79" w:rsidP="00572F25">
      <w:r w:rsidRPr="000C2240">
        <w:rPr>
          <w:noProof/>
          <w:shd w:val="clear" w:color="auto" w:fill="3998B5"/>
        </w:rPr>
        <w:drawing>
          <wp:inline distT="0" distB="0" distL="0" distR="0" wp14:anchorId="017583B5" wp14:editId="6187C97B">
            <wp:extent cx="5941060" cy="2952856"/>
            <wp:effectExtent l="0" t="0" r="15240" b="6350"/>
            <wp:docPr id="13" name="Chart 11" descr="This is a bar graph showing the appropriateness levels for procedural antimicrobial doses in  Surgical NAPS contributor facilities in 2021, expressed as a percentage of all procedural antimicrobial doses."/>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00A8EBA" w14:textId="77777777" w:rsidR="00572F25" w:rsidRPr="009F6156" w:rsidRDefault="00572F25" w:rsidP="00572F25">
      <w:pPr>
        <w:pStyle w:val="Notes"/>
        <w:rPr>
          <w:rFonts w:cs="Arial"/>
        </w:rPr>
      </w:pPr>
      <w:r w:rsidRPr="0004789B">
        <w:t xml:space="preserve">* Refer to </w:t>
      </w:r>
      <w:hyperlink w:anchor="_Appendix_7:_Surgical" w:history="1">
        <w:r w:rsidRPr="00150C51">
          <w:rPr>
            <w:rStyle w:val="Hyperlink"/>
          </w:rPr>
          <w:t>Appendix 7: Surgical NAPS appropriateness definitions</w:t>
        </w:r>
      </w:hyperlink>
      <w:r>
        <w:t>.</w:t>
      </w:r>
    </w:p>
    <w:p w14:paraId="4012625E" w14:textId="77777777" w:rsidR="00572F25" w:rsidRPr="003B6B00" w:rsidRDefault="00572F25" w:rsidP="00572F25">
      <w:pPr>
        <w:pStyle w:val="Notes"/>
      </w:pPr>
      <w:r w:rsidRPr="003B6B00">
        <w:rPr>
          <w:vertAlign w:val="superscript"/>
        </w:rPr>
        <w:t>†</w:t>
      </w:r>
      <w:r w:rsidRPr="00720C31">
        <w:t xml:space="preserve"> n=9,599 procedural antimicrobial doses</w:t>
      </w:r>
      <w:r>
        <w:t>.</w:t>
      </w:r>
    </w:p>
    <w:p w14:paraId="1C548019" w14:textId="77777777" w:rsidR="00572F25" w:rsidRPr="00195C5D" w:rsidRDefault="00572F25" w:rsidP="00572F25">
      <w:pPr>
        <w:pStyle w:val="Captions"/>
      </w:pPr>
      <w:r w:rsidRPr="00E67DFA">
        <w:t xml:space="preserve">Figure </w:t>
      </w:r>
      <w:r>
        <w:t>A2</w:t>
      </w:r>
      <w:r w:rsidRPr="00E67DFA">
        <w:t>.5:</w:t>
      </w:r>
      <w:r w:rsidRPr="00E67DFA">
        <w:tab/>
        <w:t>Percentage of appropriateness</w:t>
      </w:r>
      <w:r>
        <w:t>*</w:t>
      </w:r>
      <w:r w:rsidRPr="00E67DFA">
        <w:t xml:space="preserve"> for post</w:t>
      </w:r>
      <w:r>
        <w:t>-</w:t>
      </w:r>
      <w:r w:rsidRPr="00E67DFA">
        <w:t>procedural prophylactic antimicrobial prescriptions</w:t>
      </w:r>
      <w:r w:rsidRPr="0070324B">
        <w:rPr>
          <w:rFonts w:cstheme="minorHAnsi"/>
          <w:sz w:val="18"/>
          <w:szCs w:val="18"/>
          <w:vertAlign w:val="superscript"/>
        </w:rPr>
        <w:t>†</w:t>
      </w:r>
      <w:r w:rsidRPr="00E67DFA">
        <w:t xml:space="preserve">, Surgical </w:t>
      </w:r>
      <w:r>
        <w:t>NAPS</w:t>
      </w:r>
      <w:r w:rsidRPr="00E67DFA">
        <w:t xml:space="preserve"> contributor facilities, 20</w:t>
      </w:r>
      <w:r>
        <w:t>21</w:t>
      </w:r>
    </w:p>
    <w:p w14:paraId="6A676EA8" w14:textId="1D0D1E37" w:rsidR="00C05F79" w:rsidRDefault="00C05F79" w:rsidP="00572F25">
      <w:pPr>
        <w:spacing w:after="0"/>
      </w:pPr>
      <w:r w:rsidRPr="00EF3FFF">
        <w:rPr>
          <w:noProof/>
        </w:rPr>
        <w:drawing>
          <wp:inline distT="0" distB="0" distL="0" distR="0" wp14:anchorId="1B4CEF23" wp14:editId="2601F30E">
            <wp:extent cx="5941060" cy="3190826"/>
            <wp:effectExtent l="0" t="0" r="15240" b="10160"/>
            <wp:docPr id="14" name="Chart 12" descr="This is a bar graph showing the appropriateness levels for post-procedural prophylactic antimicrobial prescriptions in Surgical NAPS contributor facilities in 2021, expressed as a percentage of all post-procedural prophylactic antimicrobial prescriptions."/>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68913F4" w14:textId="77777777" w:rsidR="00572F25" w:rsidRPr="0004789B" w:rsidRDefault="00572F25" w:rsidP="00572F25">
      <w:pPr>
        <w:pStyle w:val="Notes"/>
      </w:pPr>
      <w:r w:rsidRPr="0004789B">
        <w:t xml:space="preserve">* Refer to </w:t>
      </w:r>
      <w:hyperlink w:anchor="_Appendix_7:_Surgical" w:history="1">
        <w:r w:rsidRPr="00150C51">
          <w:rPr>
            <w:rStyle w:val="Hyperlink"/>
          </w:rPr>
          <w:t>Appendix 7: Surgical NAPS appropriateness definitions</w:t>
        </w:r>
      </w:hyperlink>
      <w:r>
        <w:t>.</w:t>
      </w:r>
    </w:p>
    <w:p w14:paraId="53CF3ADA" w14:textId="77777777" w:rsidR="00572F25" w:rsidRDefault="00572F25" w:rsidP="00572F25">
      <w:pPr>
        <w:pStyle w:val="Notes"/>
        <w:rPr>
          <w:highlight w:val="cyan"/>
        </w:rPr>
      </w:pPr>
      <w:r w:rsidRPr="003B6B00">
        <w:rPr>
          <w:vertAlign w:val="superscript"/>
        </w:rPr>
        <w:t xml:space="preserve">† </w:t>
      </w:r>
      <w:r w:rsidRPr="0004789B">
        <w:t>n=</w:t>
      </w:r>
      <w:r>
        <w:t>4,585</w:t>
      </w:r>
      <w:r w:rsidRPr="0004789B">
        <w:t xml:space="preserve"> prescriptions for post</w:t>
      </w:r>
      <w:r>
        <w:t>-</w:t>
      </w:r>
      <w:r w:rsidRPr="0004789B">
        <w:t>procedural prophylaxis</w:t>
      </w:r>
      <w:r>
        <w:t>.</w:t>
      </w:r>
      <w:r>
        <w:rPr>
          <w:highlight w:val="cyan"/>
        </w:rPr>
        <w:br w:type="page"/>
      </w:r>
    </w:p>
    <w:p w14:paraId="50119469" w14:textId="77777777" w:rsidR="00572F25" w:rsidRDefault="00572F25" w:rsidP="00572F25">
      <w:pPr>
        <w:pStyle w:val="Heading1"/>
        <w:jc w:val="both"/>
      </w:pPr>
      <w:bookmarkStart w:id="141" w:name="_Appendix_3:_Additional"/>
      <w:bookmarkStart w:id="142" w:name="_Toc126664215"/>
      <w:bookmarkEnd w:id="141"/>
      <w:r>
        <w:lastRenderedPageBreak/>
        <w:t>Appendix 3: Additional analyses</w:t>
      </w:r>
      <w:bookmarkEnd w:id="142"/>
    </w:p>
    <w:p w14:paraId="4D776A78" w14:textId="77777777" w:rsidR="00572F25" w:rsidRDefault="00572F25" w:rsidP="00572F25">
      <w:pPr>
        <w:pStyle w:val="Heading2"/>
        <w:ind w:left="576" w:hanging="576"/>
        <w:jc w:val="both"/>
      </w:pPr>
      <w:bookmarkStart w:id="143" w:name="_Toc126664216"/>
      <w:r>
        <w:t>Antimicrobial choice</w:t>
      </w:r>
      <w:bookmarkEnd w:id="143"/>
    </w:p>
    <w:p w14:paraId="793C4DC4" w14:textId="77777777" w:rsidR="00572F25" w:rsidRPr="00FB18CE" w:rsidRDefault="00572F25" w:rsidP="00572F25">
      <w:pPr>
        <w:rPr>
          <w:highlight w:val="cyan"/>
        </w:rPr>
      </w:pPr>
      <w:r w:rsidRPr="000A6C84">
        <w:t xml:space="preserve">Cefazolin was the </w:t>
      </w:r>
      <w:proofErr w:type="gramStart"/>
      <w:r w:rsidRPr="000A6C84">
        <w:t>most commonly prescribed</w:t>
      </w:r>
      <w:proofErr w:type="gramEnd"/>
      <w:r w:rsidRPr="000A6C84">
        <w:t xml:space="preserve"> antimicrobial</w:t>
      </w:r>
      <w:r>
        <w:t>,</w:t>
      </w:r>
      <w:r w:rsidRPr="000A6C84">
        <w:t xml:space="preserve"> accounting for </w:t>
      </w:r>
      <w:r>
        <w:t>81.0</w:t>
      </w:r>
      <w:r w:rsidRPr="005F1946">
        <w:t xml:space="preserve">% of prescriptions of </w:t>
      </w:r>
      <w:r w:rsidRPr="00CD6903">
        <w:t>procedural and 55.9% of</w:t>
      </w:r>
      <w:r w:rsidRPr="005F1946">
        <w:t xml:space="preserve"> post</w:t>
      </w:r>
      <w:r>
        <w:t>-</w:t>
      </w:r>
      <w:r w:rsidRPr="005F1946">
        <w:t>procedural prescriptions</w:t>
      </w:r>
      <w:r>
        <w:t xml:space="preserve"> in 2021</w:t>
      </w:r>
      <w:r w:rsidRPr="005F1946">
        <w:t xml:space="preserve">. </w:t>
      </w:r>
    </w:p>
    <w:p w14:paraId="19803FAF" w14:textId="77777777" w:rsidR="00572F25" w:rsidRPr="002E1055" w:rsidRDefault="00572F25" w:rsidP="00977AD6">
      <w:pPr>
        <w:pStyle w:val="Heading3"/>
      </w:pPr>
      <w:r w:rsidRPr="002E1055">
        <w:t xml:space="preserve">Procedural </w:t>
      </w:r>
    </w:p>
    <w:p w14:paraId="6817CA34" w14:textId="77777777" w:rsidR="00572F25" w:rsidRPr="00CB6BBC" w:rsidRDefault="00572F25" w:rsidP="00572F25">
      <w:pPr>
        <w:spacing w:after="240"/>
        <w:rPr>
          <w:rFonts w:cs="Arial"/>
          <w:highlight w:val="cyan"/>
        </w:rPr>
      </w:pPr>
      <w:r w:rsidRPr="002E1055">
        <w:rPr>
          <w:rFonts w:cs="Arial"/>
        </w:rPr>
        <w:t xml:space="preserve">The top </w:t>
      </w:r>
      <w:r>
        <w:rPr>
          <w:rFonts w:cs="Arial"/>
        </w:rPr>
        <w:t>5</w:t>
      </w:r>
      <w:r w:rsidRPr="002E1055">
        <w:rPr>
          <w:rFonts w:cs="Arial"/>
        </w:rPr>
        <w:t xml:space="preserve"> procedural </w:t>
      </w:r>
      <w:r w:rsidRPr="0093552D">
        <w:rPr>
          <w:rFonts w:cs="Arial"/>
        </w:rPr>
        <w:t xml:space="preserve">antimicrobials prescribed accounted for </w:t>
      </w:r>
      <w:r>
        <w:rPr>
          <w:rFonts w:cs="Arial"/>
        </w:rPr>
        <w:t>93.6</w:t>
      </w:r>
      <w:r w:rsidRPr="0093552D">
        <w:rPr>
          <w:rFonts w:cs="Arial"/>
        </w:rPr>
        <w:t>% of all antimicrobials: cefazolin (</w:t>
      </w:r>
      <w:r>
        <w:rPr>
          <w:rFonts w:cs="Arial"/>
        </w:rPr>
        <w:t>81.0</w:t>
      </w:r>
      <w:r w:rsidRPr="0093552D">
        <w:rPr>
          <w:rFonts w:cs="Arial"/>
        </w:rPr>
        <w:t>%), metronidazole (</w:t>
      </w:r>
      <w:r>
        <w:rPr>
          <w:rFonts w:cs="Arial"/>
        </w:rPr>
        <w:t>5.7</w:t>
      </w:r>
      <w:r w:rsidRPr="0093552D">
        <w:rPr>
          <w:rFonts w:cs="Arial"/>
        </w:rPr>
        <w:t>%), gentamicin (3.</w:t>
      </w:r>
      <w:r>
        <w:rPr>
          <w:rFonts w:cs="Arial"/>
        </w:rPr>
        <w:t>4</w:t>
      </w:r>
      <w:r w:rsidRPr="0093552D">
        <w:rPr>
          <w:rFonts w:cs="Arial"/>
        </w:rPr>
        <w:t>%), vancomycin</w:t>
      </w:r>
      <w:r>
        <w:rPr>
          <w:rFonts w:cs="Arial"/>
        </w:rPr>
        <w:t xml:space="preserve"> (2.1</w:t>
      </w:r>
      <w:r w:rsidRPr="0093552D">
        <w:rPr>
          <w:rFonts w:cs="Arial"/>
        </w:rPr>
        <w:t>%)</w:t>
      </w:r>
      <w:r>
        <w:rPr>
          <w:rFonts w:cs="Arial"/>
        </w:rPr>
        <w:t xml:space="preserve"> and </w:t>
      </w:r>
      <w:r w:rsidRPr="0093552D">
        <w:rPr>
          <w:rFonts w:cs="Arial"/>
        </w:rPr>
        <w:t>chloramphenicol (</w:t>
      </w:r>
      <w:r>
        <w:rPr>
          <w:rFonts w:cs="Arial"/>
        </w:rPr>
        <w:t>1</w:t>
      </w:r>
      <w:r w:rsidRPr="0093552D">
        <w:rPr>
          <w:rFonts w:cs="Arial"/>
        </w:rPr>
        <w:t>.4</w:t>
      </w:r>
      <w:r>
        <w:rPr>
          <w:rFonts w:cs="Arial"/>
        </w:rPr>
        <w:t>%),</w:t>
      </w:r>
      <w:r w:rsidRPr="0093552D">
        <w:rPr>
          <w:rFonts w:cs="Arial"/>
        </w:rPr>
        <w:t xml:space="preserve"> as shown in Table A</w:t>
      </w:r>
      <w:r>
        <w:rPr>
          <w:rFonts w:cs="Arial"/>
        </w:rPr>
        <w:t>3</w:t>
      </w:r>
      <w:r w:rsidRPr="0093552D">
        <w:rPr>
          <w:rFonts w:cs="Arial"/>
        </w:rPr>
        <w:t xml:space="preserve">.1. </w:t>
      </w:r>
      <w:r>
        <w:rPr>
          <w:rFonts w:cs="Arial"/>
        </w:rPr>
        <w:t>P</w:t>
      </w:r>
      <w:r w:rsidRPr="0093552D">
        <w:rPr>
          <w:rFonts w:cs="Arial"/>
        </w:rPr>
        <w:t>rescribing</w:t>
      </w:r>
      <w:r w:rsidRPr="000C7177">
        <w:rPr>
          <w:rFonts w:cs="Arial"/>
        </w:rPr>
        <w:t xml:space="preserve"> for cefazolin and metronidazole </w:t>
      </w:r>
      <w:r>
        <w:rPr>
          <w:rFonts w:cs="Arial"/>
        </w:rPr>
        <w:t xml:space="preserve">was associated </w:t>
      </w:r>
      <w:r w:rsidRPr="000C7177">
        <w:rPr>
          <w:rFonts w:cs="Arial"/>
        </w:rPr>
        <w:t>with low rates of inappropriateness (</w:t>
      </w:r>
      <w:r>
        <w:rPr>
          <w:rFonts w:cs="Arial"/>
        </w:rPr>
        <w:t>23.0</w:t>
      </w:r>
      <w:r w:rsidRPr="000C7177">
        <w:rPr>
          <w:rFonts w:cs="Arial"/>
        </w:rPr>
        <w:t xml:space="preserve">% and </w:t>
      </w:r>
      <w:r>
        <w:rPr>
          <w:rFonts w:cs="Arial"/>
        </w:rPr>
        <w:t>29.7</w:t>
      </w:r>
      <w:r w:rsidRPr="000C7177">
        <w:rPr>
          <w:rFonts w:cs="Arial"/>
        </w:rPr>
        <w:t xml:space="preserve">% respectively). Rates of prescribing deemed inappropriate were greater than </w:t>
      </w:r>
      <w:r>
        <w:rPr>
          <w:rFonts w:cs="Arial"/>
        </w:rPr>
        <w:t>7</w:t>
      </w:r>
      <w:r w:rsidRPr="000C7177">
        <w:rPr>
          <w:rFonts w:cs="Arial"/>
        </w:rPr>
        <w:t xml:space="preserve">0% for </w:t>
      </w:r>
      <w:r>
        <w:rPr>
          <w:rFonts w:cs="Arial"/>
        </w:rPr>
        <w:t>a</w:t>
      </w:r>
      <w:r w:rsidRPr="00A2513C">
        <w:rPr>
          <w:rFonts w:cs="Arial"/>
        </w:rPr>
        <w:t>moxicillin</w:t>
      </w:r>
      <w:r w:rsidRPr="000C7177">
        <w:rPr>
          <w:rFonts w:cs="Arial"/>
        </w:rPr>
        <w:t xml:space="preserve">, </w:t>
      </w:r>
      <w:r>
        <w:rPr>
          <w:rFonts w:cs="Arial"/>
        </w:rPr>
        <w:t>piperacillin–tazobactam,</w:t>
      </w:r>
      <w:r w:rsidRPr="000C7177">
        <w:rPr>
          <w:rFonts w:cs="Arial"/>
        </w:rPr>
        <w:t xml:space="preserve"> ceftriaxone</w:t>
      </w:r>
      <w:r>
        <w:rPr>
          <w:rFonts w:cs="Arial"/>
        </w:rPr>
        <w:t xml:space="preserve"> and trimethoprim</w:t>
      </w:r>
      <w:r w:rsidRPr="000C7177">
        <w:rPr>
          <w:rFonts w:cs="Arial"/>
        </w:rPr>
        <w:t xml:space="preserve">. </w:t>
      </w:r>
    </w:p>
    <w:p w14:paraId="73B51E7B" w14:textId="77777777" w:rsidR="00572F25" w:rsidRPr="00D6648C" w:rsidRDefault="00572F25" w:rsidP="00572F25">
      <w:pPr>
        <w:pStyle w:val="Captions"/>
      </w:pPr>
      <w:r w:rsidRPr="00D6648C">
        <w:t>Table A</w:t>
      </w:r>
      <w:r>
        <w:t>3</w:t>
      </w:r>
      <w:r w:rsidRPr="00D6648C">
        <w:t>.1:</w:t>
      </w:r>
      <w:r w:rsidRPr="00D6648C">
        <w:tab/>
        <w:t xml:space="preserve">Percentage and inappropriateness of procedural antimicrobial doses*, Surgical </w:t>
      </w:r>
      <w:r>
        <w:rPr>
          <w:rFonts w:cs="Arial"/>
        </w:rPr>
        <w:t>NAPS</w:t>
      </w:r>
      <w:r w:rsidRPr="00D6648C">
        <w:t xml:space="preserve"> contributor facilities, 20</w:t>
      </w:r>
      <w:r>
        <w:t>21</w:t>
      </w:r>
    </w:p>
    <w:tbl>
      <w:tblPr>
        <w:tblW w:w="7805" w:type="dxa"/>
        <w:tblLayout w:type="fixed"/>
        <w:tblLook w:val="04A0" w:firstRow="1" w:lastRow="0" w:firstColumn="1" w:lastColumn="0" w:noHBand="0" w:noVBand="1"/>
      </w:tblPr>
      <w:tblGrid>
        <w:gridCol w:w="2551"/>
        <w:gridCol w:w="1313"/>
        <w:gridCol w:w="1314"/>
        <w:gridCol w:w="1313"/>
        <w:gridCol w:w="1314"/>
      </w:tblGrid>
      <w:tr w:rsidR="00572F25" w:rsidRPr="00FB18CE" w14:paraId="4D25243A" w14:textId="77777777" w:rsidTr="00140544">
        <w:trPr>
          <w:trHeight w:val="347"/>
        </w:trPr>
        <w:tc>
          <w:tcPr>
            <w:tcW w:w="2551" w:type="dxa"/>
            <w:vMerge w:val="restart"/>
            <w:tcBorders>
              <w:top w:val="single" w:sz="8" w:space="0" w:color="ADD4D1"/>
              <w:left w:val="nil"/>
              <w:bottom w:val="nil"/>
              <w:right w:val="nil"/>
            </w:tcBorders>
            <w:shd w:val="clear" w:color="000000" w:fill="E8B092"/>
            <w:noWrap/>
            <w:vAlign w:val="center"/>
            <w:hideMark/>
          </w:tcPr>
          <w:p w14:paraId="065F3C9D" w14:textId="77777777" w:rsidR="00572F25" w:rsidRPr="000B5A43" w:rsidRDefault="00572F25" w:rsidP="00140544">
            <w:pPr>
              <w:spacing w:after="0"/>
              <w:rPr>
                <w:rFonts w:cs="Arial"/>
                <w:color w:val="auto"/>
                <w:sz w:val="20"/>
                <w:szCs w:val="20"/>
              </w:rPr>
            </w:pPr>
            <w:r w:rsidRPr="000B5A43">
              <w:rPr>
                <w:rFonts w:cs="Arial"/>
                <w:color w:val="auto"/>
                <w:sz w:val="20"/>
                <w:szCs w:val="20"/>
              </w:rPr>
              <w:t>Antimicrobial</w:t>
            </w:r>
          </w:p>
        </w:tc>
        <w:tc>
          <w:tcPr>
            <w:tcW w:w="2627" w:type="dxa"/>
            <w:gridSpan w:val="2"/>
            <w:tcBorders>
              <w:top w:val="single" w:sz="8" w:space="0" w:color="ADD4D1"/>
              <w:left w:val="nil"/>
              <w:bottom w:val="nil"/>
              <w:right w:val="nil"/>
            </w:tcBorders>
            <w:shd w:val="clear" w:color="000000" w:fill="E8B092"/>
            <w:noWrap/>
            <w:vAlign w:val="center"/>
            <w:hideMark/>
          </w:tcPr>
          <w:p w14:paraId="0EA5041E" w14:textId="77777777" w:rsidR="00572F25" w:rsidRPr="000B5A43" w:rsidRDefault="00572F25" w:rsidP="00140544">
            <w:pPr>
              <w:spacing w:after="0"/>
              <w:jc w:val="center"/>
              <w:rPr>
                <w:rFonts w:cs="Arial"/>
                <w:color w:val="auto"/>
                <w:sz w:val="20"/>
                <w:szCs w:val="20"/>
              </w:rPr>
            </w:pPr>
            <w:r w:rsidRPr="000B5A43">
              <w:rPr>
                <w:rFonts w:cs="Arial"/>
                <w:color w:val="auto"/>
                <w:sz w:val="20"/>
                <w:szCs w:val="20"/>
              </w:rPr>
              <w:t>Total doses prescribed</w:t>
            </w:r>
          </w:p>
        </w:tc>
        <w:tc>
          <w:tcPr>
            <w:tcW w:w="2627" w:type="dxa"/>
            <w:gridSpan w:val="2"/>
            <w:tcBorders>
              <w:top w:val="single" w:sz="8" w:space="0" w:color="ADD4D1"/>
              <w:left w:val="nil"/>
              <w:bottom w:val="nil"/>
              <w:right w:val="nil"/>
            </w:tcBorders>
            <w:shd w:val="clear" w:color="000000" w:fill="E8B092"/>
            <w:vAlign w:val="center"/>
            <w:hideMark/>
          </w:tcPr>
          <w:p w14:paraId="6B9BA566" w14:textId="77777777" w:rsidR="00572F25" w:rsidRPr="000B5A43" w:rsidRDefault="00572F25" w:rsidP="00140544">
            <w:pPr>
              <w:spacing w:after="0"/>
              <w:jc w:val="center"/>
              <w:rPr>
                <w:rFonts w:cs="Arial"/>
                <w:color w:val="auto"/>
                <w:sz w:val="20"/>
                <w:szCs w:val="20"/>
              </w:rPr>
            </w:pPr>
            <w:r w:rsidRPr="000B5A43">
              <w:rPr>
                <w:rFonts w:cs="Arial"/>
                <w:color w:val="auto"/>
                <w:sz w:val="20"/>
                <w:szCs w:val="20"/>
              </w:rPr>
              <w:t>Inappropriate</w:t>
            </w:r>
          </w:p>
        </w:tc>
      </w:tr>
      <w:tr w:rsidR="00572F25" w:rsidRPr="00FB18CE" w14:paraId="15FE664D" w14:textId="77777777" w:rsidTr="00140544">
        <w:trPr>
          <w:trHeight w:val="347"/>
        </w:trPr>
        <w:tc>
          <w:tcPr>
            <w:tcW w:w="2551" w:type="dxa"/>
            <w:vMerge/>
            <w:tcBorders>
              <w:top w:val="single" w:sz="8" w:space="0" w:color="ADD4D1"/>
              <w:left w:val="nil"/>
              <w:bottom w:val="nil"/>
              <w:right w:val="nil"/>
            </w:tcBorders>
            <w:vAlign w:val="center"/>
            <w:hideMark/>
          </w:tcPr>
          <w:p w14:paraId="24EBADBF" w14:textId="77777777" w:rsidR="00572F25" w:rsidRPr="000B5A43" w:rsidRDefault="00572F25" w:rsidP="00140544">
            <w:pPr>
              <w:spacing w:after="0"/>
              <w:rPr>
                <w:rFonts w:cs="Arial"/>
                <w:color w:val="auto"/>
                <w:sz w:val="20"/>
                <w:szCs w:val="20"/>
              </w:rPr>
            </w:pPr>
          </w:p>
        </w:tc>
        <w:tc>
          <w:tcPr>
            <w:tcW w:w="2627" w:type="dxa"/>
            <w:gridSpan w:val="2"/>
            <w:tcBorders>
              <w:top w:val="nil"/>
              <w:left w:val="nil"/>
              <w:bottom w:val="nil"/>
              <w:right w:val="nil"/>
            </w:tcBorders>
            <w:shd w:val="clear" w:color="000000" w:fill="E8B092"/>
            <w:noWrap/>
            <w:vAlign w:val="center"/>
            <w:hideMark/>
          </w:tcPr>
          <w:p w14:paraId="007548B7" w14:textId="77777777" w:rsidR="00572F25" w:rsidRPr="000B5A43" w:rsidRDefault="00572F25" w:rsidP="00140544">
            <w:pPr>
              <w:spacing w:after="0"/>
              <w:jc w:val="center"/>
              <w:rPr>
                <w:rFonts w:cs="Arial"/>
                <w:color w:val="auto"/>
                <w:sz w:val="20"/>
                <w:szCs w:val="20"/>
              </w:rPr>
            </w:pPr>
            <w:r w:rsidRPr="000B5A43">
              <w:rPr>
                <w:rFonts w:cs="Arial"/>
                <w:color w:val="auto"/>
                <w:sz w:val="20"/>
                <w:szCs w:val="20"/>
              </w:rPr>
              <w:t>(n) (%)</w:t>
            </w:r>
          </w:p>
        </w:tc>
        <w:tc>
          <w:tcPr>
            <w:tcW w:w="2627" w:type="dxa"/>
            <w:gridSpan w:val="2"/>
            <w:tcBorders>
              <w:top w:val="nil"/>
              <w:left w:val="nil"/>
              <w:bottom w:val="nil"/>
              <w:right w:val="nil"/>
            </w:tcBorders>
            <w:shd w:val="clear" w:color="000000" w:fill="E8B092"/>
            <w:vAlign w:val="center"/>
            <w:hideMark/>
          </w:tcPr>
          <w:p w14:paraId="2E733D2B" w14:textId="77777777" w:rsidR="00572F25" w:rsidRPr="000B5A43" w:rsidRDefault="00572F25" w:rsidP="00140544">
            <w:pPr>
              <w:spacing w:after="0"/>
              <w:jc w:val="center"/>
              <w:rPr>
                <w:rFonts w:cs="Arial"/>
                <w:color w:val="auto"/>
                <w:sz w:val="20"/>
                <w:szCs w:val="20"/>
              </w:rPr>
            </w:pPr>
            <w:r w:rsidRPr="000B5A43">
              <w:rPr>
                <w:rFonts w:cs="Arial"/>
                <w:color w:val="auto"/>
                <w:sz w:val="20"/>
                <w:szCs w:val="20"/>
              </w:rPr>
              <w:t>(n) (%)</w:t>
            </w:r>
          </w:p>
        </w:tc>
      </w:tr>
      <w:tr w:rsidR="00572F25" w:rsidRPr="00FB18CE" w14:paraId="62F3609D" w14:textId="77777777" w:rsidTr="00140544">
        <w:trPr>
          <w:trHeight w:val="347"/>
        </w:trPr>
        <w:tc>
          <w:tcPr>
            <w:tcW w:w="2551" w:type="dxa"/>
            <w:tcBorders>
              <w:top w:val="nil"/>
              <w:left w:val="nil"/>
              <w:bottom w:val="nil"/>
              <w:right w:val="nil"/>
            </w:tcBorders>
            <w:shd w:val="clear" w:color="auto" w:fill="auto"/>
            <w:noWrap/>
            <w:vAlign w:val="center"/>
            <w:hideMark/>
          </w:tcPr>
          <w:p w14:paraId="5BA7687B" w14:textId="77777777" w:rsidR="00572F25" w:rsidRPr="00FB18CE" w:rsidRDefault="00572F25" w:rsidP="00140544">
            <w:pPr>
              <w:spacing w:after="0"/>
              <w:rPr>
                <w:rFonts w:cs="Arial"/>
                <w:color w:val="000000"/>
                <w:sz w:val="18"/>
                <w:szCs w:val="18"/>
              </w:rPr>
            </w:pPr>
            <w:r w:rsidRPr="00FB18CE">
              <w:rPr>
                <w:rFonts w:cs="Arial"/>
                <w:color w:val="000000"/>
                <w:sz w:val="18"/>
                <w:szCs w:val="18"/>
              </w:rPr>
              <w:t>Cefazolin</w:t>
            </w:r>
          </w:p>
        </w:tc>
        <w:tc>
          <w:tcPr>
            <w:tcW w:w="1313" w:type="dxa"/>
            <w:tcBorders>
              <w:top w:val="nil"/>
              <w:left w:val="nil"/>
              <w:bottom w:val="nil"/>
              <w:right w:val="nil"/>
            </w:tcBorders>
            <w:shd w:val="clear" w:color="auto" w:fill="auto"/>
            <w:noWrap/>
            <w:vAlign w:val="center"/>
            <w:hideMark/>
          </w:tcPr>
          <w:p w14:paraId="40602A56" w14:textId="77777777" w:rsidR="00572F25" w:rsidRPr="00195C5D" w:rsidRDefault="00572F25" w:rsidP="00140544">
            <w:pPr>
              <w:spacing w:after="0"/>
              <w:jc w:val="right"/>
              <w:rPr>
                <w:rFonts w:cs="Arial"/>
                <w:color w:val="000000"/>
                <w:sz w:val="18"/>
                <w:szCs w:val="18"/>
              </w:rPr>
            </w:pPr>
            <w:r w:rsidRPr="0043203A">
              <w:rPr>
                <w:rFonts w:cs="Arial"/>
                <w:color w:val="000000"/>
                <w:sz w:val="18"/>
                <w:szCs w:val="18"/>
              </w:rPr>
              <w:t>7,778</w:t>
            </w:r>
          </w:p>
        </w:tc>
        <w:tc>
          <w:tcPr>
            <w:tcW w:w="1314" w:type="dxa"/>
            <w:tcBorders>
              <w:top w:val="nil"/>
              <w:left w:val="nil"/>
              <w:bottom w:val="nil"/>
              <w:right w:val="nil"/>
            </w:tcBorders>
            <w:shd w:val="clear" w:color="auto" w:fill="auto"/>
            <w:noWrap/>
            <w:vAlign w:val="center"/>
            <w:hideMark/>
          </w:tcPr>
          <w:p w14:paraId="4444F9C3" w14:textId="77777777" w:rsidR="00572F25" w:rsidRPr="00FB18CE" w:rsidRDefault="00572F25" w:rsidP="00140544">
            <w:pPr>
              <w:spacing w:after="0"/>
              <w:rPr>
                <w:rFonts w:cs="Arial"/>
                <w:color w:val="000000"/>
                <w:sz w:val="18"/>
                <w:szCs w:val="18"/>
              </w:rPr>
            </w:pPr>
            <w:r w:rsidRPr="00FB18CE">
              <w:rPr>
                <w:rFonts w:cs="Arial"/>
                <w:color w:val="000000"/>
                <w:sz w:val="18"/>
                <w:szCs w:val="18"/>
              </w:rPr>
              <w:t>81.0</w:t>
            </w:r>
          </w:p>
        </w:tc>
        <w:tc>
          <w:tcPr>
            <w:tcW w:w="1313" w:type="dxa"/>
            <w:tcBorders>
              <w:top w:val="nil"/>
              <w:left w:val="nil"/>
              <w:bottom w:val="nil"/>
              <w:right w:val="nil"/>
            </w:tcBorders>
            <w:shd w:val="clear" w:color="auto" w:fill="auto"/>
            <w:noWrap/>
            <w:vAlign w:val="center"/>
            <w:hideMark/>
          </w:tcPr>
          <w:p w14:paraId="252E837C" w14:textId="77777777" w:rsidR="00572F25" w:rsidRPr="00FB18CE" w:rsidRDefault="00572F25" w:rsidP="00140544">
            <w:pPr>
              <w:spacing w:after="0"/>
              <w:jc w:val="right"/>
              <w:rPr>
                <w:rFonts w:cs="Arial"/>
                <w:color w:val="000000"/>
                <w:sz w:val="18"/>
                <w:szCs w:val="18"/>
              </w:rPr>
            </w:pPr>
            <w:r w:rsidRPr="00FB18CE">
              <w:rPr>
                <w:rFonts w:cs="Arial"/>
                <w:color w:val="000000"/>
                <w:sz w:val="18"/>
                <w:szCs w:val="18"/>
              </w:rPr>
              <w:t>1,791</w:t>
            </w:r>
          </w:p>
        </w:tc>
        <w:tc>
          <w:tcPr>
            <w:tcW w:w="1314" w:type="dxa"/>
            <w:tcBorders>
              <w:top w:val="nil"/>
              <w:left w:val="nil"/>
              <w:bottom w:val="nil"/>
              <w:right w:val="nil"/>
            </w:tcBorders>
            <w:shd w:val="clear" w:color="auto" w:fill="auto"/>
            <w:noWrap/>
            <w:vAlign w:val="center"/>
            <w:hideMark/>
          </w:tcPr>
          <w:p w14:paraId="0476F721" w14:textId="77777777" w:rsidR="00572F25" w:rsidRPr="00FB18CE" w:rsidRDefault="00572F25" w:rsidP="00140544">
            <w:pPr>
              <w:spacing w:after="0"/>
              <w:rPr>
                <w:rFonts w:cs="Arial"/>
                <w:color w:val="000000"/>
                <w:sz w:val="18"/>
                <w:szCs w:val="18"/>
              </w:rPr>
            </w:pPr>
            <w:r w:rsidRPr="00FB18CE">
              <w:rPr>
                <w:rFonts w:cs="Arial"/>
                <w:color w:val="000000"/>
                <w:sz w:val="18"/>
                <w:szCs w:val="18"/>
              </w:rPr>
              <w:t>23.0</w:t>
            </w:r>
          </w:p>
        </w:tc>
      </w:tr>
      <w:tr w:rsidR="00572F25" w:rsidRPr="00FB18CE" w14:paraId="7BF4A42C" w14:textId="77777777" w:rsidTr="00140544">
        <w:trPr>
          <w:trHeight w:val="347"/>
        </w:trPr>
        <w:tc>
          <w:tcPr>
            <w:tcW w:w="2551" w:type="dxa"/>
            <w:tcBorders>
              <w:top w:val="nil"/>
              <w:left w:val="nil"/>
              <w:bottom w:val="nil"/>
              <w:right w:val="nil"/>
            </w:tcBorders>
            <w:shd w:val="clear" w:color="000000" w:fill="F1F1F2"/>
            <w:noWrap/>
            <w:vAlign w:val="center"/>
            <w:hideMark/>
          </w:tcPr>
          <w:p w14:paraId="2DCE46A5" w14:textId="77777777" w:rsidR="00572F25" w:rsidRPr="00FB18CE" w:rsidRDefault="00572F25" w:rsidP="00140544">
            <w:pPr>
              <w:spacing w:after="0"/>
              <w:rPr>
                <w:rFonts w:cs="Arial"/>
                <w:color w:val="000000"/>
                <w:sz w:val="18"/>
                <w:szCs w:val="18"/>
              </w:rPr>
            </w:pPr>
            <w:r w:rsidRPr="00FB18CE">
              <w:rPr>
                <w:rFonts w:cs="Arial"/>
                <w:color w:val="000000"/>
                <w:sz w:val="18"/>
                <w:szCs w:val="18"/>
              </w:rPr>
              <w:t>Metronidazole</w:t>
            </w:r>
          </w:p>
        </w:tc>
        <w:tc>
          <w:tcPr>
            <w:tcW w:w="1313" w:type="dxa"/>
            <w:tcBorders>
              <w:top w:val="nil"/>
              <w:left w:val="nil"/>
              <w:bottom w:val="nil"/>
              <w:right w:val="nil"/>
            </w:tcBorders>
            <w:shd w:val="clear" w:color="000000" w:fill="EDEDED"/>
            <w:noWrap/>
            <w:vAlign w:val="center"/>
            <w:hideMark/>
          </w:tcPr>
          <w:p w14:paraId="5D78F916" w14:textId="77777777" w:rsidR="00572F25" w:rsidRPr="00195C5D" w:rsidRDefault="00572F25" w:rsidP="00140544">
            <w:pPr>
              <w:spacing w:after="0"/>
              <w:jc w:val="right"/>
              <w:rPr>
                <w:rFonts w:cs="Arial"/>
                <w:color w:val="000000"/>
                <w:sz w:val="18"/>
                <w:szCs w:val="18"/>
              </w:rPr>
            </w:pPr>
            <w:r w:rsidRPr="00195C5D">
              <w:rPr>
                <w:rFonts w:cs="Arial"/>
                <w:color w:val="000000"/>
                <w:sz w:val="18"/>
                <w:szCs w:val="18"/>
              </w:rPr>
              <w:t>546</w:t>
            </w:r>
          </w:p>
        </w:tc>
        <w:tc>
          <w:tcPr>
            <w:tcW w:w="1314" w:type="dxa"/>
            <w:tcBorders>
              <w:top w:val="nil"/>
              <w:left w:val="nil"/>
              <w:bottom w:val="nil"/>
              <w:right w:val="nil"/>
            </w:tcBorders>
            <w:shd w:val="clear" w:color="000000" w:fill="EDEDED"/>
            <w:noWrap/>
            <w:vAlign w:val="center"/>
            <w:hideMark/>
          </w:tcPr>
          <w:p w14:paraId="04F8B655" w14:textId="77777777" w:rsidR="00572F25" w:rsidRPr="00FB18CE" w:rsidRDefault="00572F25" w:rsidP="00140544">
            <w:pPr>
              <w:spacing w:after="0"/>
              <w:rPr>
                <w:rFonts w:cs="Arial"/>
                <w:color w:val="000000"/>
                <w:sz w:val="18"/>
                <w:szCs w:val="18"/>
              </w:rPr>
            </w:pPr>
            <w:r w:rsidRPr="00FB18CE">
              <w:rPr>
                <w:rFonts w:cs="Arial"/>
                <w:color w:val="000000"/>
                <w:sz w:val="18"/>
                <w:szCs w:val="18"/>
              </w:rPr>
              <w:t>5.7</w:t>
            </w:r>
          </w:p>
        </w:tc>
        <w:tc>
          <w:tcPr>
            <w:tcW w:w="1313" w:type="dxa"/>
            <w:tcBorders>
              <w:top w:val="nil"/>
              <w:left w:val="nil"/>
              <w:bottom w:val="nil"/>
              <w:right w:val="nil"/>
            </w:tcBorders>
            <w:shd w:val="clear" w:color="000000" w:fill="EDEDED"/>
            <w:noWrap/>
            <w:vAlign w:val="center"/>
            <w:hideMark/>
          </w:tcPr>
          <w:p w14:paraId="54779F96" w14:textId="77777777" w:rsidR="00572F25" w:rsidRPr="00FB18CE" w:rsidRDefault="00572F25" w:rsidP="00140544">
            <w:pPr>
              <w:spacing w:after="0"/>
              <w:jc w:val="right"/>
              <w:rPr>
                <w:rFonts w:cs="Arial"/>
                <w:color w:val="000000"/>
                <w:sz w:val="18"/>
                <w:szCs w:val="18"/>
              </w:rPr>
            </w:pPr>
            <w:r w:rsidRPr="00FB18CE">
              <w:rPr>
                <w:rFonts w:cs="Arial"/>
                <w:color w:val="000000"/>
                <w:sz w:val="18"/>
                <w:szCs w:val="18"/>
              </w:rPr>
              <w:t>162</w:t>
            </w:r>
          </w:p>
        </w:tc>
        <w:tc>
          <w:tcPr>
            <w:tcW w:w="1314" w:type="dxa"/>
            <w:tcBorders>
              <w:top w:val="nil"/>
              <w:left w:val="nil"/>
              <w:bottom w:val="nil"/>
              <w:right w:val="nil"/>
            </w:tcBorders>
            <w:shd w:val="clear" w:color="000000" w:fill="EDEDED"/>
            <w:noWrap/>
            <w:vAlign w:val="center"/>
            <w:hideMark/>
          </w:tcPr>
          <w:p w14:paraId="0C322CFD" w14:textId="77777777" w:rsidR="00572F25" w:rsidRPr="00FB18CE" w:rsidRDefault="00572F25" w:rsidP="00140544">
            <w:pPr>
              <w:spacing w:after="0"/>
              <w:rPr>
                <w:rFonts w:cs="Arial"/>
                <w:color w:val="000000"/>
                <w:sz w:val="18"/>
                <w:szCs w:val="18"/>
              </w:rPr>
            </w:pPr>
            <w:r w:rsidRPr="00FB18CE">
              <w:rPr>
                <w:rFonts w:cs="Arial"/>
                <w:color w:val="000000"/>
                <w:sz w:val="18"/>
                <w:szCs w:val="18"/>
              </w:rPr>
              <w:t>29.7</w:t>
            </w:r>
          </w:p>
        </w:tc>
      </w:tr>
      <w:tr w:rsidR="00572F25" w:rsidRPr="00FB18CE" w14:paraId="63FF882B" w14:textId="77777777" w:rsidTr="00140544">
        <w:trPr>
          <w:trHeight w:val="347"/>
        </w:trPr>
        <w:tc>
          <w:tcPr>
            <w:tcW w:w="2551" w:type="dxa"/>
            <w:tcBorders>
              <w:top w:val="nil"/>
              <w:left w:val="nil"/>
              <w:bottom w:val="nil"/>
              <w:right w:val="nil"/>
            </w:tcBorders>
            <w:shd w:val="clear" w:color="auto" w:fill="auto"/>
            <w:noWrap/>
            <w:vAlign w:val="center"/>
            <w:hideMark/>
          </w:tcPr>
          <w:p w14:paraId="734B2A03" w14:textId="77777777" w:rsidR="00572F25" w:rsidRPr="00FB18CE" w:rsidRDefault="00572F25" w:rsidP="00140544">
            <w:pPr>
              <w:spacing w:after="0"/>
              <w:rPr>
                <w:rFonts w:cs="Arial"/>
                <w:color w:val="000000"/>
                <w:sz w:val="18"/>
                <w:szCs w:val="18"/>
              </w:rPr>
            </w:pPr>
            <w:r w:rsidRPr="00FB18CE">
              <w:rPr>
                <w:rFonts w:cs="Arial"/>
                <w:color w:val="000000"/>
                <w:sz w:val="18"/>
                <w:szCs w:val="18"/>
              </w:rPr>
              <w:t>Gentamicin</w:t>
            </w:r>
          </w:p>
        </w:tc>
        <w:tc>
          <w:tcPr>
            <w:tcW w:w="1313" w:type="dxa"/>
            <w:tcBorders>
              <w:top w:val="nil"/>
              <w:left w:val="nil"/>
              <w:bottom w:val="nil"/>
              <w:right w:val="nil"/>
            </w:tcBorders>
            <w:shd w:val="clear" w:color="auto" w:fill="auto"/>
            <w:noWrap/>
            <w:vAlign w:val="center"/>
            <w:hideMark/>
          </w:tcPr>
          <w:p w14:paraId="2597A303" w14:textId="77777777" w:rsidR="00572F25" w:rsidRPr="00195C5D" w:rsidRDefault="00572F25" w:rsidP="00140544">
            <w:pPr>
              <w:spacing w:after="0"/>
              <w:jc w:val="right"/>
              <w:rPr>
                <w:rFonts w:cs="Arial"/>
                <w:color w:val="000000"/>
                <w:sz w:val="18"/>
                <w:szCs w:val="18"/>
              </w:rPr>
            </w:pPr>
            <w:r w:rsidRPr="00195C5D">
              <w:rPr>
                <w:rFonts w:cs="Arial"/>
                <w:color w:val="000000"/>
                <w:sz w:val="18"/>
                <w:szCs w:val="18"/>
              </w:rPr>
              <w:t>330</w:t>
            </w:r>
          </w:p>
        </w:tc>
        <w:tc>
          <w:tcPr>
            <w:tcW w:w="1314" w:type="dxa"/>
            <w:tcBorders>
              <w:top w:val="nil"/>
              <w:left w:val="nil"/>
              <w:bottom w:val="nil"/>
              <w:right w:val="nil"/>
            </w:tcBorders>
            <w:shd w:val="clear" w:color="auto" w:fill="auto"/>
            <w:noWrap/>
            <w:vAlign w:val="center"/>
            <w:hideMark/>
          </w:tcPr>
          <w:p w14:paraId="45556F8C" w14:textId="77777777" w:rsidR="00572F25" w:rsidRPr="00FB18CE" w:rsidRDefault="00572F25" w:rsidP="00140544">
            <w:pPr>
              <w:spacing w:after="0"/>
              <w:rPr>
                <w:rFonts w:cs="Arial"/>
                <w:color w:val="000000"/>
                <w:sz w:val="18"/>
                <w:szCs w:val="18"/>
              </w:rPr>
            </w:pPr>
            <w:r w:rsidRPr="00FB18CE">
              <w:rPr>
                <w:rFonts w:cs="Arial"/>
                <w:color w:val="000000"/>
                <w:sz w:val="18"/>
                <w:szCs w:val="18"/>
              </w:rPr>
              <w:t>3.4</w:t>
            </w:r>
          </w:p>
        </w:tc>
        <w:tc>
          <w:tcPr>
            <w:tcW w:w="1313" w:type="dxa"/>
            <w:tcBorders>
              <w:top w:val="nil"/>
              <w:left w:val="nil"/>
              <w:bottom w:val="nil"/>
              <w:right w:val="nil"/>
            </w:tcBorders>
            <w:shd w:val="clear" w:color="auto" w:fill="auto"/>
            <w:noWrap/>
            <w:vAlign w:val="center"/>
            <w:hideMark/>
          </w:tcPr>
          <w:p w14:paraId="79A5364E" w14:textId="77777777" w:rsidR="00572F25" w:rsidRPr="00FB18CE" w:rsidRDefault="00572F25" w:rsidP="00140544">
            <w:pPr>
              <w:spacing w:after="0"/>
              <w:jc w:val="right"/>
              <w:rPr>
                <w:rFonts w:cs="Arial"/>
                <w:color w:val="000000"/>
                <w:sz w:val="18"/>
                <w:szCs w:val="18"/>
              </w:rPr>
            </w:pPr>
            <w:r w:rsidRPr="00FB18CE">
              <w:rPr>
                <w:rFonts w:cs="Arial"/>
                <w:color w:val="000000"/>
                <w:sz w:val="18"/>
                <w:szCs w:val="18"/>
              </w:rPr>
              <w:t>185</w:t>
            </w:r>
          </w:p>
        </w:tc>
        <w:tc>
          <w:tcPr>
            <w:tcW w:w="1314" w:type="dxa"/>
            <w:tcBorders>
              <w:top w:val="nil"/>
              <w:left w:val="nil"/>
              <w:bottom w:val="nil"/>
              <w:right w:val="nil"/>
            </w:tcBorders>
            <w:shd w:val="clear" w:color="auto" w:fill="auto"/>
            <w:noWrap/>
            <w:vAlign w:val="center"/>
            <w:hideMark/>
          </w:tcPr>
          <w:p w14:paraId="5221567B" w14:textId="77777777" w:rsidR="00572F25" w:rsidRPr="00FB18CE" w:rsidRDefault="00572F25" w:rsidP="00140544">
            <w:pPr>
              <w:spacing w:after="0"/>
              <w:rPr>
                <w:rFonts w:cs="Arial"/>
                <w:color w:val="000000"/>
                <w:sz w:val="18"/>
                <w:szCs w:val="18"/>
              </w:rPr>
            </w:pPr>
            <w:r w:rsidRPr="00FB18CE">
              <w:rPr>
                <w:rFonts w:cs="Arial"/>
                <w:color w:val="000000"/>
                <w:sz w:val="18"/>
                <w:szCs w:val="18"/>
              </w:rPr>
              <w:t>56.1</w:t>
            </w:r>
          </w:p>
        </w:tc>
      </w:tr>
      <w:tr w:rsidR="00572F25" w:rsidRPr="00FB18CE" w14:paraId="29076283" w14:textId="77777777" w:rsidTr="00140544">
        <w:trPr>
          <w:trHeight w:val="347"/>
        </w:trPr>
        <w:tc>
          <w:tcPr>
            <w:tcW w:w="2551" w:type="dxa"/>
            <w:tcBorders>
              <w:top w:val="nil"/>
              <w:left w:val="nil"/>
              <w:bottom w:val="nil"/>
              <w:right w:val="nil"/>
            </w:tcBorders>
            <w:shd w:val="clear" w:color="000000" w:fill="F1F1F2"/>
            <w:noWrap/>
            <w:vAlign w:val="center"/>
            <w:hideMark/>
          </w:tcPr>
          <w:p w14:paraId="5D17D181" w14:textId="77777777" w:rsidR="00572F25" w:rsidRPr="00FB18CE" w:rsidRDefault="00572F25" w:rsidP="00140544">
            <w:pPr>
              <w:spacing w:after="0"/>
              <w:rPr>
                <w:rFonts w:cs="Arial"/>
                <w:color w:val="000000"/>
                <w:sz w:val="18"/>
                <w:szCs w:val="18"/>
              </w:rPr>
            </w:pPr>
            <w:r w:rsidRPr="00FB18CE">
              <w:rPr>
                <w:rFonts w:cs="Arial"/>
                <w:color w:val="000000"/>
                <w:sz w:val="18"/>
                <w:szCs w:val="18"/>
              </w:rPr>
              <w:t>Vancomycin</w:t>
            </w:r>
          </w:p>
        </w:tc>
        <w:tc>
          <w:tcPr>
            <w:tcW w:w="1313" w:type="dxa"/>
            <w:tcBorders>
              <w:top w:val="nil"/>
              <w:left w:val="nil"/>
              <w:bottom w:val="nil"/>
              <w:right w:val="nil"/>
            </w:tcBorders>
            <w:shd w:val="clear" w:color="000000" w:fill="EDEDED"/>
            <w:noWrap/>
            <w:vAlign w:val="center"/>
            <w:hideMark/>
          </w:tcPr>
          <w:p w14:paraId="75CD33AD" w14:textId="77777777" w:rsidR="00572F25" w:rsidRPr="00195C5D" w:rsidRDefault="00572F25" w:rsidP="00140544">
            <w:pPr>
              <w:spacing w:after="0"/>
              <w:jc w:val="right"/>
              <w:rPr>
                <w:rFonts w:cs="Arial"/>
                <w:color w:val="000000"/>
                <w:sz w:val="18"/>
                <w:szCs w:val="18"/>
              </w:rPr>
            </w:pPr>
            <w:r w:rsidRPr="00195C5D">
              <w:rPr>
                <w:rFonts w:cs="Arial"/>
                <w:color w:val="000000"/>
                <w:sz w:val="18"/>
                <w:szCs w:val="18"/>
              </w:rPr>
              <w:t>197</w:t>
            </w:r>
          </w:p>
        </w:tc>
        <w:tc>
          <w:tcPr>
            <w:tcW w:w="1314" w:type="dxa"/>
            <w:tcBorders>
              <w:top w:val="nil"/>
              <w:left w:val="nil"/>
              <w:bottom w:val="nil"/>
              <w:right w:val="nil"/>
            </w:tcBorders>
            <w:shd w:val="clear" w:color="000000" w:fill="EDEDED"/>
            <w:noWrap/>
            <w:vAlign w:val="center"/>
            <w:hideMark/>
          </w:tcPr>
          <w:p w14:paraId="5C4470AD" w14:textId="77777777" w:rsidR="00572F25" w:rsidRPr="00FB18CE" w:rsidRDefault="00572F25" w:rsidP="00140544">
            <w:pPr>
              <w:spacing w:after="0"/>
              <w:rPr>
                <w:rFonts w:cs="Arial"/>
                <w:color w:val="000000"/>
                <w:sz w:val="18"/>
                <w:szCs w:val="18"/>
              </w:rPr>
            </w:pPr>
            <w:r w:rsidRPr="00FB18CE">
              <w:rPr>
                <w:rFonts w:cs="Arial"/>
                <w:color w:val="000000"/>
                <w:sz w:val="18"/>
                <w:szCs w:val="18"/>
              </w:rPr>
              <w:t>2.1</w:t>
            </w:r>
          </w:p>
        </w:tc>
        <w:tc>
          <w:tcPr>
            <w:tcW w:w="1313" w:type="dxa"/>
            <w:tcBorders>
              <w:top w:val="nil"/>
              <w:left w:val="nil"/>
              <w:bottom w:val="nil"/>
              <w:right w:val="nil"/>
            </w:tcBorders>
            <w:shd w:val="clear" w:color="000000" w:fill="EDEDED"/>
            <w:noWrap/>
            <w:vAlign w:val="center"/>
            <w:hideMark/>
          </w:tcPr>
          <w:p w14:paraId="48A38E5D" w14:textId="77777777" w:rsidR="00572F25" w:rsidRPr="00FB18CE" w:rsidRDefault="00572F25" w:rsidP="00140544">
            <w:pPr>
              <w:spacing w:after="0"/>
              <w:jc w:val="right"/>
              <w:rPr>
                <w:rFonts w:cs="Arial"/>
                <w:color w:val="000000"/>
                <w:sz w:val="18"/>
                <w:szCs w:val="18"/>
              </w:rPr>
            </w:pPr>
            <w:r w:rsidRPr="00FB18CE">
              <w:rPr>
                <w:rFonts w:cs="Arial"/>
                <w:color w:val="000000"/>
                <w:sz w:val="18"/>
                <w:szCs w:val="18"/>
              </w:rPr>
              <w:t>120</w:t>
            </w:r>
          </w:p>
        </w:tc>
        <w:tc>
          <w:tcPr>
            <w:tcW w:w="1314" w:type="dxa"/>
            <w:tcBorders>
              <w:top w:val="nil"/>
              <w:left w:val="nil"/>
              <w:bottom w:val="nil"/>
              <w:right w:val="nil"/>
            </w:tcBorders>
            <w:shd w:val="clear" w:color="000000" w:fill="EDEDED"/>
            <w:noWrap/>
            <w:vAlign w:val="center"/>
            <w:hideMark/>
          </w:tcPr>
          <w:p w14:paraId="459966BE" w14:textId="77777777" w:rsidR="00572F25" w:rsidRPr="00FB18CE" w:rsidRDefault="00572F25" w:rsidP="00140544">
            <w:pPr>
              <w:spacing w:after="0"/>
              <w:rPr>
                <w:rFonts w:cs="Arial"/>
                <w:color w:val="000000"/>
                <w:sz w:val="18"/>
                <w:szCs w:val="18"/>
              </w:rPr>
            </w:pPr>
            <w:r w:rsidRPr="00FB18CE">
              <w:rPr>
                <w:rFonts w:cs="Arial"/>
                <w:color w:val="000000"/>
                <w:sz w:val="18"/>
                <w:szCs w:val="18"/>
              </w:rPr>
              <w:t>60.9</w:t>
            </w:r>
          </w:p>
        </w:tc>
      </w:tr>
      <w:tr w:rsidR="00572F25" w:rsidRPr="00FB18CE" w14:paraId="2ED8913A" w14:textId="77777777" w:rsidTr="00140544">
        <w:trPr>
          <w:trHeight w:val="347"/>
        </w:trPr>
        <w:tc>
          <w:tcPr>
            <w:tcW w:w="2551" w:type="dxa"/>
            <w:tcBorders>
              <w:top w:val="nil"/>
              <w:left w:val="nil"/>
              <w:bottom w:val="nil"/>
              <w:right w:val="nil"/>
            </w:tcBorders>
            <w:shd w:val="clear" w:color="auto" w:fill="auto"/>
            <w:noWrap/>
            <w:vAlign w:val="center"/>
            <w:hideMark/>
          </w:tcPr>
          <w:p w14:paraId="1B5B0D1D" w14:textId="77777777" w:rsidR="00572F25" w:rsidRPr="00FB18CE" w:rsidRDefault="00572F25" w:rsidP="00140544">
            <w:pPr>
              <w:spacing w:after="0"/>
              <w:rPr>
                <w:rFonts w:cs="Arial"/>
                <w:color w:val="000000"/>
                <w:sz w:val="18"/>
                <w:szCs w:val="18"/>
              </w:rPr>
            </w:pPr>
            <w:r w:rsidRPr="00FB18CE">
              <w:rPr>
                <w:rFonts w:cs="Arial"/>
                <w:color w:val="000000"/>
                <w:sz w:val="18"/>
                <w:szCs w:val="18"/>
              </w:rPr>
              <w:t>Chloramphenicol</w:t>
            </w:r>
          </w:p>
        </w:tc>
        <w:tc>
          <w:tcPr>
            <w:tcW w:w="1313" w:type="dxa"/>
            <w:tcBorders>
              <w:top w:val="nil"/>
              <w:left w:val="nil"/>
              <w:bottom w:val="nil"/>
              <w:right w:val="nil"/>
            </w:tcBorders>
            <w:shd w:val="clear" w:color="auto" w:fill="auto"/>
            <w:noWrap/>
            <w:vAlign w:val="center"/>
            <w:hideMark/>
          </w:tcPr>
          <w:p w14:paraId="0F12DCFE" w14:textId="77777777" w:rsidR="00572F25" w:rsidRPr="00195C5D" w:rsidRDefault="00572F25" w:rsidP="00140544">
            <w:pPr>
              <w:spacing w:after="0"/>
              <w:jc w:val="right"/>
              <w:rPr>
                <w:rFonts w:cs="Arial"/>
                <w:color w:val="000000"/>
                <w:sz w:val="18"/>
                <w:szCs w:val="18"/>
              </w:rPr>
            </w:pPr>
            <w:r w:rsidRPr="00195C5D">
              <w:rPr>
                <w:rFonts w:cs="Arial"/>
                <w:color w:val="000000"/>
                <w:sz w:val="18"/>
                <w:szCs w:val="18"/>
              </w:rPr>
              <w:t>133</w:t>
            </w:r>
          </w:p>
        </w:tc>
        <w:tc>
          <w:tcPr>
            <w:tcW w:w="1314" w:type="dxa"/>
            <w:tcBorders>
              <w:top w:val="nil"/>
              <w:left w:val="nil"/>
              <w:bottom w:val="nil"/>
              <w:right w:val="nil"/>
            </w:tcBorders>
            <w:shd w:val="clear" w:color="auto" w:fill="auto"/>
            <w:noWrap/>
            <w:vAlign w:val="center"/>
            <w:hideMark/>
          </w:tcPr>
          <w:p w14:paraId="61B4AC60" w14:textId="77777777" w:rsidR="00572F25" w:rsidRPr="00FB18CE" w:rsidRDefault="00572F25" w:rsidP="00140544">
            <w:pPr>
              <w:spacing w:after="0"/>
              <w:rPr>
                <w:rFonts w:cs="Arial"/>
                <w:color w:val="000000"/>
                <w:sz w:val="18"/>
                <w:szCs w:val="18"/>
              </w:rPr>
            </w:pPr>
            <w:r w:rsidRPr="00FB18CE">
              <w:rPr>
                <w:rFonts w:cs="Arial"/>
                <w:color w:val="000000"/>
                <w:sz w:val="18"/>
                <w:szCs w:val="18"/>
              </w:rPr>
              <w:t>1.4</w:t>
            </w:r>
          </w:p>
        </w:tc>
        <w:tc>
          <w:tcPr>
            <w:tcW w:w="1313" w:type="dxa"/>
            <w:tcBorders>
              <w:top w:val="nil"/>
              <w:left w:val="nil"/>
              <w:bottom w:val="nil"/>
              <w:right w:val="nil"/>
            </w:tcBorders>
            <w:shd w:val="clear" w:color="auto" w:fill="auto"/>
            <w:noWrap/>
            <w:vAlign w:val="center"/>
            <w:hideMark/>
          </w:tcPr>
          <w:p w14:paraId="6B45D03D" w14:textId="77777777" w:rsidR="00572F25" w:rsidRPr="00FB18CE" w:rsidRDefault="00572F25" w:rsidP="00140544">
            <w:pPr>
              <w:spacing w:after="0"/>
              <w:jc w:val="right"/>
              <w:rPr>
                <w:rFonts w:cs="Arial"/>
                <w:color w:val="000000"/>
                <w:sz w:val="18"/>
                <w:szCs w:val="18"/>
              </w:rPr>
            </w:pPr>
            <w:r w:rsidRPr="00FB18CE">
              <w:rPr>
                <w:rFonts w:cs="Arial"/>
                <w:color w:val="000000"/>
                <w:sz w:val="18"/>
                <w:szCs w:val="18"/>
              </w:rPr>
              <w:t>91</w:t>
            </w:r>
          </w:p>
        </w:tc>
        <w:tc>
          <w:tcPr>
            <w:tcW w:w="1314" w:type="dxa"/>
            <w:tcBorders>
              <w:top w:val="nil"/>
              <w:left w:val="nil"/>
              <w:bottom w:val="nil"/>
              <w:right w:val="nil"/>
            </w:tcBorders>
            <w:shd w:val="clear" w:color="auto" w:fill="auto"/>
            <w:noWrap/>
            <w:vAlign w:val="center"/>
            <w:hideMark/>
          </w:tcPr>
          <w:p w14:paraId="7052AD8B" w14:textId="77777777" w:rsidR="00572F25" w:rsidRPr="00FB18CE" w:rsidRDefault="00572F25" w:rsidP="00140544">
            <w:pPr>
              <w:spacing w:after="0"/>
              <w:rPr>
                <w:rFonts w:cs="Arial"/>
                <w:color w:val="000000"/>
                <w:sz w:val="18"/>
                <w:szCs w:val="18"/>
              </w:rPr>
            </w:pPr>
            <w:r w:rsidRPr="00FB18CE">
              <w:rPr>
                <w:rFonts w:cs="Arial"/>
                <w:color w:val="000000"/>
                <w:sz w:val="18"/>
                <w:szCs w:val="18"/>
              </w:rPr>
              <w:t>68.4</w:t>
            </w:r>
          </w:p>
        </w:tc>
      </w:tr>
      <w:tr w:rsidR="00572F25" w:rsidRPr="00FB18CE" w14:paraId="31FBE0D5" w14:textId="77777777" w:rsidTr="00140544">
        <w:trPr>
          <w:trHeight w:val="347"/>
        </w:trPr>
        <w:tc>
          <w:tcPr>
            <w:tcW w:w="2551" w:type="dxa"/>
            <w:tcBorders>
              <w:top w:val="nil"/>
              <w:left w:val="nil"/>
              <w:bottom w:val="nil"/>
              <w:right w:val="nil"/>
            </w:tcBorders>
            <w:shd w:val="clear" w:color="000000" w:fill="F1F1F2"/>
            <w:noWrap/>
            <w:vAlign w:val="center"/>
            <w:hideMark/>
          </w:tcPr>
          <w:p w14:paraId="45482EEB" w14:textId="77777777" w:rsidR="00572F25" w:rsidRPr="00FB18CE" w:rsidRDefault="00572F25" w:rsidP="00140544">
            <w:pPr>
              <w:spacing w:after="0"/>
              <w:rPr>
                <w:rFonts w:cs="Arial"/>
                <w:color w:val="000000"/>
                <w:sz w:val="18"/>
                <w:szCs w:val="18"/>
              </w:rPr>
            </w:pPr>
            <w:r w:rsidRPr="00FB18CE">
              <w:rPr>
                <w:rFonts w:cs="Arial"/>
                <w:color w:val="000000"/>
                <w:sz w:val="18"/>
                <w:szCs w:val="18"/>
              </w:rPr>
              <w:t>Clindamycin</w:t>
            </w:r>
          </w:p>
        </w:tc>
        <w:tc>
          <w:tcPr>
            <w:tcW w:w="1313" w:type="dxa"/>
            <w:tcBorders>
              <w:top w:val="nil"/>
              <w:left w:val="nil"/>
              <w:bottom w:val="nil"/>
              <w:right w:val="nil"/>
            </w:tcBorders>
            <w:shd w:val="clear" w:color="000000" w:fill="EDEDED"/>
            <w:noWrap/>
            <w:vAlign w:val="center"/>
            <w:hideMark/>
          </w:tcPr>
          <w:p w14:paraId="7D3CC6D5" w14:textId="77777777" w:rsidR="00572F25" w:rsidRPr="00195C5D" w:rsidRDefault="00572F25" w:rsidP="00140544">
            <w:pPr>
              <w:spacing w:after="0"/>
              <w:jc w:val="right"/>
              <w:rPr>
                <w:rFonts w:cs="Arial"/>
                <w:color w:val="000000"/>
                <w:sz w:val="18"/>
                <w:szCs w:val="18"/>
              </w:rPr>
            </w:pPr>
            <w:r w:rsidRPr="00195C5D">
              <w:rPr>
                <w:rFonts w:cs="Arial"/>
                <w:color w:val="000000"/>
                <w:sz w:val="18"/>
                <w:szCs w:val="18"/>
              </w:rPr>
              <w:t>107</w:t>
            </w:r>
          </w:p>
        </w:tc>
        <w:tc>
          <w:tcPr>
            <w:tcW w:w="1314" w:type="dxa"/>
            <w:tcBorders>
              <w:top w:val="nil"/>
              <w:left w:val="nil"/>
              <w:bottom w:val="nil"/>
              <w:right w:val="nil"/>
            </w:tcBorders>
            <w:shd w:val="clear" w:color="000000" w:fill="EDEDED"/>
            <w:noWrap/>
            <w:vAlign w:val="center"/>
            <w:hideMark/>
          </w:tcPr>
          <w:p w14:paraId="1FA4D4F0" w14:textId="77777777" w:rsidR="00572F25" w:rsidRPr="00FB18CE" w:rsidRDefault="00572F25" w:rsidP="00140544">
            <w:pPr>
              <w:spacing w:after="0"/>
              <w:rPr>
                <w:rFonts w:cs="Arial"/>
                <w:color w:val="000000"/>
                <w:sz w:val="18"/>
                <w:szCs w:val="18"/>
              </w:rPr>
            </w:pPr>
            <w:r w:rsidRPr="00FB18CE">
              <w:rPr>
                <w:rFonts w:cs="Arial"/>
                <w:color w:val="000000"/>
                <w:sz w:val="18"/>
                <w:szCs w:val="18"/>
              </w:rPr>
              <w:t>1.1</w:t>
            </w:r>
          </w:p>
        </w:tc>
        <w:tc>
          <w:tcPr>
            <w:tcW w:w="1313" w:type="dxa"/>
            <w:tcBorders>
              <w:top w:val="nil"/>
              <w:left w:val="nil"/>
              <w:bottom w:val="nil"/>
              <w:right w:val="nil"/>
            </w:tcBorders>
            <w:shd w:val="clear" w:color="000000" w:fill="EDEDED"/>
            <w:noWrap/>
            <w:vAlign w:val="center"/>
            <w:hideMark/>
          </w:tcPr>
          <w:p w14:paraId="1189C2E6" w14:textId="77777777" w:rsidR="00572F25" w:rsidRPr="00FB18CE" w:rsidRDefault="00572F25" w:rsidP="00140544">
            <w:pPr>
              <w:spacing w:after="0"/>
              <w:jc w:val="right"/>
              <w:rPr>
                <w:rFonts w:cs="Arial"/>
                <w:color w:val="000000"/>
                <w:sz w:val="18"/>
                <w:szCs w:val="18"/>
              </w:rPr>
            </w:pPr>
            <w:r w:rsidRPr="00FB18CE">
              <w:rPr>
                <w:rFonts w:cs="Arial"/>
                <w:color w:val="000000"/>
                <w:sz w:val="18"/>
                <w:szCs w:val="18"/>
              </w:rPr>
              <w:t>65</w:t>
            </w:r>
          </w:p>
        </w:tc>
        <w:tc>
          <w:tcPr>
            <w:tcW w:w="1314" w:type="dxa"/>
            <w:tcBorders>
              <w:top w:val="nil"/>
              <w:left w:val="nil"/>
              <w:bottom w:val="nil"/>
              <w:right w:val="nil"/>
            </w:tcBorders>
            <w:shd w:val="clear" w:color="000000" w:fill="EDEDED"/>
            <w:noWrap/>
            <w:vAlign w:val="center"/>
            <w:hideMark/>
          </w:tcPr>
          <w:p w14:paraId="6D069E82" w14:textId="77777777" w:rsidR="00572F25" w:rsidRPr="00FB18CE" w:rsidRDefault="00572F25" w:rsidP="00140544">
            <w:pPr>
              <w:spacing w:after="0"/>
              <w:rPr>
                <w:rFonts w:cs="Arial"/>
                <w:color w:val="000000"/>
                <w:sz w:val="18"/>
                <w:szCs w:val="18"/>
              </w:rPr>
            </w:pPr>
            <w:r w:rsidRPr="00FB18CE">
              <w:rPr>
                <w:rFonts w:cs="Arial"/>
                <w:color w:val="000000"/>
                <w:sz w:val="18"/>
                <w:szCs w:val="18"/>
              </w:rPr>
              <w:t>60.7</w:t>
            </w:r>
          </w:p>
        </w:tc>
      </w:tr>
      <w:tr w:rsidR="00572F25" w:rsidRPr="00FB18CE" w14:paraId="58C2178C" w14:textId="77777777" w:rsidTr="00140544">
        <w:trPr>
          <w:trHeight w:val="347"/>
        </w:trPr>
        <w:tc>
          <w:tcPr>
            <w:tcW w:w="2551" w:type="dxa"/>
            <w:tcBorders>
              <w:top w:val="nil"/>
              <w:left w:val="nil"/>
              <w:bottom w:val="nil"/>
              <w:right w:val="nil"/>
            </w:tcBorders>
            <w:shd w:val="clear" w:color="auto" w:fill="auto"/>
            <w:noWrap/>
            <w:vAlign w:val="center"/>
            <w:hideMark/>
          </w:tcPr>
          <w:p w14:paraId="26ED0BBF" w14:textId="77777777" w:rsidR="00572F25" w:rsidRPr="00FB18CE" w:rsidRDefault="00572F25" w:rsidP="00140544">
            <w:pPr>
              <w:spacing w:after="0"/>
              <w:rPr>
                <w:rFonts w:cs="Arial"/>
                <w:color w:val="000000"/>
                <w:sz w:val="18"/>
                <w:szCs w:val="18"/>
              </w:rPr>
            </w:pPr>
            <w:r w:rsidRPr="00FB18CE">
              <w:rPr>
                <w:rFonts w:cs="Arial"/>
                <w:color w:val="000000"/>
                <w:sz w:val="18"/>
                <w:szCs w:val="18"/>
              </w:rPr>
              <w:t>Ceftriaxone</w:t>
            </w:r>
          </w:p>
        </w:tc>
        <w:tc>
          <w:tcPr>
            <w:tcW w:w="1313" w:type="dxa"/>
            <w:tcBorders>
              <w:top w:val="nil"/>
              <w:left w:val="nil"/>
              <w:bottom w:val="nil"/>
              <w:right w:val="nil"/>
            </w:tcBorders>
            <w:shd w:val="clear" w:color="auto" w:fill="auto"/>
            <w:noWrap/>
            <w:vAlign w:val="center"/>
            <w:hideMark/>
          </w:tcPr>
          <w:p w14:paraId="6EE852FC" w14:textId="77777777" w:rsidR="00572F25" w:rsidRPr="00195C5D" w:rsidRDefault="00572F25" w:rsidP="00140544">
            <w:pPr>
              <w:spacing w:after="0"/>
              <w:jc w:val="right"/>
              <w:rPr>
                <w:rFonts w:cs="Arial"/>
                <w:color w:val="000000"/>
                <w:sz w:val="18"/>
                <w:szCs w:val="18"/>
              </w:rPr>
            </w:pPr>
            <w:r w:rsidRPr="00195C5D">
              <w:rPr>
                <w:rFonts w:cs="Arial"/>
                <w:color w:val="000000"/>
                <w:sz w:val="18"/>
                <w:szCs w:val="18"/>
              </w:rPr>
              <w:t>101</w:t>
            </w:r>
          </w:p>
        </w:tc>
        <w:tc>
          <w:tcPr>
            <w:tcW w:w="1314" w:type="dxa"/>
            <w:tcBorders>
              <w:top w:val="nil"/>
              <w:left w:val="nil"/>
              <w:bottom w:val="nil"/>
              <w:right w:val="nil"/>
            </w:tcBorders>
            <w:shd w:val="clear" w:color="auto" w:fill="auto"/>
            <w:noWrap/>
            <w:vAlign w:val="center"/>
            <w:hideMark/>
          </w:tcPr>
          <w:p w14:paraId="61C47B04" w14:textId="77777777" w:rsidR="00572F25" w:rsidRPr="00FB18CE" w:rsidRDefault="00572F25" w:rsidP="00140544">
            <w:pPr>
              <w:spacing w:after="0"/>
              <w:rPr>
                <w:rFonts w:cs="Arial"/>
                <w:color w:val="000000"/>
                <w:sz w:val="18"/>
                <w:szCs w:val="18"/>
              </w:rPr>
            </w:pPr>
            <w:r w:rsidRPr="00FB18CE">
              <w:rPr>
                <w:rFonts w:cs="Arial"/>
                <w:color w:val="000000"/>
                <w:sz w:val="18"/>
                <w:szCs w:val="18"/>
              </w:rPr>
              <w:t>1.1</w:t>
            </w:r>
          </w:p>
        </w:tc>
        <w:tc>
          <w:tcPr>
            <w:tcW w:w="1313" w:type="dxa"/>
            <w:tcBorders>
              <w:top w:val="nil"/>
              <w:left w:val="nil"/>
              <w:bottom w:val="nil"/>
              <w:right w:val="nil"/>
            </w:tcBorders>
            <w:shd w:val="clear" w:color="auto" w:fill="auto"/>
            <w:noWrap/>
            <w:vAlign w:val="center"/>
            <w:hideMark/>
          </w:tcPr>
          <w:p w14:paraId="49B030D4" w14:textId="77777777" w:rsidR="00572F25" w:rsidRPr="00FB18CE" w:rsidRDefault="00572F25" w:rsidP="00140544">
            <w:pPr>
              <w:spacing w:after="0"/>
              <w:jc w:val="right"/>
              <w:rPr>
                <w:rFonts w:cs="Arial"/>
                <w:color w:val="000000"/>
                <w:sz w:val="18"/>
                <w:szCs w:val="18"/>
              </w:rPr>
            </w:pPr>
            <w:r w:rsidRPr="00FB18CE">
              <w:rPr>
                <w:rFonts w:cs="Arial"/>
                <w:color w:val="000000"/>
                <w:sz w:val="18"/>
                <w:szCs w:val="18"/>
              </w:rPr>
              <w:t>72</w:t>
            </w:r>
          </w:p>
        </w:tc>
        <w:tc>
          <w:tcPr>
            <w:tcW w:w="1314" w:type="dxa"/>
            <w:tcBorders>
              <w:top w:val="nil"/>
              <w:left w:val="nil"/>
              <w:bottom w:val="nil"/>
              <w:right w:val="nil"/>
            </w:tcBorders>
            <w:shd w:val="clear" w:color="auto" w:fill="auto"/>
            <w:noWrap/>
            <w:vAlign w:val="center"/>
            <w:hideMark/>
          </w:tcPr>
          <w:p w14:paraId="074E0FD5" w14:textId="77777777" w:rsidR="00572F25" w:rsidRPr="00FB18CE" w:rsidRDefault="00572F25" w:rsidP="00140544">
            <w:pPr>
              <w:spacing w:after="0"/>
              <w:rPr>
                <w:rFonts w:cs="Arial"/>
                <w:color w:val="000000"/>
                <w:sz w:val="18"/>
                <w:szCs w:val="18"/>
              </w:rPr>
            </w:pPr>
            <w:r w:rsidRPr="00FB18CE">
              <w:rPr>
                <w:rFonts w:cs="Arial"/>
                <w:color w:val="000000"/>
                <w:sz w:val="18"/>
                <w:szCs w:val="18"/>
              </w:rPr>
              <w:t>71.3</w:t>
            </w:r>
          </w:p>
        </w:tc>
      </w:tr>
      <w:tr w:rsidR="00572F25" w:rsidRPr="00FB18CE" w14:paraId="5A38C25F" w14:textId="77777777" w:rsidTr="00140544">
        <w:trPr>
          <w:trHeight w:val="347"/>
        </w:trPr>
        <w:tc>
          <w:tcPr>
            <w:tcW w:w="2551" w:type="dxa"/>
            <w:tcBorders>
              <w:top w:val="nil"/>
              <w:left w:val="nil"/>
              <w:bottom w:val="nil"/>
              <w:right w:val="nil"/>
            </w:tcBorders>
            <w:shd w:val="clear" w:color="000000" w:fill="F1F1F2"/>
            <w:noWrap/>
            <w:vAlign w:val="center"/>
            <w:hideMark/>
          </w:tcPr>
          <w:p w14:paraId="290E4667" w14:textId="77777777" w:rsidR="00572F25" w:rsidRPr="00FB18CE" w:rsidRDefault="00572F25" w:rsidP="00140544">
            <w:pPr>
              <w:spacing w:after="0"/>
              <w:rPr>
                <w:rFonts w:cs="Arial"/>
                <w:color w:val="000000"/>
                <w:sz w:val="18"/>
                <w:szCs w:val="18"/>
              </w:rPr>
            </w:pPr>
            <w:r w:rsidRPr="00FB18CE">
              <w:rPr>
                <w:rFonts w:cs="Arial"/>
                <w:color w:val="000000"/>
                <w:sz w:val="18"/>
                <w:szCs w:val="18"/>
              </w:rPr>
              <w:t>Piperacillin–tazobactam</w:t>
            </w:r>
          </w:p>
        </w:tc>
        <w:tc>
          <w:tcPr>
            <w:tcW w:w="1313" w:type="dxa"/>
            <w:tcBorders>
              <w:top w:val="nil"/>
              <w:left w:val="nil"/>
              <w:bottom w:val="nil"/>
              <w:right w:val="nil"/>
            </w:tcBorders>
            <w:shd w:val="clear" w:color="000000" w:fill="EDEDED"/>
            <w:noWrap/>
            <w:vAlign w:val="center"/>
            <w:hideMark/>
          </w:tcPr>
          <w:p w14:paraId="23AFB084" w14:textId="77777777" w:rsidR="00572F25" w:rsidRPr="00195C5D" w:rsidRDefault="00572F25" w:rsidP="00140544">
            <w:pPr>
              <w:spacing w:after="0"/>
              <w:jc w:val="right"/>
              <w:rPr>
                <w:rFonts w:cs="Arial"/>
                <w:color w:val="000000"/>
                <w:sz w:val="18"/>
                <w:szCs w:val="18"/>
              </w:rPr>
            </w:pPr>
            <w:r w:rsidRPr="00195C5D">
              <w:rPr>
                <w:rFonts w:cs="Arial"/>
                <w:color w:val="000000"/>
                <w:sz w:val="18"/>
                <w:szCs w:val="18"/>
              </w:rPr>
              <w:t>68</w:t>
            </w:r>
          </w:p>
        </w:tc>
        <w:tc>
          <w:tcPr>
            <w:tcW w:w="1314" w:type="dxa"/>
            <w:tcBorders>
              <w:top w:val="nil"/>
              <w:left w:val="nil"/>
              <w:bottom w:val="nil"/>
              <w:right w:val="nil"/>
            </w:tcBorders>
            <w:shd w:val="clear" w:color="000000" w:fill="EDEDED"/>
            <w:noWrap/>
            <w:vAlign w:val="center"/>
            <w:hideMark/>
          </w:tcPr>
          <w:p w14:paraId="26137C4A" w14:textId="77777777" w:rsidR="00572F25" w:rsidRPr="00FB18CE" w:rsidRDefault="00572F25" w:rsidP="00140544">
            <w:pPr>
              <w:spacing w:after="0"/>
              <w:rPr>
                <w:rFonts w:cs="Arial"/>
                <w:color w:val="000000"/>
                <w:sz w:val="18"/>
                <w:szCs w:val="18"/>
              </w:rPr>
            </w:pPr>
            <w:r w:rsidRPr="00FB18CE">
              <w:rPr>
                <w:rFonts w:cs="Arial"/>
                <w:color w:val="000000"/>
                <w:sz w:val="18"/>
                <w:szCs w:val="18"/>
              </w:rPr>
              <w:t>0.7</w:t>
            </w:r>
          </w:p>
        </w:tc>
        <w:tc>
          <w:tcPr>
            <w:tcW w:w="1313" w:type="dxa"/>
            <w:tcBorders>
              <w:top w:val="nil"/>
              <w:left w:val="nil"/>
              <w:bottom w:val="nil"/>
              <w:right w:val="nil"/>
            </w:tcBorders>
            <w:shd w:val="clear" w:color="000000" w:fill="EDEDED"/>
            <w:noWrap/>
            <w:vAlign w:val="center"/>
            <w:hideMark/>
          </w:tcPr>
          <w:p w14:paraId="5493EF89" w14:textId="77777777" w:rsidR="00572F25" w:rsidRPr="00FB18CE" w:rsidRDefault="00572F25" w:rsidP="00140544">
            <w:pPr>
              <w:spacing w:after="0"/>
              <w:jc w:val="right"/>
              <w:rPr>
                <w:rFonts w:cs="Arial"/>
                <w:color w:val="000000"/>
                <w:sz w:val="18"/>
                <w:szCs w:val="18"/>
              </w:rPr>
            </w:pPr>
            <w:r w:rsidRPr="00FB18CE">
              <w:rPr>
                <w:rFonts w:cs="Arial"/>
                <w:color w:val="000000"/>
                <w:sz w:val="18"/>
                <w:szCs w:val="18"/>
              </w:rPr>
              <w:t>58</w:t>
            </w:r>
          </w:p>
        </w:tc>
        <w:tc>
          <w:tcPr>
            <w:tcW w:w="1314" w:type="dxa"/>
            <w:tcBorders>
              <w:top w:val="nil"/>
              <w:left w:val="nil"/>
              <w:bottom w:val="nil"/>
              <w:right w:val="nil"/>
            </w:tcBorders>
            <w:shd w:val="clear" w:color="000000" w:fill="EDEDED"/>
            <w:noWrap/>
            <w:vAlign w:val="center"/>
            <w:hideMark/>
          </w:tcPr>
          <w:p w14:paraId="4A592DA4" w14:textId="77777777" w:rsidR="00572F25" w:rsidRPr="00FB18CE" w:rsidRDefault="00572F25" w:rsidP="00140544">
            <w:pPr>
              <w:spacing w:after="0"/>
              <w:rPr>
                <w:rFonts w:cs="Arial"/>
                <w:color w:val="000000"/>
                <w:sz w:val="18"/>
                <w:szCs w:val="18"/>
              </w:rPr>
            </w:pPr>
            <w:r w:rsidRPr="00FB18CE">
              <w:rPr>
                <w:rFonts w:cs="Arial"/>
                <w:color w:val="000000"/>
                <w:sz w:val="18"/>
                <w:szCs w:val="18"/>
              </w:rPr>
              <w:t>85.3</w:t>
            </w:r>
          </w:p>
        </w:tc>
      </w:tr>
      <w:tr w:rsidR="00572F25" w:rsidRPr="00FB18CE" w14:paraId="5C58A422" w14:textId="77777777" w:rsidTr="00140544">
        <w:trPr>
          <w:trHeight w:val="347"/>
        </w:trPr>
        <w:tc>
          <w:tcPr>
            <w:tcW w:w="2551" w:type="dxa"/>
            <w:tcBorders>
              <w:top w:val="nil"/>
              <w:left w:val="nil"/>
              <w:bottom w:val="nil"/>
              <w:right w:val="nil"/>
            </w:tcBorders>
            <w:shd w:val="clear" w:color="auto" w:fill="auto"/>
            <w:noWrap/>
            <w:vAlign w:val="center"/>
            <w:hideMark/>
          </w:tcPr>
          <w:p w14:paraId="4E858F87" w14:textId="77777777" w:rsidR="00572F25" w:rsidRPr="00FB18CE" w:rsidRDefault="00572F25" w:rsidP="00140544">
            <w:pPr>
              <w:spacing w:after="0"/>
              <w:rPr>
                <w:rFonts w:cs="Arial"/>
                <w:color w:val="000000"/>
                <w:sz w:val="18"/>
                <w:szCs w:val="18"/>
              </w:rPr>
            </w:pPr>
            <w:r w:rsidRPr="00FB18CE">
              <w:rPr>
                <w:rFonts w:cs="Arial"/>
                <w:color w:val="000000"/>
                <w:sz w:val="18"/>
                <w:szCs w:val="18"/>
              </w:rPr>
              <w:t>Amoxicillin–clavulanic acid</w:t>
            </w:r>
          </w:p>
        </w:tc>
        <w:tc>
          <w:tcPr>
            <w:tcW w:w="1313" w:type="dxa"/>
            <w:tcBorders>
              <w:top w:val="nil"/>
              <w:left w:val="nil"/>
              <w:bottom w:val="nil"/>
              <w:right w:val="nil"/>
            </w:tcBorders>
            <w:shd w:val="clear" w:color="auto" w:fill="auto"/>
            <w:noWrap/>
            <w:vAlign w:val="center"/>
            <w:hideMark/>
          </w:tcPr>
          <w:p w14:paraId="74DFFFC9" w14:textId="77777777" w:rsidR="00572F25" w:rsidRPr="00195C5D" w:rsidRDefault="00572F25" w:rsidP="00140544">
            <w:pPr>
              <w:spacing w:after="0"/>
              <w:jc w:val="right"/>
              <w:rPr>
                <w:rFonts w:cs="Arial"/>
                <w:color w:val="000000"/>
                <w:sz w:val="18"/>
                <w:szCs w:val="18"/>
              </w:rPr>
            </w:pPr>
            <w:r w:rsidRPr="00195C5D">
              <w:rPr>
                <w:rFonts w:cs="Arial"/>
                <w:color w:val="000000"/>
                <w:sz w:val="18"/>
                <w:szCs w:val="18"/>
              </w:rPr>
              <w:t>46</w:t>
            </w:r>
          </w:p>
        </w:tc>
        <w:tc>
          <w:tcPr>
            <w:tcW w:w="1314" w:type="dxa"/>
            <w:tcBorders>
              <w:top w:val="nil"/>
              <w:left w:val="nil"/>
              <w:bottom w:val="nil"/>
              <w:right w:val="nil"/>
            </w:tcBorders>
            <w:shd w:val="clear" w:color="auto" w:fill="auto"/>
            <w:noWrap/>
            <w:vAlign w:val="center"/>
            <w:hideMark/>
          </w:tcPr>
          <w:p w14:paraId="5064C8BD" w14:textId="77777777" w:rsidR="00572F25" w:rsidRPr="00FB18CE" w:rsidRDefault="00572F25" w:rsidP="00140544">
            <w:pPr>
              <w:spacing w:after="0"/>
              <w:rPr>
                <w:rFonts w:cs="Arial"/>
                <w:color w:val="000000"/>
                <w:sz w:val="18"/>
                <w:szCs w:val="18"/>
              </w:rPr>
            </w:pPr>
            <w:r w:rsidRPr="00FB18CE">
              <w:rPr>
                <w:rFonts w:cs="Arial"/>
                <w:color w:val="000000"/>
                <w:sz w:val="18"/>
                <w:szCs w:val="18"/>
              </w:rPr>
              <w:t>0.5</w:t>
            </w:r>
          </w:p>
        </w:tc>
        <w:tc>
          <w:tcPr>
            <w:tcW w:w="1313" w:type="dxa"/>
            <w:tcBorders>
              <w:top w:val="nil"/>
              <w:left w:val="nil"/>
              <w:bottom w:val="nil"/>
              <w:right w:val="nil"/>
            </w:tcBorders>
            <w:shd w:val="clear" w:color="auto" w:fill="auto"/>
            <w:noWrap/>
            <w:vAlign w:val="center"/>
            <w:hideMark/>
          </w:tcPr>
          <w:p w14:paraId="4575EB47" w14:textId="77777777" w:rsidR="00572F25" w:rsidRPr="00FB18CE" w:rsidRDefault="00572F25" w:rsidP="00140544">
            <w:pPr>
              <w:spacing w:after="0"/>
              <w:jc w:val="right"/>
              <w:rPr>
                <w:rFonts w:cs="Arial"/>
                <w:color w:val="000000"/>
                <w:sz w:val="18"/>
                <w:szCs w:val="18"/>
              </w:rPr>
            </w:pPr>
            <w:r w:rsidRPr="00FB18CE">
              <w:rPr>
                <w:rFonts w:cs="Arial"/>
                <w:color w:val="000000"/>
                <w:sz w:val="18"/>
                <w:szCs w:val="18"/>
              </w:rPr>
              <w:t>18</w:t>
            </w:r>
          </w:p>
        </w:tc>
        <w:tc>
          <w:tcPr>
            <w:tcW w:w="1314" w:type="dxa"/>
            <w:tcBorders>
              <w:top w:val="nil"/>
              <w:left w:val="nil"/>
              <w:bottom w:val="nil"/>
              <w:right w:val="nil"/>
            </w:tcBorders>
            <w:shd w:val="clear" w:color="auto" w:fill="auto"/>
            <w:noWrap/>
            <w:vAlign w:val="center"/>
            <w:hideMark/>
          </w:tcPr>
          <w:p w14:paraId="57CFDCDB" w14:textId="77777777" w:rsidR="00572F25" w:rsidRPr="00FB18CE" w:rsidRDefault="00572F25" w:rsidP="00140544">
            <w:pPr>
              <w:spacing w:after="0"/>
              <w:rPr>
                <w:rFonts w:cs="Arial"/>
                <w:color w:val="000000"/>
                <w:sz w:val="18"/>
                <w:szCs w:val="18"/>
              </w:rPr>
            </w:pPr>
            <w:r w:rsidRPr="00FB18CE">
              <w:rPr>
                <w:rFonts w:cs="Arial"/>
                <w:color w:val="000000"/>
                <w:sz w:val="18"/>
                <w:szCs w:val="18"/>
              </w:rPr>
              <w:t>39.1</w:t>
            </w:r>
          </w:p>
        </w:tc>
      </w:tr>
      <w:tr w:rsidR="00572F25" w:rsidRPr="00FB18CE" w14:paraId="33CF1F3F" w14:textId="77777777" w:rsidTr="00140544">
        <w:trPr>
          <w:trHeight w:val="347"/>
        </w:trPr>
        <w:tc>
          <w:tcPr>
            <w:tcW w:w="2551" w:type="dxa"/>
            <w:tcBorders>
              <w:top w:val="nil"/>
              <w:left w:val="nil"/>
              <w:bottom w:val="nil"/>
              <w:right w:val="nil"/>
            </w:tcBorders>
            <w:shd w:val="clear" w:color="000000" w:fill="F1F1F2"/>
            <w:noWrap/>
            <w:vAlign w:val="center"/>
            <w:hideMark/>
          </w:tcPr>
          <w:p w14:paraId="4F9D9FBE" w14:textId="77777777" w:rsidR="00572F25" w:rsidRPr="00FB18CE" w:rsidRDefault="00572F25" w:rsidP="00140544">
            <w:pPr>
              <w:spacing w:after="0"/>
              <w:rPr>
                <w:rFonts w:cs="Arial"/>
                <w:color w:val="000000"/>
                <w:sz w:val="18"/>
                <w:szCs w:val="18"/>
              </w:rPr>
            </w:pPr>
            <w:r w:rsidRPr="00FB18CE">
              <w:rPr>
                <w:rFonts w:cs="Arial"/>
                <w:color w:val="000000"/>
                <w:sz w:val="18"/>
                <w:szCs w:val="18"/>
              </w:rPr>
              <w:t>Ampicillin</w:t>
            </w:r>
          </w:p>
        </w:tc>
        <w:tc>
          <w:tcPr>
            <w:tcW w:w="1313" w:type="dxa"/>
            <w:tcBorders>
              <w:top w:val="nil"/>
              <w:left w:val="nil"/>
              <w:bottom w:val="nil"/>
              <w:right w:val="nil"/>
            </w:tcBorders>
            <w:shd w:val="clear" w:color="000000" w:fill="EDEDED"/>
            <w:noWrap/>
            <w:vAlign w:val="center"/>
            <w:hideMark/>
          </w:tcPr>
          <w:p w14:paraId="6D060B5F" w14:textId="77777777" w:rsidR="00572F25" w:rsidRPr="00195C5D" w:rsidRDefault="00572F25" w:rsidP="00140544">
            <w:pPr>
              <w:spacing w:after="0"/>
              <w:jc w:val="right"/>
              <w:rPr>
                <w:rFonts w:cs="Arial"/>
                <w:color w:val="000000"/>
                <w:sz w:val="18"/>
                <w:szCs w:val="18"/>
              </w:rPr>
            </w:pPr>
            <w:r w:rsidRPr="00195C5D">
              <w:rPr>
                <w:rFonts w:cs="Arial"/>
                <w:color w:val="000000"/>
                <w:sz w:val="18"/>
                <w:szCs w:val="18"/>
              </w:rPr>
              <w:t>41</w:t>
            </w:r>
          </w:p>
        </w:tc>
        <w:tc>
          <w:tcPr>
            <w:tcW w:w="1314" w:type="dxa"/>
            <w:tcBorders>
              <w:top w:val="nil"/>
              <w:left w:val="nil"/>
              <w:bottom w:val="nil"/>
              <w:right w:val="nil"/>
            </w:tcBorders>
            <w:shd w:val="clear" w:color="000000" w:fill="EDEDED"/>
            <w:noWrap/>
            <w:vAlign w:val="center"/>
            <w:hideMark/>
          </w:tcPr>
          <w:p w14:paraId="1BEF2311" w14:textId="77777777" w:rsidR="00572F25" w:rsidRPr="00FB18CE" w:rsidRDefault="00572F25" w:rsidP="00140544">
            <w:pPr>
              <w:spacing w:after="0"/>
              <w:rPr>
                <w:rFonts w:cs="Arial"/>
                <w:color w:val="000000"/>
                <w:sz w:val="18"/>
                <w:szCs w:val="18"/>
              </w:rPr>
            </w:pPr>
            <w:r w:rsidRPr="00FB18CE">
              <w:rPr>
                <w:rFonts w:cs="Arial"/>
                <w:color w:val="000000"/>
                <w:sz w:val="18"/>
                <w:szCs w:val="18"/>
              </w:rPr>
              <w:t>0.4</w:t>
            </w:r>
          </w:p>
        </w:tc>
        <w:tc>
          <w:tcPr>
            <w:tcW w:w="1313" w:type="dxa"/>
            <w:tcBorders>
              <w:top w:val="nil"/>
              <w:left w:val="nil"/>
              <w:bottom w:val="nil"/>
              <w:right w:val="nil"/>
            </w:tcBorders>
            <w:shd w:val="clear" w:color="000000" w:fill="EDEDED"/>
            <w:noWrap/>
            <w:vAlign w:val="center"/>
            <w:hideMark/>
          </w:tcPr>
          <w:p w14:paraId="4020F7DA" w14:textId="77777777" w:rsidR="00572F25" w:rsidRPr="00FB18CE" w:rsidRDefault="00572F25" w:rsidP="00140544">
            <w:pPr>
              <w:spacing w:after="0"/>
              <w:jc w:val="right"/>
              <w:rPr>
                <w:rFonts w:cs="Arial"/>
                <w:color w:val="000000"/>
                <w:sz w:val="18"/>
                <w:szCs w:val="18"/>
              </w:rPr>
            </w:pPr>
            <w:r w:rsidRPr="00FB18CE">
              <w:rPr>
                <w:rFonts w:cs="Arial"/>
                <w:color w:val="000000"/>
                <w:sz w:val="18"/>
                <w:szCs w:val="18"/>
              </w:rPr>
              <w:t>28</w:t>
            </w:r>
          </w:p>
        </w:tc>
        <w:tc>
          <w:tcPr>
            <w:tcW w:w="1314" w:type="dxa"/>
            <w:tcBorders>
              <w:top w:val="nil"/>
              <w:left w:val="nil"/>
              <w:bottom w:val="nil"/>
              <w:right w:val="nil"/>
            </w:tcBorders>
            <w:shd w:val="clear" w:color="000000" w:fill="EDEDED"/>
            <w:noWrap/>
            <w:vAlign w:val="center"/>
            <w:hideMark/>
          </w:tcPr>
          <w:p w14:paraId="4BD13445" w14:textId="77777777" w:rsidR="00572F25" w:rsidRPr="00FB18CE" w:rsidRDefault="00572F25" w:rsidP="00140544">
            <w:pPr>
              <w:spacing w:after="0"/>
              <w:rPr>
                <w:rFonts w:cs="Arial"/>
                <w:color w:val="000000"/>
                <w:sz w:val="18"/>
                <w:szCs w:val="18"/>
              </w:rPr>
            </w:pPr>
            <w:r w:rsidRPr="00FB18CE">
              <w:rPr>
                <w:rFonts w:cs="Arial"/>
                <w:color w:val="000000"/>
                <w:sz w:val="18"/>
                <w:szCs w:val="18"/>
              </w:rPr>
              <w:t>68.3</w:t>
            </w:r>
          </w:p>
        </w:tc>
      </w:tr>
      <w:tr w:rsidR="00572F25" w:rsidRPr="00FB18CE" w14:paraId="6E4CFBFF" w14:textId="77777777" w:rsidTr="00140544">
        <w:trPr>
          <w:trHeight w:val="347"/>
        </w:trPr>
        <w:tc>
          <w:tcPr>
            <w:tcW w:w="2551" w:type="dxa"/>
            <w:tcBorders>
              <w:top w:val="nil"/>
              <w:left w:val="nil"/>
              <w:bottom w:val="nil"/>
              <w:right w:val="nil"/>
            </w:tcBorders>
            <w:shd w:val="clear" w:color="auto" w:fill="auto"/>
            <w:noWrap/>
            <w:vAlign w:val="center"/>
            <w:hideMark/>
          </w:tcPr>
          <w:p w14:paraId="2BEE881C" w14:textId="77777777" w:rsidR="00572F25" w:rsidRPr="00FB18CE" w:rsidRDefault="00572F25" w:rsidP="00140544">
            <w:pPr>
              <w:spacing w:after="0"/>
              <w:rPr>
                <w:rFonts w:cs="Arial"/>
                <w:color w:val="000000"/>
                <w:sz w:val="18"/>
                <w:szCs w:val="18"/>
              </w:rPr>
            </w:pPr>
            <w:r w:rsidRPr="00FB18CE">
              <w:rPr>
                <w:rFonts w:cs="Arial"/>
                <w:color w:val="000000"/>
                <w:sz w:val="18"/>
                <w:szCs w:val="18"/>
              </w:rPr>
              <w:t>Ciprofloxacin</w:t>
            </w:r>
          </w:p>
        </w:tc>
        <w:tc>
          <w:tcPr>
            <w:tcW w:w="1313" w:type="dxa"/>
            <w:tcBorders>
              <w:top w:val="nil"/>
              <w:left w:val="nil"/>
              <w:bottom w:val="nil"/>
              <w:right w:val="nil"/>
            </w:tcBorders>
            <w:shd w:val="clear" w:color="auto" w:fill="auto"/>
            <w:noWrap/>
            <w:vAlign w:val="center"/>
            <w:hideMark/>
          </w:tcPr>
          <w:p w14:paraId="78E853F0" w14:textId="77777777" w:rsidR="00572F25" w:rsidRPr="00195C5D" w:rsidRDefault="00572F25" w:rsidP="00140544">
            <w:pPr>
              <w:spacing w:after="0"/>
              <w:jc w:val="right"/>
              <w:rPr>
                <w:rFonts w:cs="Arial"/>
                <w:color w:val="000000"/>
                <w:sz w:val="18"/>
                <w:szCs w:val="18"/>
              </w:rPr>
            </w:pPr>
            <w:r w:rsidRPr="00195C5D">
              <w:rPr>
                <w:rFonts w:cs="Arial"/>
                <w:color w:val="000000"/>
                <w:sz w:val="18"/>
                <w:szCs w:val="18"/>
              </w:rPr>
              <w:t>40</w:t>
            </w:r>
          </w:p>
        </w:tc>
        <w:tc>
          <w:tcPr>
            <w:tcW w:w="1314" w:type="dxa"/>
            <w:tcBorders>
              <w:top w:val="nil"/>
              <w:left w:val="nil"/>
              <w:bottom w:val="nil"/>
              <w:right w:val="nil"/>
            </w:tcBorders>
            <w:shd w:val="clear" w:color="auto" w:fill="auto"/>
            <w:noWrap/>
            <w:vAlign w:val="center"/>
            <w:hideMark/>
          </w:tcPr>
          <w:p w14:paraId="03E9201E" w14:textId="77777777" w:rsidR="00572F25" w:rsidRPr="00FB18CE" w:rsidRDefault="00572F25" w:rsidP="00140544">
            <w:pPr>
              <w:spacing w:after="0"/>
              <w:rPr>
                <w:rFonts w:cs="Arial"/>
                <w:color w:val="000000"/>
                <w:sz w:val="18"/>
                <w:szCs w:val="18"/>
              </w:rPr>
            </w:pPr>
            <w:r w:rsidRPr="00FB18CE">
              <w:rPr>
                <w:rFonts w:cs="Arial"/>
                <w:color w:val="000000"/>
                <w:sz w:val="18"/>
                <w:szCs w:val="18"/>
              </w:rPr>
              <w:t>0.4</w:t>
            </w:r>
          </w:p>
        </w:tc>
        <w:tc>
          <w:tcPr>
            <w:tcW w:w="1313" w:type="dxa"/>
            <w:tcBorders>
              <w:top w:val="nil"/>
              <w:left w:val="nil"/>
              <w:bottom w:val="nil"/>
              <w:right w:val="nil"/>
            </w:tcBorders>
            <w:shd w:val="clear" w:color="auto" w:fill="auto"/>
            <w:noWrap/>
            <w:vAlign w:val="center"/>
            <w:hideMark/>
          </w:tcPr>
          <w:p w14:paraId="2181D12D" w14:textId="77777777" w:rsidR="00572F25" w:rsidRPr="00FB18CE" w:rsidRDefault="00572F25" w:rsidP="00140544">
            <w:pPr>
              <w:spacing w:after="0"/>
              <w:jc w:val="right"/>
              <w:rPr>
                <w:rFonts w:cs="Arial"/>
                <w:color w:val="000000"/>
                <w:sz w:val="18"/>
                <w:szCs w:val="18"/>
              </w:rPr>
            </w:pPr>
            <w:r w:rsidRPr="00FB18CE">
              <w:rPr>
                <w:rFonts w:cs="Arial"/>
                <w:color w:val="000000"/>
                <w:sz w:val="18"/>
                <w:szCs w:val="18"/>
              </w:rPr>
              <w:t>23</w:t>
            </w:r>
          </w:p>
        </w:tc>
        <w:tc>
          <w:tcPr>
            <w:tcW w:w="1314" w:type="dxa"/>
            <w:tcBorders>
              <w:top w:val="nil"/>
              <w:left w:val="nil"/>
              <w:bottom w:val="nil"/>
              <w:right w:val="nil"/>
            </w:tcBorders>
            <w:shd w:val="clear" w:color="auto" w:fill="auto"/>
            <w:noWrap/>
            <w:vAlign w:val="center"/>
            <w:hideMark/>
          </w:tcPr>
          <w:p w14:paraId="0C42809F" w14:textId="77777777" w:rsidR="00572F25" w:rsidRPr="00FB18CE" w:rsidRDefault="00572F25" w:rsidP="00140544">
            <w:pPr>
              <w:spacing w:after="0"/>
              <w:rPr>
                <w:rFonts w:cs="Arial"/>
                <w:color w:val="000000"/>
                <w:sz w:val="18"/>
                <w:szCs w:val="18"/>
              </w:rPr>
            </w:pPr>
            <w:r w:rsidRPr="00FB18CE">
              <w:rPr>
                <w:rFonts w:cs="Arial"/>
                <w:color w:val="000000"/>
                <w:sz w:val="18"/>
                <w:szCs w:val="18"/>
              </w:rPr>
              <w:t>57.5</w:t>
            </w:r>
          </w:p>
        </w:tc>
      </w:tr>
      <w:tr w:rsidR="00572F25" w:rsidRPr="00FB18CE" w14:paraId="47C2B609" w14:textId="77777777" w:rsidTr="00140544">
        <w:trPr>
          <w:trHeight w:val="347"/>
        </w:trPr>
        <w:tc>
          <w:tcPr>
            <w:tcW w:w="2551" w:type="dxa"/>
            <w:tcBorders>
              <w:top w:val="nil"/>
              <w:left w:val="nil"/>
              <w:bottom w:val="nil"/>
              <w:right w:val="nil"/>
            </w:tcBorders>
            <w:shd w:val="clear" w:color="000000" w:fill="F1F1F2"/>
            <w:noWrap/>
            <w:vAlign w:val="center"/>
            <w:hideMark/>
          </w:tcPr>
          <w:p w14:paraId="1A6C543C" w14:textId="77777777" w:rsidR="00572F25" w:rsidRPr="00FB18CE" w:rsidRDefault="00572F25" w:rsidP="00140544">
            <w:pPr>
              <w:spacing w:after="0"/>
              <w:rPr>
                <w:rFonts w:cs="Arial"/>
                <w:color w:val="000000"/>
                <w:sz w:val="18"/>
                <w:szCs w:val="18"/>
              </w:rPr>
            </w:pPr>
            <w:r w:rsidRPr="00FB18CE">
              <w:rPr>
                <w:rFonts w:cs="Arial"/>
                <w:color w:val="000000"/>
                <w:sz w:val="18"/>
                <w:szCs w:val="18"/>
              </w:rPr>
              <w:t>Amoxicillin</w:t>
            </w:r>
          </w:p>
        </w:tc>
        <w:tc>
          <w:tcPr>
            <w:tcW w:w="1313" w:type="dxa"/>
            <w:tcBorders>
              <w:top w:val="nil"/>
              <w:left w:val="nil"/>
              <w:bottom w:val="nil"/>
              <w:right w:val="nil"/>
            </w:tcBorders>
            <w:shd w:val="clear" w:color="000000" w:fill="EDEDED"/>
            <w:noWrap/>
            <w:vAlign w:val="center"/>
            <w:hideMark/>
          </w:tcPr>
          <w:p w14:paraId="48E8392B" w14:textId="77777777" w:rsidR="00572F25" w:rsidRPr="00195C5D" w:rsidRDefault="00572F25" w:rsidP="00140544">
            <w:pPr>
              <w:spacing w:after="0"/>
              <w:jc w:val="right"/>
              <w:rPr>
                <w:rFonts w:cs="Arial"/>
                <w:color w:val="000000"/>
                <w:sz w:val="18"/>
                <w:szCs w:val="18"/>
              </w:rPr>
            </w:pPr>
            <w:r w:rsidRPr="00195C5D">
              <w:rPr>
                <w:rFonts w:cs="Arial"/>
                <w:color w:val="000000"/>
                <w:sz w:val="18"/>
                <w:szCs w:val="18"/>
              </w:rPr>
              <w:t>34</w:t>
            </w:r>
          </w:p>
        </w:tc>
        <w:tc>
          <w:tcPr>
            <w:tcW w:w="1314" w:type="dxa"/>
            <w:tcBorders>
              <w:top w:val="nil"/>
              <w:left w:val="nil"/>
              <w:bottom w:val="nil"/>
              <w:right w:val="nil"/>
            </w:tcBorders>
            <w:shd w:val="clear" w:color="000000" w:fill="EDEDED"/>
            <w:noWrap/>
            <w:vAlign w:val="center"/>
            <w:hideMark/>
          </w:tcPr>
          <w:p w14:paraId="0FE60961" w14:textId="77777777" w:rsidR="00572F25" w:rsidRPr="00FB18CE" w:rsidRDefault="00572F25" w:rsidP="00140544">
            <w:pPr>
              <w:spacing w:after="0"/>
              <w:rPr>
                <w:rFonts w:cs="Arial"/>
                <w:color w:val="000000"/>
                <w:sz w:val="18"/>
                <w:szCs w:val="18"/>
              </w:rPr>
            </w:pPr>
            <w:r w:rsidRPr="00FB18CE">
              <w:rPr>
                <w:rFonts w:cs="Arial"/>
                <w:color w:val="000000"/>
                <w:sz w:val="18"/>
                <w:szCs w:val="18"/>
              </w:rPr>
              <w:t>0.4</w:t>
            </w:r>
          </w:p>
        </w:tc>
        <w:tc>
          <w:tcPr>
            <w:tcW w:w="1313" w:type="dxa"/>
            <w:tcBorders>
              <w:top w:val="nil"/>
              <w:left w:val="nil"/>
              <w:bottom w:val="nil"/>
              <w:right w:val="nil"/>
            </w:tcBorders>
            <w:shd w:val="clear" w:color="000000" w:fill="EDEDED"/>
            <w:noWrap/>
            <w:vAlign w:val="center"/>
            <w:hideMark/>
          </w:tcPr>
          <w:p w14:paraId="07029127" w14:textId="77777777" w:rsidR="00572F25" w:rsidRPr="00FB18CE" w:rsidRDefault="00572F25" w:rsidP="00140544">
            <w:pPr>
              <w:spacing w:after="0"/>
              <w:jc w:val="right"/>
              <w:rPr>
                <w:rFonts w:cs="Arial"/>
                <w:color w:val="000000"/>
                <w:sz w:val="18"/>
                <w:szCs w:val="18"/>
              </w:rPr>
            </w:pPr>
            <w:r w:rsidRPr="00FB18CE">
              <w:rPr>
                <w:rFonts w:cs="Arial"/>
                <w:color w:val="000000"/>
                <w:sz w:val="18"/>
                <w:szCs w:val="18"/>
              </w:rPr>
              <w:t>27</w:t>
            </w:r>
          </w:p>
        </w:tc>
        <w:tc>
          <w:tcPr>
            <w:tcW w:w="1314" w:type="dxa"/>
            <w:tcBorders>
              <w:top w:val="nil"/>
              <w:left w:val="nil"/>
              <w:bottom w:val="nil"/>
              <w:right w:val="nil"/>
            </w:tcBorders>
            <w:shd w:val="clear" w:color="000000" w:fill="EDEDED"/>
            <w:noWrap/>
            <w:vAlign w:val="center"/>
            <w:hideMark/>
          </w:tcPr>
          <w:p w14:paraId="08874084" w14:textId="77777777" w:rsidR="00572F25" w:rsidRPr="00FB18CE" w:rsidRDefault="00572F25" w:rsidP="00140544">
            <w:pPr>
              <w:spacing w:after="0"/>
              <w:rPr>
                <w:rFonts w:cs="Arial"/>
                <w:color w:val="000000"/>
                <w:sz w:val="18"/>
                <w:szCs w:val="18"/>
              </w:rPr>
            </w:pPr>
            <w:r w:rsidRPr="00FB18CE">
              <w:rPr>
                <w:rFonts w:cs="Arial"/>
                <w:color w:val="000000"/>
                <w:sz w:val="18"/>
                <w:szCs w:val="18"/>
              </w:rPr>
              <w:t>79.4</w:t>
            </w:r>
          </w:p>
        </w:tc>
      </w:tr>
      <w:tr w:rsidR="00572F25" w:rsidRPr="00FB18CE" w14:paraId="5070AADE" w14:textId="77777777" w:rsidTr="00140544">
        <w:trPr>
          <w:trHeight w:val="347"/>
        </w:trPr>
        <w:tc>
          <w:tcPr>
            <w:tcW w:w="2551" w:type="dxa"/>
            <w:tcBorders>
              <w:top w:val="nil"/>
              <w:left w:val="nil"/>
              <w:bottom w:val="nil"/>
              <w:right w:val="nil"/>
            </w:tcBorders>
            <w:shd w:val="clear" w:color="auto" w:fill="auto"/>
            <w:noWrap/>
            <w:vAlign w:val="center"/>
            <w:hideMark/>
          </w:tcPr>
          <w:p w14:paraId="13CE45F2" w14:textId="77777777" w:rsidR="00572F25" w:rsidRPr="00FB18CE" w:rsidRDefault="00572F25" w:rsidP="00140544">
            <w:pPr>
              <w:spacing w:after="0"/>
              <w:rPr>
                <w:rFonts w:cs="Arial"/>
                <w:color w:val="000000"/>
                <w:sz w:val="18"/>
                <w:szCs w:val="18"/>
              </w:rPr>
            </w:pPr>
            <w:r w:rsidRPr="00FB18CE">
              <w:rPr>
                <w:rFonts w:cs="Arial"/>
                <w:color w:val="000000"/>
                <w:sz w:val="18"/>
                <w:szCs w:val="18"/>
              </w:rPr>
              <w:t>Teicoplanin</w:t>
            </w:r>
          </w:p>
        </w:tc>
        <w:tc>
          <w:tcPr>
            <w:tcW w:w="1313" w:type="dxa"/>
            <w:tcBorders>
              <w:top w:val="nil"/>
              <w:left w:val="nil"/>
              <w:bottom w:val="nil"/>
              <w:right w:val="nil"/>
            </w:tcBorders>
            <w:shd w:val="clear" w:color="auto" w:fill="auto"/>
            <w:noWrap/>
            <w:vAlign w:val="center"/>
            <w:hideMark/>
          </w:tcPr>
          <w:p w14:paraId="6B5E241C" w14:textId="77777777" w:rsidR="00572F25" w:rsidRPr="00195C5D" w:rsidRDefault="00572F25" w:rsidP="00140544">
            <w:pPr>
              <w:spacing w:after="0"/>
              <w:jc w:val="right"/>
              <w:rPr>
                <w:rFonts w:cs="Arial"/>
                <w:color w:val="000000"/>
                <w:sz w:val="18"/>
                <w:szCs w:val="18"/>
              </w:rPr>
            </w:pPr>
            <w:r w:rsidRPr="00195C5D">
              <w:rPr>
                <w:rFonts w:cs="Arial"/>
                <w:color w:val="000000"/>
                <w:sz w:val="18"/>
                <w:szCs w:val="18"/>
              </w:rPr>
              <w:t>33</w:t>
            </w:r>
          </w:p>
        </w:tc>
        <w:tc>
          <w:tcPr>
            <w:tcW w:w="1314" w:type="dxa"/>
            <w:tcBorders>
              <w:top w:val="nil"/>
              <w:left w:val="nil"/>
              <w:bottom w:val="nil"/>
              <w:right w:val="nil"/>
            </w:tcBorders>
            <w:shd w:val="clear" w:color="auto" w:fill="auto"/>
            <w:noWrap/>
            <w:vAlign w:val="center"/>
            <w:hideMark/>
          </w:tcPr>
          <w:p w14:paraId="159C4627" w14:textId="77777777" w:rsidR="00572F25" w:rsidRPr="00FB18CE" w:rsidRDefault="00572F25" w:rsidP="00140544">
            <w:pPr>
              <w:spacing w:after="0"/>
              <w:rPr>
                <w:rFonts w:cs="Arial"/>
                <w:color w:val="000000"/>
                <w:sz w:val="18"/>
                <w:szCs w:val="18"/>
              </w:rPr>
            </w:pPr>
            <w:r w:rsidRPr="00FB18CE">
              <w:rPr>
                <w:rFonts w:cs="Arial"/>
                <w:color w:val="000000"/>
                <w:sz w:val="18"/>
                <w:szCs w:val="18"/>
              </w:rPr>
              <w:t>0.3</w:t>
            </w:r>
          </w:p>
        </w:tc>
        <w:tc>
          <w:tcPr>
            <w:tcW w:w="1313" w:type="dxa"/>
            <w:tcBorders>
              <w:top w:val="nil"/>
              <w:left w:val="nil"/>
              <w:bottom w:val="nil"/>
              <w:right w:val="nil"/>
            </w:tcBorders>
            <w:shd w:val="clear" w:color="auto" w:fill="auto"/>
            <w:noWrap/>
            <w:vAlign w:val="center"/>
            <w:hideMark/>
          </w:tcPr>
          <w:p w14:paraId="273C02F0" w14:textId="77777777" w:rsidR="00572F25" w:rsidRPr="00FB18CE" w:rsidRDefault="00572F25" w:rsidP="00140544">
            <w:pPr>
              <w:spacing w:after="0"/>
              <w:jc w:val="right"/>
              <w:rPr>
                <w:rFonts w:cs="Arial"/>
                <w:color w:val="000000"/>
                <w:sz w:val="18"/>
                <w:szCs w:val="18"/>
              </w:rPr>
            </w:pPr>
            <w:r w:rsidRPr="00FB18CE">
              <w:rPr>
                <w:rFonts w:cs="Arial"/>
                <w:color w:val="000000"/>
                <w:sz w:val="18"/>
                <w:szCs w:val="18"/>
              </w:rPr>
              <w:t>6</w:t>
            </w:r>
          </w:p>
        </w:tc>
        <w:tc>
          <w:tcPr>
            <w:tcW w:w="1314" w:type="dxa"/>
            <w:tcBorders>
              <w:top w:val="nil"/>
              <w:left w:val="nil"/>
              <w:bottom w:val="nil"/>
              <w:right w:val="nil"/>
            </w:tcBorders>
            <w:shd w:val="clear" w:color="auto" w:fill="auto"/>
            <w:noWrap/>
            <w:vAlign w:val="center"/>
            <w:hideMark/>
          </w:tcPr>
          <w:p w14:paraId="44497094" w14:textId="77777777" w:rsidR="00572F25" w:rsidRPr="00FB18CE" w:rsidRDefault="00572F25" w:rsidP="00140544">
            <w:pPr>
              <w:spacing w:after="0"/>
              <w:rPr>
                <w:rFonts w:cs="Arial"/>
                <w:color w:val="000000"/>
                <w:sz w:val="18"/>
                <w:szCs w:val="18"/>
              </w:rPr>
            </w:pPr>
            <w:r w:rsidRPr="00FB18CE">
              <w:rPr>
                <w:rFonts w:cs="Arial"/>
                <w:color w:val="000000"/>
                <w:sz w:val="18"/>
                <w:szCs w:val="18"/>
              </w:rPr>
              <w:t>18.2</w:t>
            </w:r>
          </w:p>
        </w:tc>
      </w:tr>
      <w:tr w:rsidR="00572F25" w:rsidRPr="00FB18CE" w14:paraId="244F1FE8" w14:textId="77777777" w:rsidTr="00140544">
        <w:trPr>
          <w:trHeight w:val="347"/>
        </w:trPr>
        <w:tc>
          <w:tcPr>
            <w:tcW w:w="2551" w:type="dxa"/>
            <w:tcBorders>
              <w:top w:val="nil"/>
              <w:left w:val="nil"/>
              <w:bottom w:val="nil"/>
              <w:right w:val="nil"/>
            </w:tcBorders>
            <w:shd w:val="clear" w:color="000000" w:fill="F1F1F2"/>
            <w:noWrap/>
            <w:vAlign w:val="center"/>
            <w:hideMark/>
          </w:tcPr>
          <w:p w14:paraId="0D57DCF8" w14:textId="77777777" w:rsidR="00572F25" w:rsidRPr="00FB18CE" w:rsidRDefault="00572F25" w:rsidP="00140544">
            <w:pPr>
              <w:spacing w:after="0"/>
              <w:rPr>
                <w:rFonts w:cs="Arial"/>
                <w:color w:val="000000"/>
                <w:sz w:val="18"/>
                <w:szCs w:val="18"/>
              </w:rPr>
            </w:pPr>
            <w:r w:rsidRPr="00FB18CE">
              <w:rPr>
                <w:rFonts w:cs="Arial"/>
                <w:color w:val="000000"/>
                <w:sz w:val="18"/>
                <w:szCs w:val="18"/>
              </w:rPr>
              <w:t>Lincomycin</w:t>
            </w:r>
          </w:p>
        </w:tc>
        <w:tc>
          <w:tcPr>
            <w:tcW w:w="1313" w:type="dxa"/>
            <w:tcBorders>
              <w:top w:val="nil"/>
              <w:left w:val="nil"/>
              <w:bottom w:val="nil"/>
              <w:right w:val="nil"/>
            </w:tcBorders>
            <w:shd w:val="clear" w:color="000000" w:fill="EDEDED"/>
            <w:noWrap/>
            <w:vAlign w:val="center"/>
            <w:hideMark/>
          </w:tcPr>
          <w:p w14:paraId="7EC4D328" w14:textId="77777777" w:rsidR="00572F25" w:rsidRPr="00195C5D" w:rsidRDefault="00572F25" w:rsidP="00140544">
            <w:pPr>
              <w:spacing w:after="0"/>
              <w:jc w:val="right"/>
              <w:rPr>
                <w:rFonts w:cs="Arial"/>
                <w:color w:val="000000"/>
                <w:sz w:val="18"/>
                <w:szCs w:val="18"/>
              </w:rPr>
            </w:pPr>
            <w:r w:rsidRPr="00195C5D">
              <w:rPr>
                <w:rFonts w:cs="Arial"/>
                <w:color w:val="000000"/>
                <w:sz w:val="18"/>
                <w:szCs w:val="18"/>
              </w:rPr>
              <w:t>32</w:t>
            </w:r>
          </w:p>
        </w:tc>
        <w:tc>
          <w:tcPr>
            <w:tcW w:w="1314" w:type="dxa"/>
            <w:tcBorders>
              <w:top w:val="nil"/>
              <w:left w:val="nil"/>
              <w:bottom w:val="nil"/>
              <w:right w:val="nil"/>
            </w:tcBorders>
            <w:shd w:val="clear" w:color="000000" w:fill="EDEDED"/>
            <w:noWrap/>
            <w:vAlign w:val="center"/>
            <w:hideMark/>
          </w:tcPr>
          <w:p w14:paraId="5FE5A728" w14:textId="77777777" w:rsidR="00572F25" w:rsidRPr="00FB18CE" w:rsidRDefault="00572F25" w:rsidP="00140544">
            <w:pPr>
              <w:spacing w:after="0"/>
              <w:rPr>
                <w:rFonts w:cs="Arial"/>
                <w:color w:val="000000"/>
                <w:sz w:val="18"/>
                <w:szCs w:val="18"/>
              </w:rPr>
            </w:pPr>
            <w:r w:rsidRPr="00FB18CE">
              <w:rPr>
                <w:rFonts w:cs="Arial"/>
                <w:color w:val="000000"/>
                <w:sz w:val="18"/>
                <w:szCs w:val="18"/>
              </w:rPr>
              <w:t>0.3</w:t>
            </w:r>
          </w:p>
        </w:tc>
        <w:tc>
          <w:tcPr>
            <w:tcW w:w="1313" w:type="dxa"/>
            <w:tcBorders>
              <w:top w:val="nil"/>
              <w:left w:val="nil"/>
              <w:bottom w:val="nil"/>
              <w:right w:val="nil"/>
            </w:tcBorders>
            <w:shd w:val="clear" w:color="000000" w:fill="EDEDED"/>
            <w:noWrap/>
            <w:vAlign w:val="center"/>
            <w:hideMark/>
          </w:tcPr>
          <w:p w14:paraId="084A8CAA" w14:textId="77777777" w:rsidR="00572F25" w:rsidRPr="00FB18CE" w:rsidRDefault="00572F25" w:rsidP="00140544">
            <w:pPr>
              <w:spacing w:after="0"/>
              <w:jc w:val="right"/>
              <w:rPr>
                <w:rFonts w:cs="Arial"/>
                <w:color w:val="000000"/>
                <w:sz w:val="18"/>
                <w:szCs w:val="18"/>
              </w:rPr>
            </w:pPr>
            <w:r w:rsidRPr="00FB18CE">
              <w:rPr>
                <w:rFonts w:cs="Arial"/>
                <w:color w:val="000000"/>
                <w:sz w:val="18"/>
                <w:szCs w:val="18"/>
              </w:rPr>
              <w:t>15</w:t>
            </w:r>
          </w:p>
        </w:tc>
        <w:tc>
          <w:tcPr>
            <w:tcW w:w="1314" w:type="dxa"/>
            <w:tcBorders>
              <w:top w:val="nil"/>
              <w:left w:val="nil"/>
              <w:bottom w:val="nil"/>
              <w:right w:val="nil"/>
            </w:tcBorders>
            <w:shd w:val="clear" w:color="000000" w:fill="EDEDED"/>
            <w:noWrap/>
            <w:vAlign w:val="center"/>
            <w:hideMark/>
          </w:tcPr>
          <w:p w14:paraId="2F031526" w14:textId="77777777" w:rsidR="00572F25" w:rsidRPr="00FB18CE" w:rsidRDefault="00572F25" w:rsidP="00140544">
            <w:pPr>
              <w:spacing w:after="0"/>
              <w:rPr>
                <w:rFonts w:cs="Arial"/>
                <w:color w:val="000000"/>
                <w:sz w:val="18"/>
                <w:szCs w:val="18"/>
              </w:rPr>
            </w:pPr>
            <w:r w:rsidRPr="00FB18CE">
              <w:rPr>
                <w:rFonts w:cs="Arial"/>
                <w:color w:val="000000"/>
                <w:sz w:val="18"/>
                <w:szCs w:val="18"/>
              </w:rPr>
              <w:t>46.9</w:t>
            </w:r>
          </w:p>
        </w:tc>
      </w:tr>
      <w:tr w:rsidR="00572F25" w:rsidRPr="00FB18CE" w14:paraId="7DC5DA19" w14:textId="77777777" w:rsidTr="00140544">
        <w:trPr>
          <w:trHeight w:val="347"/>
        </w:trPr>
        <w:tc>
          <w:tcPr>
            <w:tcW w:w="2551" w:type="dxa"/>
            <w:tcBorders>
              <w:top w:val="nil"/>
              <w:left w:val="nil"/>
              <w:bottom w:val="nil"/>
              <w:right w:val="nil"/>
            </w:tcBorders>
            <w:shd w:val="clear" w:color="auto" w:fill="auto"/>
            <w:noWrap/>
            <w:vAlign w:val="center"/>
            <w:hideMark/>
          </w:tcPr>
          <w:p w14:paraId="0A87DD9A" w14:textId="77777777" w:rsidR="00572F25" w:rsidRPr="00FB18CE" w:rsidRDefault="00572F25" w:rsidP="00140544">
            <w:pPr>
              <w:spacing w:after="0"/>
              <w:rPr>
                <w:rFonts w:cs="Arial"/>
                <w:color w:val="000000"/>
                <w:sz w:val="18"/>
                <w:szCs w:val="18"/>
              </w:rPr>
            </w:pPr>
            <w:r w:rsidRPr="00FB18CE">
              <w:rPr>
                <w:rFonts w:cs="Arial"/>
                <w:color w:val="000000"/>
                <w:sz w:val="18"/>
                <w:szCs w:val="18"/>
              </w:rPr>
              <w:t>Cefalexin</w:t>
            </w:r>
          </w:p>
        </w:tc>
        <w:tc>
          <w:tcPr>
            <w:tcW w:w="1313" w:type="dxa"/>
            <w:tcBorders>
              <w:top w:val="nil"/>
              <w:left w:val="nil"/>
              <w:bottom w:val="nil"/>
              <w:right w:val="nil"/>
            </w:tcBorders>
            <w:shd w:val="clear" w:color="auto" w:fill="auto"/>
            <w:noWrap/>
            <w:vAlign w:val="center"/>
            <w:hideMark/>
          </w:tcPr>
          <w:p w14:paraId="194D1A04" w14:textId="77777777" w:rsidR="00572F25" w:rsidRPr="00195C5D" w:rsidRDefault="00572F25" w:rsidP="00140544">
            <w:pPr>
              <w:spacing w:after="0"/>
              <w:jc w:val="right"/>
              <w:rPr>
                <w:rFonts w:cs="Arial"/>
                <w:color w:val="000000"/>
                <w:sz w:val="18"/>
                <w:szCs w:val="18"/>
              </w:rPr>
            </w:pPr>
            <w:r w:rsidRPr="00195C5D">
              <w:rPr>
                <w:rFonts w:cs="Arial"/>
                <w:color w:val="000000"/>
                <w:sz w:val="18"/>
                <w:szCs w:val="18"/>
              </w:rPr>
              <w:t>21</w:t>
            </w:r>
          </w:p>
        </w:tc>
        <w:tc>
          <w:tcPr>
            <w:tcW w:w="1314" w:type="dxa"/>
            <w:tcBorders>
              <w:top w:val="nil"/>
              <w:left w:val="nil"/>
              <w:bottom w:val="nil"/>
              <w:right w:val="nil"/>
            </w:tcBorders>
            <w:shd w:val="clear" w:color="auto" w:fill="auto"/>
            <w:noWrap/>
            <w:vAlign w:val="center"/>
            <w:hideMark/>
          </w:tcPr>
          <w:p w14:paraId="3DEBC05A" w14:textId="77777777" w:rsidR="00572F25" w:rsidRPr="00FB18CE" w:rsidRDefault="00572F25" w:rsidP="00140544">
            <w:pPr>
              <w:spacing w:after="0"/>
              <w:rPr>
                <w:rFonts w:cs="Arial"/>
                <w:color w:val="000000"/>
                <w:sz w:val="18"/>
                <w:szCs w:val="18"/>
              </w:rPr>
            </w:pPr>
            <w:r w:rsidRPr="00FB18CE">
              <w:rPr>
                <w:rFonts w:cs="Arial"/>
                <w:color w:val="000000"/>
                <w:sz w:val="18"/>
                <w:szCs w:val="18"/>
              </w:rPr>
              <w:t>0.2</w:t>
            </w:r>
          </w:p>
        </w:tc>
        <w:tc>
          <w:tcPr>
            <w:tcW w:w="1313" w:type="dxa"/>
            <w:tcBorders>
              <w:top w:val="nil"/>
              <w:left w:val="nil"/>
              <w:bottom w:val="nil"/>
              <w:right w:val="nil"/>
            </w:tcBorders>
            <w:shd w:val="clear" w:color="auto" w:fill="auto"/>
            <w:noWrap/>
            <w:vAlign w:val="center"/>
            <w:hideMark/>
          </w:tcPr>
          <w:p w14:paraId="183F1FAE" w14:textId="77777777" w:rsidR="00572F25" w:rsidRPr="00FB18CE" w:rsidRDefault="00572F25" w:rsidP="00140544">
            <w:pPr>
              <w:spacing w:after="0"/>
              <w:jc w:val="right"/>
              <w:rPr>
                <w:rFonts w:cs="Arial"/>
                <w:color w:val="000000"/>
                <w:sz w:val="18"/>
                <w:szCs w:val="18"/>
              </w:rPr>
            </w:pPr>
            <w:r w:rsidRPr="00FB18CE">
              <w:rPr>
                <w:rFonts w:cs="Arial"/>
                <w:color w:val="000000"/>
                <w:sz w:val="18"/>
                <w:szCs w:val="18"/>
              </w:rPr>
              <w:t>4</w:t>
            </w:r>
          </w:p>
        </w:tc>
        <w:tc>
          <w:tcPr>
            <w:tcW w:w="1314" w:type="dxa"/>
            <w:tcBorders>
              <w:top w:val="nil"/>
              <w:left w:val="nil"/>
              <w:bottom w:val="nil"/>
              <w:right w:val="nil"/>
            </w:tcBorders>
            <w:shd w:val="clear" w:color="auto" w:fill="auto"/>
            <w:noWrap/>
            <w:vAlign w:val="center"/>
            <w:hideMark/>
          </w:tcPr>
          <w:p w14:paraId="48AF07AA" w14:textId="77777777" w:rsidR="00572F25" w:rsidRPr="00FB18CE" w:rsidRDefault="00572F25" w:rsidP="00140544">
            <w:pPr>
              <w:spacing w:after="0"/>
              <w:rPr>
                <w:rFonts w:cs="Arial"/>
                <w:color w:val="000000"/>
                <w:sz w:val="18"/>
                <w:szCs w:val="18"/>
              </w:rPr>
            </w:pPr>
            <w:r w:rsidRPr="00FB18CE">
              <w:rPr>
                <w:rFonts w:cs="Arial"/>
                <w:color w:val="000000"/>
                <w:sz w:val="18"/>
                <w:szCs w:val="18"/>
              </w:rPr>
              <w:t>19.0</w:t>
            </w:r>
          </w:p>
        </w:tc>
      </w:tr>
      <w:tr w:rsidR="00572F25" w:rsidRPr="00FB18CE" w14:paraId="7EE3BAA7" w14:textId="77777777" w:rsidTr="00140544">
        <w:trPr>
          <w:trHeight w:val="347"/>
        </w:trPr>
        <w:tc>
          <w:tcPr>
            <w:tcW w:w="2551" w:type="dxa"/>
            <w:tcBorders>
              <w:top w:val="nil"/>
              <w:left w:val="nil"/>
              <w:bottom w:val="nil"/>
              <w:right w:val="nil"/>
            </w:tcBorders>
            <w:shd w:val="clear" w:color="000000" w:fill="F1F1F2"/>
            <w:noWrap/>
            <w:vAlign w:val="center"/>
            <w:hideMark/>
          </w:tcPr>
          <w:p w14:paraId="2A4CED04" w14:textId="77777777" w:rsidR="00572F25" w:rsidRPr="00FB18CE" w:rsidRDefault="00572F25" w:rsidP="00140544">
            <w:pPr>
              <w:spacing w:after="0"/>
              <w:rPr>
                <w:rFonts w:cs="Arial"/>
                <w:color w:val="000000"/>
                <w:sz w:val="18"/>
                <w:szCs w:val="18"/>
              </w:rPr>
            </w:pPr>
            <w:r w:rsidRPr="00FB18CE">
              <w:rPr>
                <w:rFonts w:cs="Arial"/>
                <w:color w:val="000000"/>
                <w:sz w:val="18"/>
                <w:szCs w:val="18"/>
              </w:rPr>
              <w:t>Flucloxacillin</w:t>
            </w:r>
          </w:p>
        </w:tc>
        <w:tc>
          <w:tcPr>
            <w:tcW w:w="1313" w:type="dxa"/>
            <w:tcBorders>
              <w:top w:val="nil"/>
              <w:left w:val="nil"/>
              <w:bottom w:val="nil"/>
              <w:right w:val="nil"/>
            </w:tcBorders>
            <w:shd w:val="clear" w:color="000000" w:fill="EDEDED"/>
            <w:noWrap/>
            <w:vAlign w:val="center"/>
            <w:hideMark/>
          </w:tcPr>
          <w:p w14:paraId="642D76B6" w14:textId="77777777" w:rsidR="00572F25" w:rsidRPr="00195C5D" w:rsidRDefault="00572F25" w:rsidP="00140544">
            <w:pPr>
              <w:spacing w:after="0"/>
              <w:jc w:val="right"/>
              <w:rPr>
                <w:rFonts w:cs="Arial"/>
                <w:color w:val="000000"/>
                <w:sz w:val="18"/>
                <w:szCs w:val="18"/>
              </w:rPr>
            </w:pPr>
            <w:r w:rsidRPr="00195C5D">
              <w:rPr>
                <w:rFonts w:cs="Arial"/>
                <w:color w:val="000000"/>
                <w:sz w:val="18"/>
                <w:szCs w:val="18"/>
              </w:rPr>
              <w:t>18</w:t>
            </w:r>
          </w:p>
        </w:tc>
        <w:tc>
          <w:tcPr>
            <w:tcW w:w="1314" w:type="dxa"/>
            <w:tcBorders>
              <w:top w:val="nil"/>
              <w:left w:val="nil"/>
              <w:bottom w:val="nil"/>
              <w:right w:val="nil"/>
            </w:tcBorders>
            <w:shd w:val="clear" w:color="000000" w:fill="EDEDED"/>
            <w:noWrap/>
            <w:vAlign w:val="center"/>
            <w:hideMark/>
          </w:tcPr>
          <w:p w14:paraId="3F30102A" w14:textId="77777777" w:rsidR="00572F25" w:rsidRPr="00FB18CE" w:rsidRDefault="00572F25" w:rsidP="00140544">
            <w:pPr>
              <w:spacing w:after="0"/>
              <w:rPr>
                <w:rFonts w:cs="Arial"/>
                <w:color w:val="000000"/>
                <w:sz w:val="18"/>
                <w:szCs w:val="18"/>
              </w:rPr>
            </w:pPr>
            <w:r w:rsidRPr="00FB18CE">
              <w:rPr>
                <w:rFonts w:cs="Arial"/>
                <w:color w:val="000000"/>
                <w:sz w:val="18"/>
                <w:szCs w:val="18"/>
              </w:rPr>
              <w:t>0.2</w:t>
            </w:r>
          </w:p>
        </w:tc>
        <w:tc>
          <w:tcPr>
            <w:tcW w:w="1313" w:type="dxa"/>
            <w:tcBorders>
              <w:top w:val="nil"/>
              <w:left w:val="nil"/>
              <w:bottom w:val="nil"/>
              <w:right w:val="nil"/>
            </w:tcBorders>
            <w:shd w:val="clear" w:color="000000" w:fill="EDEDED"/>
            <w:noWrap/>
            <w:vAlign w:val="center"/>
            <w:hideMark/>
          </w:tcPr>
          <w:p w14:paraId="31E8F240" w14:textId="77777777" w:rsidR="00572F25" w:rsidRPr="00FB18CE" w:rsidRDefault="00572F25" w:rsidP="00140544">
            <w:pPr>
              <w:spacing w:after="0"/>
              <w:jc w:val="right"/>
              <w:rPr>
                <w:rFonts w:cs="Arial"/>
                <w:color w:val="000000"/>
                <w:sz w:val="18"/>
                <w:szCs w:val="18"/>
              </w:rPr>
            </w:pPr>
            <w:r w:rsidRPr="00FB18CE">
              <w:rPr>
                <w:rFonts w:cs="Arial"/>
                <w:color w:val="000000"/>
                <w:sz w:val="18"/>
                <w:szCs w:val="18"/>
              </w:rPr>
              <w:t>9</w:t>
            </w:r>
          </w:p>
        </w:tc>
        <w:tc>
          <w:tcPr>
            <w:tcW w:w="1314" w:type="dxa"/>
            <w:tcBorders>
              <w:top w:val="nil"/>
              <w:left w:val="nil"/>
              <w:bottom w:val="nil"/>
              <w:right w:val="nil"/>
            </w:tcBorders>
            <w:shd w:val="clear" w:color="000000" w:fill="EDEDED"/>
            <w:noWrap/>
            <w:vAlign w:val="center"/>
            <w:hideMark/>
          </w:tcPr>
          <w:p w14:paraId="50A256AB" w14:textId="77777777" w:rsidR="00572F25" w:rsidRPr="00FB18CE" w:rsidRDefault="00572F25" w:rsidP="00140544">
            <w:pPr>
              <w:spacing w:after="0"/>
              <w:rPr>
                <w:rFonts w:cs="Arial"/>
                <w:color w:val="000000"/>
                <w:sz w:val="18"/>
                <w:szCs w:val="18"/>
              </w:rPr>
            </w:pPr>
            <w:r w:rsidRPr="00FB18CE">
              <w:rPr>
                <w:rFonts w:cs="Arial"/>
                <w:color w:val="000000"/>
                <w:sz w:val="18"/>
                <w:szCs w:val="18"/>
              </w:rPr>
              <w:t>50.0</w:t>
            </w:r>
          </w:p>
        </w:tc>
      </w:tr>
      <w:tr w:rsidR="00572F25" w:rsidRPr="00FB18CE" w14:paraId="2BBC81B9" w14:textId="77777777" w:rsidTr="00140544">
        <w:trPr>
          <w:trHeight w:val="347"/>
        </w:trPr>
        <w:tc>
          <w:tcPr>
            <w:tcW w:w="2551" w:type="dxa"/>
            <w:tcBorders>
              <w:top w:val="nil"/>
              <w:left w:val="nil"/>
              <w:bottom w:val="nil"/>
              <w:right w:val="nil"/>
            </w:tcBorders>
            <w:shd w:val="clear" w:color="auto" w:fill="auto"/>
            <w:noWrap/>
            <w:vAlign w:val="center"/>
            <w:hideMark/>
          </w:tcPr>
          <w:p w14:paraId="017CA563" w14:textId="77777777" w:rsidR="00572F25" w:rsidRPr="00FB18CE" w:rsidRDefault="00572F25" w:rsidP="00140544">
            <w:pPr>
              <w:spacing w:after="0"/>
              <w:rPr>
                <w:rFonts w:cs="Arial"/>
                <w:color w:val="000000"/>
                <w:sz w:val="18"/>
                <w:szCs w:val="18"/>
              </w:rPr>
            </w:pPr>
            <w:r w:rsidRPr="00FB18CE">
              <w:rPr>
                <w:rFonts w:cs="Arial"/>
                <w:color w:val="000000"/>
                <w:sz w:val="18"/>
                <w:szCs w:val="18"/>
              </w:rPr>
              <w:t>Trimethoprim</w:t>
            </w:r>
          </w:p>
        </w:tc>
        <w:tc>
          <w:tcPr>
            <w:tcW w:w="1313" w:type="dxa"/>
            <w:tcBorders>
              <w:top w:val="nil"/>
              <w:left w:val="nil"/>
              <w:bottom w:val="nil"/>
              <w:right w:val="nil"/>
            </w:tcBorders>
            <w:shd w:val="clear" w:color="auto" w:fill="auto"/>
            <w:noWrap/>
            <w:vAlign w:val="center"/>
            <w:hideMark/>
          </w:tcPr>
          <w:p w14:paraId="25E17F3D" w14:textId="77777777" w:rsidR="00572F25" w:rsidRPr="00195C5D" w:rsidRDefault="00572F25" w:rsidP="00140544">
            <w:pPr>
              <w:spacing w:after="0"/>
              <w:jc w:val="right"/>
              <w:rPr>
                <w:rFonts w:cs="Arial"/>
                <w:color w:val="000000"/>
                <w:sz w:val="18"/>
                <w:szCs w:val="18"/>
              </w:rPr>
            </w:pPr>
            <w:r w:rsidRPr="00195C5D">
              <w:rPr>
                <w:rFonts w:cs="Arial"/>
                <w:color w:val="000000"/>
                <w:sz w:val="18"/>
                <w:szCs w:val="18"/>
              </w:rPr>
              <w:t>15</w:t>
            </w:r>
          </w:p>
        </w:tc>
        <w:tc>
          <w:tcPr>
            <w:tcW w:w="1314" w:type="dxa"/>
            <w:tcBorders>
              <w:top w:val="nil"/>
              <w:left w:val="nil"/>
              <w:bottom w:val="nil"/>
              <w:right w:val="nil"/>
            </w:tcBorders>
            <w:shd w:val="clear" w:color="auto" w:fill="auto"/>
            <w:noWrap/>
            <w:vAlign w:val="center"/>
            <w:hideMark/>
          </w:tcPr>
          <w:p w14:paraId="56DB0A72" w14:textId="77777777" w:rsidR="00572F25" w:rsidRPr="00FB18CE" w:rsidRDefault="00572F25" w:rsidP="00140544">
            <w:pPr>
              <w:spacing w:after="0"/>
              <w:rPr>
                <w:rFonts w:cs="Arial"/>
                <w:color w:val="000000"/>
                <w:sz w:val="18"/>
                <w:szCs w:val="18"/>
              </w:rPr>
            </w:pPr>
            <w:r w:rsidRPr="00FB18CE">
              <w:rPr>
                <w:rFonts w:cs="Arial"/>
                <w:color w:val="000000"/>
                <w:sz w:val="18"/>
                <w:szCs w:val="18"/>
              </w:rPr>
              <w:t>0.2</w:t>
            </w:r>
          </w:p>
        </w:tc>
        <w:tc>
          <w:tcPr>
            <w:tcW w:w="1313" w:type="dxa"/>
            <w:tcBorders>
              <w:top w:val="nil"/>
              <w:left w:val="nil"/>
              <w:bottom w:val="nil"/>
              <w:right w:val="nil"/>
            </w:tcBorders>
            <w:shd w:val="clear" w:color="auto" w:fill="auto"/>
            <w:noWrap/>
            <w:vAlign w:val="center"/>
            <w:hideMark/>
          </w:tcPr>
          <w:p w14:paraId="2C2CA11A" w14:textId="77777777" w:rsidR="00572F25" w:rsidRPr="00FB18CE" w:rsidRDefault="00572F25" w:rsidP="00140544">
            <w:pPr>
              <w:spacing w:after="0"/>
              <w:jc w:val="right"/>
              <w:rPr>
                <w:rFonts w:cs="Arial"/>
                <w:color w:val="000000"/>
                <w:sz w:val="18"/>
                <w:szCs w:val="18"/>
              </w:rPr>
            </w:pPr>
            <w:r w:rsidRPr="00FB18CE">
              <w:rPr>
                <w:rFonts w:cs="Arial"/>
                <w:color w:val="000000"/>
                <w:sz w:val="18"/>
                <w:szCs w:val="18"/>
              </w:rPr>
              <w:t>15</w:t>
            </w:r>
          </w:p>
        </w:tc>
        <w:tc>
          <w:tcPr>
            <w:tcW w:w="1314" w:type="dxa"/>
            <w:tcBorders>
              <w:top w:val="nil"/>
              <w:left w:val="nil"/>
              <w:bottom w:val="nil"/>
              <w:right w:val="nil"/>
            </w:tcBorders>
            <w:shd w:val="clear" w:color="auto" w:fill="auto"/>
            <w:noWrap/>
            <w:vAlign w:val="center"/>
            <w:hideMark/>
          </w:tcPr>
          <w:p w14:paraId="472D30F8" w14:textId="77777777" w:rsidR="00572F25" w:rsidRPr="00FB18CE" w:rsidRDefault="00572F25" w:rsidP="00140544">
            <w:pPr>
              <w:spacing w:after="0"/>
              <w:rPr>
                <w:rFonts w:cs="Arial"/>
                <w:color w:val="000000"/>
                <w:sz w:val="18"/>
                <w:szCs w:val="18"/>
              </w:rPr>
            </w:pPr>
            <w:r w:rsidRPr="00FB18CE">
              <w:rPr>
                <w:rFonts w:cs="Arial"/>
                <w:color w:val="000000"/>
                <w:sz w:val="18"/>
                <w:szCs w:val="18"/>
              </w:rPr>
              <w:t>100.0</w:t>
            </w:r>
          </w:p>
        </w:tc>
      </w:tr>
      <w:tr w:rsidR="00572F25" w:rsidRPr="00FB18CE" w14:paraId="38CDF736" w14:textId="77777777" w:rsidTr="00140544">
        <w:trPr>
          <w:trHeight w:val="347"/>
        </w:trPr>
        <w:tc>
          <w:tcPr>
            <w:tcW w:w="2551" w:type="dxa"/>
            <w:tcBorders>
              <w:top w:val="nil"/>
              <w:left w:val="nil"/>
              <w:bottom w:val="nil"/>
              <w:right w:val="nil"/>
            </w:tcBorders>
            <w:shd w:val="clear" w:color="000000" w:fill="F1F1F2"/>
            <w:noWrap/>
            <w:vAlign w:val="center"/>
            <w:hideMark/>
          </w:tcPr>
          <w:p w14:paraId="79C951B2" w14:textId="77777777" w:rsidR="00572F25" w:rsidRPr="00FB18CE" w:rsidRDefault="00572F25" w:rsidP="00140544">
            <w:pPr>
              <w:spacing w:after="0"/>
              <w:rPr>
                <w:rFonts w:cs="Arial"/>
                <w:color w:val="000000"/>
                <w:sz w:val="18"/>
                <w:szCs w:val="18"/>
              </w:rPr>
            </w:pPr>
            <w:r w:rsidRPr="00FB18CE">
              <w:rPr>
                <w:rFonts w:cstheme="minorHAnsi"/>
                <w:color w:val="000000"/>
                <w:sz w:val="18"/>
                <w:szCs w:val="18"/>
              </w:rPr>
              <w:t>Others</w:t>
            </w:r>
          </w:p>
        </w:tc>
        <w:tc>
          <w:tcPr>
            <w:tcW w:w="1313" w:type="dxa"/>
            <w:tcBorders>
              <w:top w:val="nil"/>
              <w:left w:val="nil"/>
              <w:bottom w:val="nil"/>
              <w:right w:val="nil"/>
            </w:tcBorders>
            <w:shd w:val="clear" w:color="000000" w:fill="EDEDED"/>
            <w:noWrap/>
            <w:vAlign w:val="center"/>
            <w:hideMark/>
          </w:tcPr>
          <w:p w14:paraId="3B502269" w14:textId="77777777" w:rsidR="00572F25" w:rsidRPr="0043203A" w:rsidRDefault="00572F25" w:rsidP="00140544">
            <w:pPr>
              <w:spacing w:after="0"/>
              <w:jc w:val="right"/>
              <w:rPr>
                <w:rFonts w:cs="Arial"/>
                <w:color w:val="000000"/>
                <w:sz w:val="18"/>
                <w:szCs w:val="18"/>
              </w:rPr>
            </w:pPr>
            <w:r w:rsidRPr="0043203A">
              <w:rPr>
                <w:rFonts w:cs="Arial"/>
                <w:color w:val="000000"/>
                <w:sz w:val="18"/>
                <w:szCs w:val="18"/>
              </w:rPr>
              <w:t>59</w:t>
            </w:r>
          </w:p>
        </w:tc>
        <w:tc>
          <w:tcPr>
            <w:tcW w:w="1314" w:type="dxa"/>
            <w:tcBorders>
              <w:top w:val="nil"/>
              <w:left w:val="nil"/>
              <w:bottom w:val="nil"/>
              <w:right w:val="nil"/>
            </w:tcBorders>
            <w:shd w:val="clear" w:color="000000" w:fill="EDEDED"/>
            <w:noWrap/>
            <w:vAlign w:val="center"/>
            <w:hideMark/>
          </w:tcPr>
          <w:p w14:paraId="0C44DCA8" w14:textId="77777777" w:rsidR="00572F25" w:rsidRPr="00FB18CE" w:rsidRDefault="00572F25" w:rsidP="00140544">
            <w:pPr>
              <w:spacing w:after="0"/>
              <w:rPr>
                <w:rFonts w:cs="Arial"/>
                <w:color w:val="000000"/>
                <w:sz w:val="18"/>
                <w:szCs w:val="18"/>
              </w:rPr>
            </w:pPr>
            <w:r>
              <w:rPr>
                <w:rFonts w:cs="Arial"/>
                <w:color w:val="000000"/>
                <w:sz w:val="18"/>
                <w:szCs w:val="18"/>
              </w:rPr>
              <w:t>0.6</w:t>
            </w:r>
          </w:p>
        </w:tc>
        <w:tc>
          <w:tcPr>
            <w:tcW w:w="1313" w:type="dxa"/>
            <w:tcBorders>
              <w:top w:val="nil"/>
              <w:left w:val="nil"/>
              <w:bottom w:val="nil"/>
              <w:right w:val="nil"/>
            </w:tcBorders>
            <w:shd w:val="clear" w:color="000000" w:fill="EDEDED"/>
            <w:noWrap/>
            <w:vAlign w:val="center"/>
            <w:hideMark/>
          </w:tcPr>
          <w:p w14:paraId="48D1C996" w14:textId="77777777" w:rsidR="00572F25" w:rsidRPr="00FB18CE" w:rsidRDefault="00572F25" w:rsidP="00140544">
            <w:pPr>
              <w:spacing w:after="0"/>
              <w:jc w:val="right"/>
              <w:rPr>
                <w:rFonts w:cs="Arial"/>
                <w:color w:val="000000"/>
                <w:sz w:val="18"/>
                <w:szCs w:val="18"/>
              </w:rPr>
            </w:pPr>
            <w:r>
              <w:rPr>
                <w:rFonts w:cs="Arial"/>
                <w:color w:val="000000"/>
                <w:sz w:val="18"/>
                <w:szCs w:val="18"/>
              </w:rPr>
              <w:t>28</w:t>
            </w:r>
          </w:p>
        </w:tc>
        <w:tc>
          <w:tcPr>
            <w:tcW w:w="1314" w:type="dxa"/>
            <w:tcBorders>
              <w:top w:val="nil"/>
              <w:left w:val="nil"/>
              <w:bottom w:val="nil"/>
              <w:right w:val="nil"/>
            </w:tcBorders>
            <w:shd w:val="clear" w:color="000000" w:fill="EDEDED"/>
            <w:noWrap/>
            <w:vAlign w:val="center"/>
            <w:hideMark/>
          </w:tcPr>
          <w:p w14:paraId="332F4DF1" w14:textId="77777777" w:rsidR="00572F25" w:rsidRPr="00FB18CE" w:rsidRDefault="00572F25" w:rsidP="00140544">
            <w:pPr>
              <w:spacing w:after="0"/>
              <w:rPr>
                <w:rFonts w:cs="Arial"/>
                <w:color w:val="000000"/>
                <w:sz w:val="18"/>
                <w:szCs w:val="18"/>
              </w:rPr>
            </w:pPr>
            <w:r>
              <w:rPr>
                <w:rFonts w:cs="Arial"/>
                <w:color w:val="000000"/>
                <w:sz w:val="18"/>
                <w:szCs w:val="18"/>
              </w:rPr>
              <w:t>47.5</w:t>
            </w:r>
          </w:p>
        </w:tc>
      </w:tr>
      <w:tr w:rsidR="00572F25" w:rsidRPr="00FB18CE" w14:paraId="4DDB79F5" w14:textId="77777777" w:rsidTr="00140544">
        <w:trPr>
          <w:trHeight w:val="347"/>
        </w:trPr>
        <w:tc>
          <w:tcPr>
            <w:tcW w:w="2551" w:type="dxa"/>
            <w:tcBorders>
              <w:top w:val="nil"/>
              <w:left w:val="nil"/>
              <w:bottom w:val="nil"/>
              <w:right w:val="nil"/>
            </w:tcBorders>
            <w:shd w:val="clear" w:color="000000" w:fill="E8B092"/>
            <w:noWrap/>
            <w:vAlign w:val="center"/>
            <w:hideMark/>
          </w:tcPr>
          <w:p w14:paraId="5091923B" w14:textId="77777777" w:rsidR="00572F25" w:rsidRPr="000B5A43" w:rsidRDefault="00572F25" w:rsidP="00140544">
            <w:pPr>
              <w:spacing w:after="0"/>
              <w:rPr>
                <w:rFonts w:cs="Arial"/>
                <w:color w:val="auto"/>
                <w:sz w:val="18"/>
                <w:szCs w:val="18"/>
              </w:rPr>
            </w:pPr>
            <w:r w:rsidRPr="000B5A43">
              <w:rPr>
                <w:rFonts w:cstheme="minorHAnsi"/>
                <w:color w:val="auto"/>
                <w:sz w:val="18"/>
                <w:szCs w:val="18"/>
              </w:rPr>
              <w:t>Total</w:t>
            </w:r>
          </w:p>
        </w:tc>
        <w:tc>
          <w:tcPr>
            <w:tcW w:w="1313" w:type="dxa"/>
            <w:tcBorders>
              <w:top w:val="nil"/>
              <w:left w:val="nil"/>
              <w:bottom w:val="nil"/>
              <w:right w:val="nil"/>
            </w:tcBorders>
            <w:shd w:val="clear" w:color="000000" w:fill="E8B092"/>
            <w:noWrap/>
            <w:vAlign w:val="center"/>
            <w:hideMark/>
          </w:tcPr>
          <w:p w14:paraId="7BA3C370" w14:textId="77777777" w:rsidR="00572F25" w:rsidRPr="000B5A43" w:rsidRDefault="00572F25" w:rsidP="00140544">
            <w:pPr>
              <w:spacing w:after="0"/>
              <w:jc w:val="right"/>
              <w:rPr>
                <w:rFonts w:cs="Arial"/>
                <w:color w:val="auto"/>
                <w:sz w:val="18"/>
                <w:szCs w:val="18"/>
              </w:rPr>
            </w:pPr>
            <w:r w:rsidRPr="000B5A43">
              <w:rPr>
                <w:rFonts w:cs="Arial"/>
                <w:color w:val="auto"/>
                <w:sz w:val="18"/>
                <w:szCs w:val="18"/>
              </w:rPr>
              <w:t>9,599</w:t>
            </w:r>
          </w:p>
        </w:tc>
        <w:tc>
          <w:tcPr>
            <w:tcW w:w="1314" w:type="dxa"/>
            <w:tcBorders>
              <w:top w:val="nil"/>
              <w:left w:val="nil"/>
              <w:bottom w:val="nil"/>
              <w:right w:val="nil"/>
            </w:tcBorders>
            <w:shd w:val="clear" w:color="000000" w:fill="E8B092"/>
            <w:noWrap/>
            <w:vAlign w:val="center"/>
            <w:hideMark/>
          </w:tcPr>
          <w:p w14:paraId="548D9001" w14:textId="77777777" w:rsidR="00572F25" w:rsidRPr="000B5A43" w:rsidRDefault="00572F25" w:rsidP="00140544">
            <w:pPr>
              <w:spacing w:after="0"/>
              <w:rPr>
                <w:rFonts w:cs="Arial"/>
                <w:color w:val="auto"/>
                <w:sz w:val="18"/>
                <w:szCs w:val="18"/>
              </w:rPr>
            </w:pPr>
            <w:r w:rsidRPr="000B5A43">
              <w:rPr>
                <w:rFonts w:cs="Arial"/>
                <w:color w:val="auto"/>
                <w:sz w:val="18"/>
                <w:szCs w:val="18"/>
              </w:rPr>
              <w:t>100</w:t>
            </w:r>
          </w:p>
        </w:tc>
        <w:tc>
          <w:tcPr>
            <w:tcW w:w="1313" w:type="dxa"/>
            <w:tcBorders>
              <w:top w:val="nil"/>
              <w:left w:val="nil"/>
              <w:bottom w:val="nil"/>
              <w:right w:val="nil"/>
            </w:tcBorders>
            <w:shd w:val="clear" w:color="000000" w:fill="E8B092"/>
            <w:noWrap/>
            <w:vAlign w:val="center"/>
            <w:hideMark/>
          </w:tcPr>
          <w:p w14:paraId="55DA5AFE" w14:textId="77777777" w:rsidR="00572F25" w:rsidRPr="000B5A43" w:rsidRDefault="00572F25" w:rsidP="00140544">
            <w:pPr>
              <w:spacing w:after="0"/>
              <w:jc w:val="right"/>
              <w:rPr>
                <w:rFonts w:cs="Arial"/>
                <w:color w:val="auto"/>
                <w:sz w:val="18"/>
                <w:szCs w:val="18"/>
              </w:rPr>
            </w:pPr>
            <w:r w:rsidRPr="000B5A43">
              <w:rPr>
                <w:rFonts w:cs="Arial"/>
                <w:color w:val="auto"/>
                <w:sz w:val="18"/>
                <w:szCs w:val="18"/>
              </w:rPr>
              <w:t>2,717</w:t>
            </w:r>
          </w:p>
        </w:tc>
        <w:tc>
          <w:tcPr>
            <w:tcW w:w="1314" w:type="dxa"/>
            <w:tcBorders>
              <w:top w:val="nil"/>
              <w:left w:val="nil"/>
              <w:bottom w:val="nil"/>
              <w:right w:val="nil"/>
            </w:tcBorders>
            <w:shd w:val="clear" w:color="000000" w:fill="E8B092"/>
            <w:noWrap/>
            <w:vAlign w:val="center"/>
            <w:hideMark/>
          </w:tcPr>
          <w:p w14:paraId="34E199F1" w14:textId="77777777" w:rsidR="00572F25" w:rsidRPr="000B5A43" w:rsidRDefault="00572F25" w:rsidP="00140544">
            <w:pPr>
              <w:spacing w:after="0"/>
              <w:rPr>
                <w:rFonts w:cs="Arial"/>
                <w:color w:val="auto"/>
                <w:sz w:val="18"/>
                <w:szCs w:val="18"/>
              </w:rPr>
            </w:pPr>
            <w:r w:rsidRPr="000B5A43">
              <w:rPr>
                <w:rFonts w:cs="Arial"/>
                <w:color w:val="auto"/>
                <w:sz w:val="18"/>
                <w:szCs w:val="18"/>
              </w:rPr>
              <w:t>28.3</w:t>
            </w:r>
          </w:p>
        </w:tc>
      </w:tr>
    </w:tbl>
    <w:p w14:paraId="77E289D0" w14:textId="77777777" w:rsidR="00572F25" w:rsidRPr="008A735E" w:rsidRDefault="00572F25" w:rsidP="00572F25">
      <w:pPr>
        <w:pStyle w:val="Notes"/>
        <w:rPr>
          <w:rStyle w:val="CaptionsChar"/>
          <w:rFonts w:cs="Arial"/>
          <w:b w:val="0"/>
          <w:bCs w:val="0"/>
          <w:sz w:val="20"/>
          <w:szCs w:val="20"/>
        </w:rPr>
      </w:pPr>
      <w:r w:rsidRPr="008A735E">
        <w:rPr>
          <w:rStyle w:val="CaptionsChar"/>
          <w:rFonts w:cs="Arial"/>
          <w:b w:val="0"/>
          <w:bCs w:val="0"/>
          <w:szCs w:val="20"/>
        </w:rPr>
        <w:t>* Data are not shown for antimicrobials where n &lt;10.</w:t>
      </w:r>
    </w:p>
    <w:p w14:paraId="48CDDA49" w14:textId="77777777" w:rsidR="00572F25" w:rsidRPr="002E1055" w:rsidRDefault="00572F25" w:rsidP="00977AD6">
      <w:pPr>
        <w:pStyle w:val="Heading3"/>
      </w:pPr>
      <w:r>
        <w:lastRenderedPageBreak/>
        <w:t>Post-pr</w:t>
      </w:r>
      <w:r w:rsidRPr="002E1055">
        <w:t xml:space="preserve">ocedural </w:t>
      </w:r>
    </w:p>
    <w:p w14:paraId="1C3C07C0" w14:textId="77777777" w:rsidR="00572F25" w:rsidRDefault="00572F25" w:rsidP="00572F25">
      <w:r w:rsidRPr="00C717D1">
        <w:rPr>
          <w:rFonts w:cs="Arial"/>
        </w:rPr>
        <w:t xml:space="preserve">The </w:t>
      </w:r>
      <w:r>
        <w:rPr>
          <w:rFonts w:cs="Arial"/>
        </w:rPr>
        <w:t>5</w:t>
      </w:r>
      <w:r w:rsidRPr="00C717D1">
        <w:rPr>
          <w:rFonts w:cs="Arial"/>
        </w:rPr>
        <w:t xml:space="preserve"> most frequently prescribed post</w:t>
      </w:r>
      <w:r>
        <w:rPr>
          <w:rFonts w:cs="Arial"/>
        </w:rPr>
        <w:t>-</w:t>
      </w:r>
      <w:r w:rsidRPr="00C717D1">
        <w:rPr>
          <w:rFonts w:cs="Arial"/>
        </w:rPr>
        <w:t xml:space="preserve">procedural antimicrobials accounted for </w:t>
      </w:r>
      <w:r>
        <w:rPr>
          <w:rFonts w:cs="Arial"/>
        </w:rPr>
        <w:t>87.6</w:t>
      </w:r>
      <w:r w:rsidRPr="00C717D1">
        <w:rPr>
          <w:rFonts w:cs="Arial"/>
        </w:rPr>
        <w:t>% of all antimicrobials prescribed: cefazolin (</w:t>
      </w:r>
      <w:r>
        <w:rPr>
          <w:rFonts w:cs="Arial"/>
        </w:rPr>
        <w:t>55.9</w:t>
      </w:r>
      <w:r w:rsidRPr="00C717D1">
        <w:rPr>
          <w:rFonts w:cs="Arial"/>
        </w:rPr>
        <w:t>%), cefalexin (</w:t>
      </w:r>
      <w:r>
        <w:rPr>
          <w:rFonts w:cs="Arial"/>
        </w:rPr>
        <w:t>12.9</w:t>
      </w:r>
      <w:r w:rsidRPr="00C717D1">
        <w:rPr>
          <w:rFonts w:cs="Arial"/>
        </w:rPr>
        <w:t>%), chloramphenicol (</w:t>
      </w:r>
      <w:r>
        <w:rPr>
          <w:rFonts w:cs="Arial"/>
        </w:rPr>
        <w:t>10.5</w:t>
      </w:r>
      <w:r w:rsidRPr="00C717D1">
        <w:rPr>
          <w:rFonts w:cs="Arial"/>
        </w:rPr>
        <w:t xml:space="preserve">%), </w:t>
      </w:r>
      <w:r>
        <w:rPr>
          <w:rFonts w:cs="Arial"/>
        </w:rPr>
        <w:t>metronidazole</w:t>
      </w:r>
      <w:r w:rsidRPr="00C717D1">
        <w:rPr>
          <w:rFonts w:cs="Arial"/>
        </w:rPr>
        <w:t xml:space="preserve"> (</w:t>
      </w:r>
      <w:r>
        <w:rPr>
          <w:rFonts w:cs="Arial"/>
        </w:rPr>
        <w:t>4.3</w:t>
      </w:r>
      <w:r w:rsidRPr="00C717D1">
        <w:rPr>
          <w:rFonts w:cs="Arial"/>
        </w:rPr>
        <w:t>%), and amoxicillin–clavulanic acid (</w:t>
      </w:r>
      <w:r>
        <w:rPr>
          <w:rFonts w:cs="Arial"/>
        </w:rPr>
        <w:t>4.0</w:t>
      </w:r>
      <w:r w:rsidRPr="00C717D1">
        <w:rPr>
          <w:rFonts w:cs="Arial"/>
        </w:rPr>
        <w:t xml:space="preserve">%), as </w:t>
      </w:r>
      <w:r w:rsidRPr="0093552D">
        <w:rPr>
          <w:rFonts w:cs="Arial"/>
        </w:rPr>
        <w:t xml:space="preserve">shown in Table </w:t>
      </w:r>
      <w:r>
        <w:rPr>
          <w:rFonts w:cs="Arial"/>
        </w:rPr>
        <w:t>A3</w:t>
      </w:r>
      <w:r w:rsidRPr="0093552D">
        <w:rPr>
          <w:rFonts w:cs="Arial"/>
        </w:rPr>
        <w:t>.2. All</w:t>
      </w:r>
      <w:r w:rsidRPr="00162AF4">
        <w:rPr>
          <w:rFonts w:cs="Arial"/>
        </w:rPr>
        <w:t xml:space="preserve"> antimicrobials had relatively high rates of prescribing deemed inappropriate. Rates of</w:t>
      </w:r>
      <w:r w:rsidRPr="000C7177">
        <w:rPr>
          <w:rFonts w:cs="Arial"/>
        </w:rPr>
        <w:t xml:space="preserve"> prescribing deemed i</w:t>
      </w:r>
      <w:r>
        <w:rPr>
          <w:rFonts w:cs="Arial"/>
        </w:rPr>
        <w:t>nappropriate were greater than 8</w:t>
      </w:r>
      <w:r w:rsidRPr="000C7177">
        <w:rPr>
          <w:rFonts w:cs="Arial"/>
        </w:rPr>
        <w:t xml:space="preserve">0% for </w:t>
      </w:r>
      <w:r>
        <w:rPr>
          <w:rFonts w:cs="Arial"/>
        </w:rPr>
        <w:t xml:space="preserve">cefalexin, </w:t>
      </w:r>
      <w:r w:rsidRPr="00C717D1">
        <w:rPr>
          <w:rFonts w:cs="Arial"/>
        </w:rPr>
        <w:t>amoxicillin–clavulanic acid</w:t>
      </w:r>
      <w:r>
        <w:rPr>
          <w:rFonts w:cs="Arial"/>
        </w:rPr>
        <w:t>, ciprofloxacin,</w:t>
      </w:r>
      <w:r w:rsidRPr="00C717D1">
        <w:rPr>
          <w:rFonts w:cs="Arial"/>
        </w:rPr>
        <w:t xml:space="preserve"> </w:t>
      </w:r>
      <w:r>
        <w:rPr>
          <w:rFonts w:cs="Arial"/>
        </w:rPr>
        <w:t>p</w:t>
      </w:r>
      <w:r w:rsidRPr="00CD6903">
        <w:rPr>
          <w:rFonts w:cs="Arial"/>
        </w:rPr>
        <w:t>iperacillin–tazobactam</w:t>
      </w:r>
      <w:r>
        <w:rPr>
          <w:rFonts w:cs="Arial"/>
        </w:rPr>
        <w:t>, vancomycin, a</w:t>
      </w:r>
      <w:r w:rsidRPr="00906A33">
        <w:rPr>
          <w:rFonts w:cs="Arial"/>
        </w:rPr>
        <w:t>moxicillin</w:t>
      </w:r>
      <w:r w:rsidRPr="000C7177">
        <w:rPr>
          <w:rFonts w:cs="Arial"/>
        </w:rPr>
        <w:t xml:space="preserve">, </w:t>
      </w:r>
      <w:r>
        <w:rPr>
          <w:rFonts w:cs="Arial"/>
        </w:rPr>
        <w:t>c</w:t>
      </w:r>
      <w:r w:rsidRPr="00906A33">
        <w:rPr>
          <w:rFonts w:cs="Arial"/>
        </w:rPr>
        <w:t>eftriaxone</w:t>
      </w:r>
      <w:r>
        <w:rPr>
          <w:rFonts w:cs="Arial"/>
        </w:rPr>
        <w:t>, g</w:t>
      </w:r>
      <w:r w:rsidRPr="00906A33">
        <w:rPr>
          <w:rFonts w:cs="Arial"/>
        </w:rPr>
        <w:t>entamicin</w:t>
      </w:r>
      <w:r>
        <w:rPr>
          <w:rFonts w:cs="Arial"/>
        </w:rPr>
        <w:t xml:space="preserve">, trimethoprim, </w:t>
      </w:r>
      <w:proofErr w:type="gramStart"/>
      <w:r>
        <w:rPr>
          <w:rFonts w:cs="Arial"/>
        </w:rPr>
        <w:t>doxycycline</w:t>
      </w:r>
      <w:proofErr w:type="gramEnd"/>
      <w:r>
        <w:rPr>
          <w:rFonts w:cs="Arial"/>
        </w:rPr>
        <w:t xml:space="preserve"> and ampicillin.</w:t>
      </w:r>
    </w:p>
    <w:p w14:paraId="46021370" w14:textId="77777777" w:rsidR="00572F25" w:rsidRPr="002D7556" w:rsidRDefault="00572F25" w:rsidP="00572F25">
      <w:pPr>
        <w:pStyle w:val="Captions"/>
      </w:pPr>
      <w:r w:rsidRPr="002D7556">
        <w:t xml:space="preserve">Table </w:t>
      </w:r>
      <w:r>
        <w:t>A3</w:t>
      </w:r>
      <w:r w:rsidRPr="002D7556">
        <w:t>.2:</w:t>
      </w:r>
      <w:r w:rsidRPr="002D7556">
        <w:tab/>
      </w:r>
      <w:proofErr w:type="gramStart"/>
      <w:r w:rsidRPr="002D7556">
        <w:t>Post</w:t>
      </w:r>
      <w:r>
        <w:t>-</w:t>
      </w:r>
      <w:r w:rsidRPr="002D7556">
        <w:t>procedural</w:t>
      </w:r>
      <w:proofErr w:type="gramEnd"/>
      <w:r w:rsidRPr="002D7556">
        <w:t xml:space="preserve"> prophylactic prescribing of antimicrobials and percentage </w:t>
      </w:r>
      <w:r>
        <w:br/>
      </w:r>
      <w:r w:rsidRPr="002D7556">
        <w:t xml:space="preserve">inappropriate*, Surgical </w:t>
      </w:r>
      <w:r>
        <w:rPr>
          <w:rFonts w:cs="Arial"/>
        </w:rPr>
        <w:t xml:space="preserve">NAPS </w:t>
      </w:r>
      <w:r w:rsidRPr="002D7556">
        <w:t>contributor facilities, 20</w:t>
      </w:r>
      <w:r>
        <w:t>21</w:t>
      </w:r>
    </w:p>
    <w:tbl>
      <w:tblPr>
        <w:tblpPr w:leftFromText="180" w:rightFromText="180" w:vertAnchor="text" w:horzAnchor="margin" w:tblpY="86"/>
        <w:tblW w:w="9472" w:type="dxa"/>
        <w:tblLayout w:type="fixed"/>
        <w:tblLook w:val="04A0" w:firstRow="1" w:lastRow="0" w:firstColumn="1" w:lastColumn="0" w:noHBand="0" w:noVBand="1"/>
      </w:tblPr>
      <w:tblGrid>
        <w:gridCol w:w="3052"/>
        <w:gridCol w:w="1604"/>
        <w:gridCol w:w="1606"/>
        <w:gridCol w:w="1604"/>
        <w:gridCol w:w="1606"/>
      </w:tblGrid>
      <w:tr w:rsidR="00E1658A" w:rsidRPr="00E1658A" w14:paraId="6D77DFF4" w14:textId="77777777" w:rsidTr="00140544">
        <w:trPr>
          <w:trHeight w:val="484"/>
        </w:trPr>
        <w:tc>
          <w:tcPr>
            <w:tcW w:w="3052" w:type="dxa"/>
            <w:vMerge w:val="restart"/>
            <w:tcBorders>
              <w:top w:val="single" w:sz="8" w:space="0" w:color="BCBEC0"/>
              <w:left w:val="nil"/>
              <w:bottom w:val="nil"/>
              <w:right w:val="nil"/>
            </w:tcBorders>
            <w:shd w:val="clear" w:color="000000" w:fill="6DB2AD"/>
            <w:noWrap/>
            <w:vAlign w:val="center"/>
            <w:hideMark/>
          </w:tcPr>
          <w:p w14:paraId="58B07C7D" w14:textId="77777777" w:rsidR="00572F25" w:rsidRPr="00E1658A" w:rsidRDefault="00572F25" w:rsidP="00140544">
            <w:pPr>
              <w:spacing w:after="0"/>
              <w:rPr>
                <w:rFonts w:cs="Arial"/>
                <w:color w:val="auto"/>
                <w:sz w:val="20"/>
                <w:szCs w:val="20"/>
              </w:rPr>
            </w:pPr>
            <w:r w:rsidRPr="00E1658A">
              <w:rPr>
                <w:rFonts w:cs="Arial"/>
                <w:color w:val="auto"/>
                <w:sz w:val="20"/>
                <w:szCs w:val="20"/>
              </w:rPr>
              <w:t>Antimicrobial</w:t>
            </w:r>
          </w:p>
        </w:tc>
        <w:tc>
          <w:tcPr>
            <w:tcW w:w="3210" w:type="dxa"/>
            <w:gridSpan w:val="2"/>
            <w:tcBorders>
              <w:top w:val="single" w:sz="8" w:space="0" w:color="BCBEC0"/>
              <w:left w:val="nil"/>
              <w:bottom w:val="nil"/>
              <w:right w:val="nil"/>
            </w:tcBorders>
            <w:shd w:val="clear" w:color="000000" w:fill="6DB2AD"/>
            <w:noWrap/>
            <w:vAlign w:val="center"/>
            <w:hideMark/>
          </w:tcPr>
          <w:p w14:paraId="05A4A839" w14:textId="77777777" w:rsidR="00572F25" w:rsidRPr="00E1658A" w:rsidRDefault="00572F25" w:rsidP="00140544">
            <w:pPr>
              <w:spacing w:after="0"/>
              <w:jc w:val="center"/>
              <w:rPr>
                <w:rFonts w:cs="Arial"/>
                <w:color w:val="auto"/>
                <w:sz w:val="20"/>
                <w:szCs w:val="20"/>
              </w:rPr>
            </w:pPr>
            <w:r w:rsidRPr="00E1658A">
              <w:rPr>
                <w:rFonts w:cs="Arial"/>
                <w:color w:val="auto"/>
                <w:sz w:val="20"/>
                <w:szCs w:val="20"/>
              </w:rPr>
              <w:t>Total prescriptions</w:t>
            </w:r>
          </w:p>
        </w:tc>
        <w:tc>
          <w:tcPr>
            <w:tcW w:w="3210" w:type="dxa"/>
            <w:gridSpan w:val="2"/>
            <w:tcBorders>
              <w:top w:val="single" w:sz="8" w:space="0" w:color="BCBEC0"/>
              <w:left w:val="nil"/>
              <w:bottom w:val="nil"/>
              <w:right w:val="nil"/>
            </w:tcBorders>
            <w:shd w:val="clear" w:color="000000" w:fill="6DB2AD"/>
            <w:vAlign w:val="center"/>
            <w:hideMark/>
          </w:tcPr>
          <w:p w14:paraId="18D639E6" w14:textId="77777777" w:rsidR="00572F25" w:rsidRPr="00E1658A" w:rsidRDefault="00572F25" w:rsidP="00140544">
            <w:pPr>
              <w:spacing w:after="0"/>
              <w:jc w:val="center"/>
              <w:rPr>
                <w:rFonts w:cs="Arial"/>
                <w:color w:val="auto"/>
                <w:sz w:val="20"/>
                <w:szCs w:val="20"/>
              </w:rPr>
            </w:pPr>
            <w:r w:rsidRPr="00E1658A">
              <w:rPr>
                <w:rFonts w:cs="Arial"/>
                <w:color w:val="auto"/>
                <w:sz w:val="20"/>
                <w:szCs w:val="20"/>
              </w:rPr>
              <w:t>Inappropriate</w:t>
            </w:r>
          </w:p>
        </w:tc>
      </w:tr>
      <w:tr w:rsidR="00E1658A" w:rsidRPr="00E1658A" w14:paraId="66FAFFC0" w14:textId="77777777" w:rsidTr="00140544">
        <w:trPr>
          <w:trHeight w:val="357"/>
        </w:trPr>
        <w:tc>
          <w:tcPr>
            <w:tcW w:w="3052" w:type="dxa"/>
            <w:vMerge/>
            <w:tcBorders>
              <w:top w:val="single" w:sz="8" w:space="0" w:color="BCBEC0"/>
              <w:left w:val="nil"/>
              <w:bottom w:val="nil"/>
              <w:right w:val="nil"/>
            </w:tcBorders>
            <w:vAlign w:val="center"/>
            <w:hideMark/>
          </w:tcPr>
          <w:p w14:paraId="2AD784B6" w14:textId="77777777" w:rsidR="00572F25" w:rsidRPr="00E1658A" w:rsidRDefault="00572F25" w:rsidP="00140544">
            <w:pPr>
              <w:spacing w:after="0"/>
              <w:rPr>
                <w:rFonts w:cs="Arial"/>
                <w:color w:val="auto"/>
                <w:sz w:val="20"/>
                <w:szCs w:val="20"/>
              </w:rPr>
            </w:pPr>
          </w:p>
        </w:tc>
        <w:tc>
          <w:tcPr>
            <w:tcW w:w="3210" w:type="dxa"/>
            <w:gridSpan w:val="2"/>
            <w:tcBorders>
              <w:top w:val="nil"/>
              <w:left w:val="nil"/>
              <w:bottom w:val="nil"/>
              <w:right w:val="nil"/>
            </w:tcBorders>
            <w:shd w:val="clear" w:color="000000" w:fill="6DB2AD"/>
            <w:noWrap/>
            <w:vAlign w:val="center"/>
            <w:hideMark/>
          </w:tcPr>
          <w:p w14:paraId="290AF157" w14:textId="77777777" w:rsidR="00572F25" w:rsidRPr="00E1658A" w:rsidRDefault="00572F25" w:rsidP="00140544">
            <w:pPr>
              <w:spacing w:after="0"/>
              <w:jc w:val="center"/>
              <w:rPr>
                <w:rFonts w:cs="Arial"/>
                <w:color w:val="auto"/>
                <w:sz w:val="20"/>
                <w:szCs w:val="20"/>
              </w:rPr>
            </w:pPr>
            <w:r w:rsidRPr="00E1658A">
              <w:rPr>
                <w:rFonts w:cs="Arial"/>
                <w:color w:val="auto"/>
                <w:sz w:val="20"/>
                <w:szCs w:val="20"/>
              </w:rPr>
              <w:t>(n) (%)</w:t>
            </w:r>
          </w:p>
        </w:tc>
        <w:tc>
          <w:tcPr>
            <w:tcW w:w="3210" w:type="dxa"/>
            <w:gridSpan w:val="2"/>
            <w:tcBorders>
              <w:top w:val="nil"/>
              <w:left w:val="nil"/>
              <w:bottom w:val="nil"/>
              <w:right w:val="nil"/>
            </w:tcBorders>
            <w:shd w:val="clear" w:color="000000" w:fill="6DB2AD"/>
            <w:vAlign w:val="center"/>
            <w:hideMark/>
          </w:tcPr>
          <w:p w14:paraId="23D96B6D" w14:textId="77777777" w:rsidR="00572F25" w:rsidRPr="00E1658A" w:rsidRDefault="00572F25" w:rsidP="00140544">
            <w:pPr>
              <w:spacing w:after="0"/>
              <w:jc w:val="center"/>
              <w:rPr>
                <w:rFonts w:cs="Arial"/>
                <w:color w:val="auto"/>
                <w:sz w:val="20"/>
                <w:szCs w:val="20"/>
              </w:rPr>
            </w:pPr>
            <w:r w:rsidRPr="00E1658A">
              <w:rPr>
                <w:rFonts w:cs="Arial"/>
                <w:color w:val="auto"/>
                <w:sz w:val="20"/>
                <w:szCs w:val="20"/>
              </w:rPr>
              <w:t>(n) (%)</w:t>
            </w:r>
          </w:p>
        </w:tc>
      </w:tr>
      <w:tr w:rsidR="00572F25" w:rsidRPr="00CB6BBC" w14:paraId="3A5F52E9" w14:textId="77777777" w:rsidTr="00140544">
        <w:trPr>
          <w:trHeight w:val="357"/>
        </w:trPr>
        <w:tc>
          <w:tcPr>
            <w:tcW w:w="3052" w:type="dxa"/>
            <w:tcBorders>
              <w:top w:val="nil"/>
              <w:left w:val="nil"/>
              <w:bottom w:val="nil"/>
              <w:right w:val="nil"/>
            </w:tcBorders>
            <w:shd w:val="clear" w:color="000000" w:fill="F1F1F2"/>
            <w:noWrap/>
            <w:vAlign w:val="center"/>
            <w:hideMark/>
          </w:tcPr>
          <w:p w14:paraId="463249B5" w14:textId="77777777" w:rsidR="00572F25" w:rsidRPr="00CB6BBC" w:rsidRDefault="00572F25" w:rsidP="00140544">
            <w:pPr>
              <w:spacing w:after="0"/>
              <w:rPr>
                <w:rFonts w:cs="Arial"/>
                <w:color w:val="000000"/>
                <w:sz w:val="18"/>
                <w:szCs w:val="18"/>
              </w:rPr>
            </w:pPr>
            <w:r w:rsidRPr="00CB6BBC">
              <w:rPr>
                <w:rFonts w:cs="Arial"/>
                <w:color w:val="000000"/>
                <w:sz w:val="18"/>
                <w:szCs w:val="18"/>
              </w:rPr>
              <w:t>Cefazolin</w:t>
            </w:r>
          </w:p>
        </w:tc>
        <w:tc>
          <w:tcPr>
            <w:tcW w:w="1604" w:type="dxa"/>
            <w:tcBorders>
              <w:top w:val="nil"/>
              <w:left w:val="nil"/>
              <w:bottom w:val="nil"/>
              <w:right w:val="nil"/>
            </w:tcBorders>
            <w:shd w:val="clear" w:color="000000" w:fill="F1F1F2"/>
            <w:noWrap/>
            <w:vAlign w:val="center"/>
            <w:hideMark/>
          </w:tcPr>
          <w:p w14:paraId="1242803F" w14:textId="77777777" w:rsidR="00572F25" w:rsidRPr="00CB6BBC" w:rsidRDefault="00572F25" w:rsidP="00140544">
            <w:pPr>
              <w:spacing w:after="0"/>
              <w:jc w:val="right"/>
              <w:rPr>
                <w:rFonts w:cs="Arial"/>
                <w:color w:val="000000"/>
                <w:sz w:val="18"/>
                <w:szCs w:val="18"/>
              </w:rPr>
            </w:pPr>
            <w:r w:rsidRPr="00CB6BBC">
              <w:rPr>
                <w:rFonts w:cs="Arial"/>
                <w:color w:val="000000"/>
                <w:sz w:val="18"/>
                <w:szCs w:val="18"/>
              </w:rPr>
              <w:t>2,561</w:t>
            </w:r>
          </w:p>
        </w:tc>
        <w:tc>
          <w:tcPr>
            <w:tcW w:w="1606" w:type="dxa"/>
            <w:tcBorders>
              <w:top w:val="nil"/>
              <w:left w:val="nil"/>
              <w:bottom w:val="nil"/>
              <w:right w:val="nil"/>
            </w:tcBorders>
            <w:shd w:val="clear" w:color="000000" w:fill="F1F1F2"/>
            <w:noWrap/>
            <w:vAlign w:val="center"/>
            <w:hideMark/>
          </w:tcPr>
          <w:p w14:paraId="1C3E9C0C" w14:textId="77777777" w:rsidR="00572F25" w:rsidRPr="00CB6BBC" w:rsidRDefault="00572F25" w:rsidP="00140544">
            <w:pPr>
              <w:spacing w:after="0"/>
              <w:rPr>
                <w:rFonts w:cs="Arial"/>
                <w:color w:val="000000"/>
                <w:sz w:val="18"/>
                <w:szCs w:val="18"/>
              </w:rPr>
            </w:pPr>
            <w:r w:rsidRPr="00CB6BBC">
              <w:rPr>
                <w:rFonts w:cs="Arial"/>
                <w:color w:val="000000"/>
                <w:sz w:val="18"/>
                <w:szCs w:val="18"/>
              </w:rPr>
              <w:t>55.9</w:t>
            </w:r>
          </w:p>
        </w:tc>
        <w:tc>
          <w:tcPr>
            <w:tcW w:w="1604" w:type="dxa"/>
            <w:tcBorders>
              <w:top w:val="nil"/>
              <w:left w:val="nil"/>
              <w:bottom w:val="nil"/>
              <w:right w:val="nil"/>
            </w:tcBorders>
            <w:shd w:val="clear" w:color="000000" w:fill="F1F1F2"/>
            <w:noWrap/>
            <w:vAlign w:val="center"/>
            <w:hideMark/>
          </w:tcPr>
          <w:p w14:paraId="28F543D0" w14:textId="77777777" w:rsidR="00572F25" w:rsidRPr="00CB6BBC" w:rsidRDefault="00572F25" w:rsidP="00140544">
            <w:pPr>
              <w:spacing w:after="0"/>
              <w:jc w:val="right"/>
              <w:rPr>
                <w:rFonts w:cs="Arial"/>
                <w:color w:val="000000"/>
                <w:sz w:val="18"/>
                <w:szCs w:val="18"/>
              </w:rPr>
            </w:pPr>
            <w:r w:rsidRPr="00CB6BBC">
              <w:rPr>
                <w:rFonts w:cs="Arial"/>
                <w:color w:val="000000"/>
                <w:sz w:val="18"/>
                <w:szCs w:val="18"/>
              </w:rPr>
              <w:t>1,252</w:t>
            </w:r>
          </w:p>
        </w:tc>
        <w:tc>
          <w:tcPr>
            <w:tcW w:w="1606" w:type="dxa"/>
            <w:tcBorders>
              <w:top w:val="nil"/>
              <w:left w:val="nil"/>
              <w:bottom w:val="nil"/>
              <w:right w:val="nil"/>
            </w:tcBorders>
            <w:shd w:val="clear" w:color="000000" w:fill="F1F1F2"/>
            <w:vAlign w:val="center"/>
            <w:hideMark/>
          </w:tcPr>
          <w:p w14:paraId="64375907" w14:textId="77777777" w:rsidR="00572F25" w:rsidRPr="00CB6BBC" w:rsidRDefault="00572F25" w:rsidP="00140544">
            <w:pPr>
              <w:spacing w:after="0"/>
              <w:rPr>
                <w:rFonts w:cs="Arial"/>
                <w:color w:val="000000"/>
                <w:sz w:val="18"/>
                <w:szCs w:val="18"/>
              </w:rPr>
            </w:pPr>
            <w:r w:rsidRPr="00CB6BBC">
              <w:rPr>
                <w:rFonts w:cs="Arial"/>
                <w:color w:val="000000"/>
                <w:sz w:val="18"/>
                <w:szCs w:val="18"/>
              </w:rPr>
              <w:t>48.9</w:t>
            </w:r>
          </w:p>
        </w:tc>
      </w:tr>
      <w:tr w:rsidR="00572F25" w:rsidRPr="00CB6BBC" w14:paraId="1A52BF48" w14:textId="77777777" w:rsidTr="00140544">
        <w:trPr>
          <w:trHeight w:val="357"/>
        </w:trPr>
        <w:tc>
          <w:tcPr>
            <w:tcW w:w="3052" w:type="dxa"/>
            <w:tcBorders>
              <w:top w:val="nil"/>
              <w:left w:val="nil"/>
              <w:bottom w:val="nil"/>
              <w:right w:val="nil"/>
            </w:tcBorders>
            <w:shd w:val="clear" w:color="auto" w:fill="auto"/>
            <w:noWrap/>
            <w:vAlign w:val="center"/>
            <w:hideMark/>
          </w:tcPr>
          <w:p w14:paraId="75FC87AA" w14:textId="77777777" w:rsidR="00572F25" w:rsidRPr="00CB6BBC" w:rsidRDefault="00572F25" w:rsidP="00140544">
            <w:pPr>
              <w:spacing w:after="0"/>
              <w:rPr>
                <w:rFonts w:cs="Arial"/>
                <w:color w:val="000000"/>
                <w:sz w:val="18"/>
                <w:szCs w:val="18"/>
              </w:rPr>
            </w:pPr>
            <w:r w:rsidRPr="00CB6BBC">
              <w:rPr>
                <w:rFonts w:cs="Arial"/>
                <w:color w:val="000000"/>
                <w:sz w:val="18"/>
                <w:szCs w:val="18"/>
              </w:rPr>
              <w:t>Cefalexin</w:t>
            </w:r>
          </w:p>
        </w:tc>
        <w:tc>
          <w:tcPr>
            <w:tcW w:w="1604" w:type="dxa"/>
            <w:tcBorders>
              <w:top w:val="nil"/>
              <w:left w:val="nil"/>
              <w:bottom w:val="nil"/>
              <w:right w:val="nil"/>
            </w:tcBorders>
            <w:shd w:val="clear" w:color="auto" w:fill="auto"/>
            <w:noWrap/>
            <w:vAlign w:val="center"/>
            <w:hideMark/>
          </w:tcPr>
          <w:p w14:paraId="73ED687C" w14:textId="77777777" w:rsidR="00572F25" w:rsidRPr="00CB6BBC" w:rsidRDefault="00572F25" w:rsidP="00140544">
            <w:pPr>
              <w:spacing w:after="0"/>
              <w:jc w:val="right"/>
              <w:rPr>
                <w:rFonts w:cs="Arial"/>
                <w:color w:val="000000"/>
                <w:sz w:val="18"/>
                <w:szCs w:val="18"/>
              </w:rPr>
            </w:pPr>
            <w:r w:rsidRPr="00CB6BBC">
              <w:rPr>
                <w:rFonts w:cs="Arial"/>
                <w:color w:val="000000"/>
                <w:sz w:val="18"/>
                <w:szCs w:val="18"/>
              </w:rPr>
              <w:t>592</w:t>
            </w:r>
          </w:p>
        </w:tc>
        <w:tc>
          <w:tcPr>
            <w:tcW w:w="1606" w:type="dxa"/>
            <w:tcBorders>
              <w:top w:val="nil"/>
              <w:left w:val="nil"/>
              <w:bottom w:val="nil"/>
              <w:right w:val="nil"/>
            </w:tcBorders>
            <w:shd w:val="clear" w:color="auto" w:fill="auto"/>
            <w:noWrap/>
            <w:vAlign w:val="center"/>
            <w:hideMark/>
          </w:tcPr>
          <w:p w14:paraId="75CE5441" w14:textId="77777777" w:rsidR="00572F25" w:rsidRPr="00CB6BBC" w:rsidRDefault="00572F25" w:rsidP="00140544">
            <w:pPr>
              <w:spacing w:after="0"/>
              <w:rPr>
                <w:rFonts w:cs="Arial"/>
                <w:color w:val="000000"/>
                <w:sz w:val="18"/>
                <w:szCs w:val="18"/>
              </w:rPr>
            </w:pPr>
            <w:r w:rsidRPr="00CB6BBC">
              <w:rPr>
                <w:rFonts w:cs="Arial"/>
                <w:color w:val="000000"/>
                <w:sz w:val="18"/>
                <w:szCs w:val="18"/>
              </w:rPr>
              <w:t>12.9</w:t>
            </w:r>
          </w:p>
        </w:tc>
        <w:tc>
          <w:tcPr>
            <w:tcW w:w="1604" w:type="dxa"/>
            <w:tcBorders>
              <w:top w:val="nil"/>
              <w:left w:val="nil"/>
              <w:bottom w:val="nil"/>
              <w:right w:val="nil"/>
            </w:tcBorders>
            <w:shd w:val="clear" w:color="auto" w:fill="auto"/>
            <w:noWrap/>
            <w:vAlign w:val="center"/>
            <w:hideMark/>
          </w:tcPr>
          <w:p w14:paraId="07834185" w14:textId="77777777" w:rsidR="00572F25" w:rsidRPr="00CB6BBC" w:rsidRDefault="00572F25" w:rsidP="00140544">
            <w:pPr>
              <w:spacing w:after="0"/>
              <w:jc w:val="right"/>
              <w:rPr>
                <w:rFonts w:cs="Arial"/>
                <w:color w:val="000000"/>
                <w:sz w:val="18"/>
                <w:szCs w:val="18"/>
              </w:rPr>
            </w:pPr>
            <w:r w:rsidRPr="00CB6BBC">
              <w:rPr>
                <w:rFonts w:cs="Arial"/>
                <w:color w:val="000000"/>
                <w:sz w:val="18"/>
                <w:szCs w:val="18"/>
              </w:rPr>
              <w:t>501</w:t>
            </w:r>
          </w:p>
        </w:tc>
        <w:tc>
          <w:tcPr>
            <w:tcW w:w="1606" w:type="dxa"/>
            <w:tcBorders>
              <w:top w:val="nil"/>
              <w:left w:val="nil"/>
              <w:bottom w:val="nil"/>
              <w:right w:val="nil"/>
            </w:tcBorders>
            <w:shd w:val="clear" w:color="auto" w:fill="auto"/>
            <w:vAlign w:val="center"/>
            <w:hideMark/>
          </w:tcPr>
          <w:p w14:paraId="51754130" w14:textId="77777777" w:rsidR="00572F25" w:rsidRPr="00CB6BBC" w:rsidRDefault="00572F25" w:rsidP="00140544">
            <w:pPr>
              <w:spacing w:after="0"/>
              <w:rPr>
                <w:rFonts w:cs="Arial"/>
                <w:color w:val="000000"/>
                <w:sz w:val="18"/>
                <w:szCs w:val="18"/>
              </w:rPr>
            </w:pPr>
            <w:r w:rsidRPr="00CB6BBC">
              <w:rPr>
                <w:rFonts w:cs="Arial"/>
                <w:color w:val="000000"/>
                <w:sz w:val="18"/>
                <w:szCs w:val="18"/>
              </w:rPr>
              <w:t>84.6</w:t>
            </w:r>
          </w:p>
        </w:tc>
      </w:tr>
      <w:tr w:rsidR="00572F25" w:rsidRPr="00CB6BBC" w14:paraId="0164969A" w14:textId="77777777" w:rsidTr="00140544">
        <w:trPr>
          <w:trHeight w:val="357"/>
        </w:trPr>
        <w:tc>
          <w:tcPr>
            <w:tcW w:w="3052" w:type="dxa"/>
            <w:tcBorders>
              <w:top w:val="nil"/>
              <w:left w:val="nil"/>
              <w:bottom w:val="nil"/>
              <w:right w:val="nil"/>
            </w:tcBorders>
            <w:shd w:val="clear" w:color="000000" w:fill="F1F1F2"/>
            <w:noWrap/>
            <w:vAlign w:val="center"/>
            <w:hideMark/>
          </w:tcPr>
          <w:p w14:paraId="7380F5C2" w14:textId="77777777" w:rsidR="00572F25" w:rsidRPr="00CB6BBC" w:rsidRDefault="00572F25" w:rsidP="00140544">
            <w:pPr>
              <w:spacing w:after="0"/>
              <w:rPr>
                <w:rFonts w:cs="Arial"/>
                <w:color w:val="000000"/>
                <w:sz w:val="18"/>
                <w:szCs w:val="18"/>
              </w:rPr>
            </w:pPr>
            <w:r w:rsidRPr="00CB6BBC">
              <w:rPr>
                <w:rFonts w:cs="Arial"/>
                <w:color w:val="000000"/>
                <w:sz w:val="18"/>
                <w:szCs w:val="18"/>
              </w:rPr>
              <w:t>Chloramphenicol</w:t>
            </w:r>
          </w:p>
        </w:tc>
        <w:tc>
          <w:tcPr>
            <w:tcW w:w="1604" w:type="dxa"/>
            <w:tcBorders>
              <w:top w:val="nil"/>
              <w:left w:val="nil"/>
              <w:bottom w:val="nil"/>
              <w:right w:val="nil"/>
            </w:tcBorders>
            <w:shd w:val="clear" w:color="000000" w:fill="F1F1F2"/>
            <w:noWrap/>
            <w:vAlign w:val="center"/>
            <w:hideMark/>
          </w:tcPr>
          <w:p w14:paraId="3561140E" w14:textId="77777777" w:rsidR="00572F25" w:rsidRPr="00CB6BBC" w:rsidRDefault="00572F25" w:rsidP="00140544">
            <w:pPr>
              <w:spacing w:after="0"/>
              <w:jc w:val="right"/>
              <w:rPr>
                <w:rFonts w:cs="Arial"/>
                <w:color w:val="000000"/>
                <w:sz w:val="18"/>
                <w:szCs w:val="18"/>
              </w:rPr>
            </w:pPr>
            <w:r w:rsidRPr="00CB6BBC">
              <w:rPr>
                <w:rFonts w:cs="Arial"/>
                <w:color w:val="000000"/>
                <w:sz w:val="18"/>
                <w:szCs w:val="18"/>
              </w:rPr>
              <w:t>481</w:t>
            </w:r>
          </w:p>
        </w:tc>
        <w:tc>
          <w:tcPr>
            <w:tcW w:w="1606" w:type="dxa"/>
            <w:tcBorders>
              <w:top w:val="nil"/>
              <w:left w:val="nil"/>
              <w:bottom w:val="nil"/>
              <w:right w:val="nil"/>
            </w:tcBorders>
            <w:shd w:val="clear" w:color="000000" w:fill="F1F1F2"/>
            <w:noWrap/>
            <w:vAlign w:val="center"/>
            <w:hideMark/>
          </w:tcPr>
          <w:p w14:paraId="684B2B3C" w14:textId="77777777" w:rsidR="00572F25" w:rsidRPr="00CB6BBC" w:rsidRDefault="00572F25" w:rsidP="00140544">
            <w:pPr>
              <w:spacing w:after="0"/>
              <w:rPr>
                <w:rFonts w:cs="Arial"/>
                <w:color w:val="000000"/>
                <w:sz w:val="18"/>
                <w:szCs w:val="18"/>
              </w:rPr>
            </w:pPr>
            <w:r w:rsidRPr="00CB6BBC">
              <w:rPr>
                <w:rFonts w:cs="Arial"/>
                <w:color w:val="000000"/>
                <w:sz w:val="18"/>
                <w:szCs w:val="18"/>
              </w:rPr>
              <w:t>10.5</w:t>
            </w:r>
          </w:p>
        </w:tc>
        <w:tc>
          <w:tcPr>
            <w:tcW w:w="1604" w:type="dxa"/>
            <w:tcBorders>
              <w:top w:val="nil"/>
              <w:left w:val="nil"/>
              <w:bottom w:val="nil"/>
              <w:right w:val="nil"/>
            </w:tcBorders>
            <w:shd w:val="clear" w:color="000000" w:fill="F1F1F2"/>
            <w:noWrap/>
            <w:vAlign w:val="center"/>
            <w:hideMark/>
          </w:tcPr>
          <w:p w14:paraId="26C687F2" w14:textId="77777777" w:rsidR="00572F25" w:rsidRPr="00CB6BBC" w:rsidRDefault="00572F25" w:rsidP="00140544">
            <w:pPr>
              <w:spacing w:after="0"/>
              <w:jc w:val="right"/>
              <w:rPr>
                <w:rFonts w:cs="Arial"/>
                <w:color w:val="000000"/>
                <w:sz w:val="18"/>
                <w:szCs w:val="18"/>
              </w:rPr>
            </w:pPr>
            <w:r w:rsidRPr="00CB6BBC">
              <w:rPr>
                <w:rFonts w:cs="Arial"/>
                <w:color w:val="000000"/>
                <w:sz w:val="18"/>
                <w:szCs w:val="18"/>
              </w:rPr>
              <w:t>224</w:t>
            </w:r>
          </w:p>
        </w:tc>
        <w:tc>
          <w:tcPr>
            <w:tcW w:w="1606" w:type="dxa"/>
            <w:tcBorders>
              <w:top w:val="nil"/>
              <w:left w:val="nil"/>
              <w:bottom w:val="nil"/>
              <w:right w:val="nil"/>
            </w:tcBorders>
            <w:shd w:val="clear" w:color="000000" w:fill="F1F1F2"/>
            <w:vAlign w:val="center"/>
            <w:hideMark/>
          </w:tcPr>
          <w:p w14:paraId="295A1F04" w14:textId="77777777" w:rsidR="00572F25" w:rsidRPr="00CB6BBC" w:rsidRDefault="00572F25" w:rsidP="00140544">
            <w:pPr>
              <w:spacing w:after="0"/>
              <w:rPr>
                <w:rFonts w:cs="Arial"/>
                <w:color w:val="000000"/>
                <w:sz w:val="18"/>
                <w:szCs w:val="18"/>
              </w:rPr>
            </w:pPr>
            <w:r w:rsidRPr="00CB6BBC">
              <w:rPr>
                <w:rFonts w:cs="Arial"/>
                <w:color w:val="000000"/>
                <w:sz w:val="18"/>
                <w:szCs w:val="18"/>
              </w:rPr>
              <w:t>46.6</w:t>
            </w:r>
          </w:p>
        </w:tc>
      </w:tr>
      <w:tr w:rsidR="00572F25" w:rsidRPr="00CB6BBC" w14:paraId="76B3EB6C" w14:textId="77777777" w:rsidTr="00140544">
        <w:trPr>
          <w:trHeight w:val="357"/>
        </w:trPr>
        <w:tc>
          <w:tcPr>
            <w:tcW w:w="3052" w:type="dxa"/>
            <w:tcBorders>
              <w:top w:val="nil"/>
              <w:left w:val="nil"/>
              <w:bottom w:val="nil"/>
              <w:right w:val="nil"/>
            </w:tcBorders>
            <w:shd w:val="clear" w:color="auto" w:fill="auto"/>
            <w:noWrap/>
            <w:vAlign w:val="center"/>
            <w:hideMark/>
          </w:tcPr>
          <w:p w14:paraId="0AF243A0" w14:textId="77777777" w:rsidR="00572F25" w:rsidRPr="00CB6BBC" w:rsidRDefault="00572F25" w:rsidP="00140544">
            <w:pPr>
              <w:spacing w:after="0"/>
              <w:rPr>
                <w:rFonts w:cs="Arial"/>
                <w:color w:val="000000"/>
                <w:sz w:val="18"/>
                <w:szCs w:val="18"/>
              </w:rPr>
            </w:pPr>
            <w:r w:rsidRPr="00CB6BBC">
              <w:rPr>
                <w:rFonts w:cs="Arial"/>
                <w:color w:val="000000"/>
                <w:sz w:val="18"/>
                <w:szCs w:val="18"/>
              </w:rPr>
              <w:t>Metronidazole</w:t>
            </w:r>
          </w:p>
        </w:tc>
        <w:tc>
          <w:tcPr>
            <w:tcW w:w="1604" w:type="dxa"/>
            <w:tcBorders>
              <w:top w:val="nil"/>
              <w:left w:val="nil"/>
              <w:bottom w:val="nil"/>
              <w:right w:val="nil"/>
            </w:tcBorders>
            <w:shd w:val="clear" w:color="auto" w:fill="auto"/>
            <w:noWrap/>
            <w:vAlign w:val="center"/>
            <w:hideMark/>
          </w:tcPr>
          <w:p w14:paraId="0B191504" w14:textId="77777777" w:rsidR="00572F25" w:rsidRPr="00CB6BBC" w:rsidRDefault="00572F25" w:rsidP="00140544">
            <w:pPr>
              <w:spacing w:after="0"/>
              <w:jc w:val="right"/>
              <w:rPr>
                <w:rFonts w:cs="Arial"/>
                <w:color w:val="000000"/>
                <w:sz w:val="18"/>
                <w:szCs w:val="18"/>
              </w:rPr>
            </w:pPr>
            <w:r w:rsidRPr="00CB6BBC">
              <w:rPr>
                <w:rFonts w:cs="Arial"/>
                <w:color w:val="000000"/>
                <w:sz w:val="18"/>
                <w:szCs w:val="18"/>
              </w:rPr>
              <w:t>199</w:t>
            </w:r>
          </w:p>
        </w:tc>
        <w:tc>
          <w:tcPr>
            <w:tcW w:w="1606" w:type="dxa"/>
            <w:tcBorders>
              <w:top w:val="nil"/>
              <w:left w:val="nil"/>
              <w:bottom w:val="nil"/>
              <w:right w:val="nil"/>
            </w:tcBorders>
            <w:shd w:val="clear" w:color="auto" w:fill="auto"/>
            <w:noWrap/>
            <w:vAlign w:val="center"/>
            <w:hideMark/>
          </w:tcPr>
          <w:p w14:paraId="5C47E8CB" w14:textId="77777777" w:rsidR="00572F25" w:rsidRPr="00CB6BBC" w:rsidRDefault="00572F25" w:rsidP="00140544">
            <w:pPr>
              <w:spacing w:after="0"/>
              <w:rPr>
                <w:rFonts w:cs="Arial"/>
                <w:color w:val="000000"/>
                <w:sz w:val="18"/>
                <w:szCs w:val="18"/>
              </w:rPr>
            </w:pPr>
            <w:r w:rsidRPr="00CB6BBC">
              <w:rPr>
                <w:rFonts w:cs="Arial"/>
                <w:color w:val="000000"/>
                <w:sz w:val="18"/>
                <w:szCs w:val="18"/>
              </w:rPr>
              <w:t>4.3</w:t>
            </w:r>
          </w:p>
        </w:tc>
        <w:tc>
          <w:tcPr>
            <w:tcW w:w="1604" w:type="dxa"/>
            <w:tcBorders>
              <w:top w:val="nil"/>
              <w:left w:val="nil"/>
              <w:bottom w:val="nil"/>
              <w:right w:val="nil"/>
            </w:tcBorders>
            <w:shd w:val="clear" w:color="auto" w:fill="auto"/>
            <w:noWrap/>
            <w:vAlign w:val="center"/>
            <w:hideMark/>
          </w:tcPr>
          <w:p w14:paraId="4DBAADFE" w14:textId="77777777" w:rsidR="00572F25" w:rsidRPr="00CB6BBC" w:rsidRDefault="00572F25" w:rsidP="00140544">
            <w:pPr>
              <w:spacing w:after="0"/>
              <w:jc w:val="right"/>
              <w:rPr>
                <w:rFonts w:cs="Arial"/>
                <w:color w:val="000000"/>
                <w:sz w:val="18"/>
                <w:szCs w:val="18"/>
              </w:rPr>
            </w:pPr>
            <w:r w:rsidRPr="00CB6BBC">
              <w:rPr>
                <w:rFonts w:cs="Arial"/>
                <w:color w:val="000000"/>
                <w:sz w:val="18"/>
                <w:szCs w:val="18"/>
              </w:rPr>
              <w:t>144</w:t>
            </w:r>
          </w:p>
        </w:tc>
        <w:tc>
          <w:tcPr>
            <w:tcW w:w="1606" w:type="dxa"/>
            <w:tcBorders>
              <w:top w:val="nil"/>
              <w:left w:val="nil"/>
              <w:bottom w:val="nil"/>
              <w:right w:val="nil"/>
            </w:tcBorders>
            <w:shd w:val="clear" w:color="auto" w:fill="auto"/>
            <w:vAlign w:val="center"/>
            <w:hideMark/>
          </w:tcPr>
          <w:p w14:paraId="0DB1BD32" w14:textId="77777777" w:rsidR="00572F25" w:rsidRPr="00CB6BBC" w:rsidRDefault="00572F25" w:rsidP="00140544">
            <w:pPr>
              <w:spacing w:after="0"/>
              <w:rPr>
                <w:rFonts w:cs="Arial"/>
                <w:color w:val="000000"/>
                <w:sz w:val="18"/>
                <w:szCs w:val="18"/>
              </w:rPr>
            </w:pPr>
            <w:r w:rsidRPr="00CB6BBC">
              <w:rPr>
                <w:rFonts w:cs="Arial"/>
                <w:color w:val="000000"/>
                <w:sz w:val="18"/>
                <w:szCs w:val="18"/>
              </w:rPr>
              <w:t>72.4</w:t>
            </w:r>
          </w:p>
        </w:tc>
      </w:tr>
      <w:tr w:rsidR="00572F25" w:rsidRPr="00CB6BBC" w14:paraId="6EF8838A" w14:textId="77777777" w:rsidTr="00140544">
        <w:trPr>
          <w:trHeight w:val="357"/>
        </w:trPr>
        <w:tc>
          <w:tcPr>
            <w:tcW w:w="3052" w:type="dxa"/>
            <w:tcBorders>
              <w:top w:val="nil"/>
              <w:left w:val="nil"/>
              <w:bottom w:val="nil"/>
              <w:right w:val="nil"/>
            </w:tcBorders>
            <w:shd w:val="clear" w:color="000000" w:fill="F1F1F2"/>
            <w:noWrap/>
            <w:vAlign w:val="center"/>
            <w:hideMark/>
          </w:tcPr>
          <w:p w14:paraId="6F5B7A47" w14:textId="77777777" w:rsidR="00572F25" w:rsidRPr="00CB6BBC" w:rsidRDefault="00572F25" w:rsidP="00140544">
            <w:pPr>
              <w:spacing w:after="0"/>
              <w:rPr>
                <w:rFonts w:cs="Arial"/>
                <w:color w:val="000000"/>
                <w:sz w:val="18"/>
                <w:szCs w:val="18"/>
              </w:rPr>
            </w:pPr>
            <w:r w:rsidRPr="00CB6BBC">
              <w:rPr>
                <w:rFonts w:cs="Arial"/>
                <w:color w:val="000000"/>
                <w:sz w:val="18"/>
                <w:szCs w:val="18"/>
              </w:rPr>
              <w:t>Amoxicillin–clavulanic acid</w:t>
            </w:r>
          </w:p>
        </w:tc>
        <w:tc>
          <w:tcPr>
            <w:tcW w:w="1604" w:type="dxa"/>
            <w:tcBorders>
              <w:top w:val="nil"/>
              <w:left w:val="nil"/>
              <w:bottom w:val="nil"/>
              <w:right w:val="nil"/>
            </w:tcBorders>
            <w:shd w:val="clear" w:color="000000" w:fill="F1F1F2"/>
            <w:noWrap/>
            <w:vAlign w:val="center"/>
            <w:hideMark/>
          </w:tcPr>
          <w:p w14:paraId="236EF34D" w14:textId="77777777" w:rsidR="00572F25" w:rsidRPr="00CB6BBC" w:rsidRDefault="00572F25" w:rsidP="00140544">
            <w:pPr>
              <w:spacing w:after="0"/>
              <w:jc w:val="right"/>
              <w:rPr>
                <w:rFonts w:cs="Arial"/>
                <w:color w:val="000000"/>
                <w:sz w:val="18"/>
                <w:szCs w:val="18"/>
              </w:rPr>
            </w:pPr>
            <w:r w:rsidRPr="00CB6BBC">
              <w:rPr>
                <w:rFonts w:cs="Arial"/>
                <w:color w:val="000000"/>
                <w:sz w:val="18"/>
                <w:szCs w:val="18"/>
              </w:rPr>
              <w:t>185</w:t>
            </w:r>
          </w:p>
        </w:tc>
        <w:tc>
          <w:tcPr>
            <w:tcW w:w="1606" w:type="dxa"/>
            <w:tcBorders>
              <w:top w:val="nil"/>
              <w:left w:val="nil"/>
              <w:bottom w:val="nil"/>
              <w:right w:val="nil"/>
            </w:tcBorders>
            <w:shd w:val="clear" w:color="000000" w:fill="F1F1F2"/>
            <w:noWrap/>
            <w:vAlign w:val="center"/>
            <w:hideMark/>
          </w:tcPr>
          <w:p w14:paraId="72788E09" w14:textId="77777777" w:rsidR="00572F25" w:rsidRPr="00CB6BBC" w:rsidRDefault="00572F25" w:rsidP="00140544">
            <w:pPr>
              <w:spacing w:after="0"/>
              <w:rPr>
                <w:rFonts w:cs="Arial"/>
                <w:color w:val="000000"/>
                <w:sz w:val="18"/>
                <w:szCs w:val="18"/>
              </w:rPr>
            </w:pPr>
            <w:r w:rsidRPr="00CB6BBC">
              <w:rPr>
                <w:rFonts w:cs="Arial"/>
                <w:color w:val="000000"/>
                <w:sz w:val="18"/>
                <w:szCs w:val="18"/>
              </w:rPr>
              <w:t>4.0</w:t>
            </w:r>
          </w:p>
        </w:tc>
        <w:tc>
          <w:tcPr>
            <w:tcW w:w="1604" w:type="dxa"/>
            <w:tcBorders>
              <w:top w:val="nil"/>
              <w:left w:val="nil"/>
              <w:bottom w:val="nil"/>
              <w:right w:val="nil"/>
            </w:tcBorders>
            <w:shd w:val="clear" w:color="000000" w:fill="F1F1F2"/>
            <w:noWrap/>
            <w:vAlign w:val="center"/>
            <w:hideMark/>
          </w:tcPr>
          <w:p w14:paraId="15EDF0E6" w14:textId="77777777" w:rsidR="00572F25" w:rsidRPr="00CB6BBC" w:rsidRDefault="00572F25" w:rsidP="00140544">
            <w:pPr>
              <w:spacing w:after="0"/>
              <w:jc w:val="right"/>
              <w:rPr>
                <w:rFonts w:cs="Arial"/>
                <w:color w:val="000000"/>
                <w:sz w:val="18"/>
                <w:szCs w:val="18"/>
              </w:rPr>
            </w:pPr>
            <w:r w:rsidRPr="00CB6BBC">
              <w:rPr>
                <w:rFonts w:cs="Arial"/>
                <w:color w:val="000000"/>
                <w:sz w:val="18"/>
                <w:szCs w:val="18"/>
              </w:rPr>
              <w:t>154</w:t>
            </w:r>
          </w:p>
        </w:tc>
        <w:tc>
          <w:tcPr>
            <w:tcW w:w="1606" w:type="dxa"/>
            <w:tcBorders>
              <w:top w:val="nil"/>
              <w:left w:val="nil"/>
              <w:bottom w:val="nil"/>
              <w:right w:val="nil"/>
            </w:tcBorders>
            <w:shd w:val="clear" w:color="000000" w:fill="F1F1F2"/>
            <w:vAlign w:val="center"/>
            <w:hideMark/>
          </w:tcPr>
          <w:p w14:paraId="643F6452" w14:textId="77777777" w:rsidR="00572F25" w:rsidRPr="00CB6BBC" w:rsidRDefault="00572F25" w:rsidP="00140544">
            <w:pPr>
              <w:spacing w:after="0"/>
              <w:rPr>
                <w:rFonts w:cs="Arial"/>
                <w:color w:val="000000"/>
                <w:sz w:val="18"/>
                <w:szCs w:val="18"/>
              </w:rPr>
            </w:pPr>
            <w:r w:rsidRPr="00CB6BBC">
              <w:rPr>
                <w:rFonts w:cs="Arial"/>
                <w:color w:val="000000"/>
                <w:sz w:val="18"/>
                <w:szCs w:val="18"/>
              </w:rPr>
              <w:t>83.2</w:t>
            </w:r>
          </w:p>
        </w:tc>
      </w:tr>
      <w:tr w:rsidR="00572F25" w:rsidRPr="00CB6BBC" w14:paraId="4E72B6E5" w14:textId="77777777" w:rsidTr="00140544">
        <w:trPr>
          <w:trHeight w:val="357"/>
        </w:trPr>
        <w:tc>
          <w:tcPr>
            <w:tcW w:w="3052" w:type="dxa"/>
            <w:tcBorders>
              <w:top w:val="nil"/>
              <w:left w:val="nil"/>
              <w:bottom w:val="nil"/>
              <w:right w:val="nil"/>
            </w:tcBorders>
            <w:shd w:val="clear" w:color="auto" w:fill="auto"/>
            <w:noWrap/>
            <w:vAlign w:val="center"/>
            <w:hideMark/>
          </w:tcPr>
          <w:p w14:paraId="4EDB3899" w14:textId="77777777" w:rsidR="00572F25" w:rsidRPr="00CB6BBC" w:rsidRDefault="00572F25" w:rsidP="00140544">
            <w:pPr>
              <w:spacing w:after="0"/>
              <w:rPr>
                <w:rFonts w:cs="Arial"/>
                <w:color w:val="000000"/>
                <w:sz w:val="18"/>
                <w:szCs w:val="18"/>
              </w:rPr>
            </w:pPr>
            <w:r w:rsidRPr="00CB6BBC">
              <w:rPr>
                <w:rFonts w:cs="Arial"/>
                <w:color w:val="000000"/>
                <w:sz w:val="18"/>
                <w:szCs w:val="18"/>
              </w:rPr>
              <w:t>Ciprofloxacin</w:t>
            </w:r>
          </w:p>
        </w:tc>
        <w:tc>
          <w:tcPr>
            <w:tcW w:w="1604" w:type="dxa"/>
            <w:tcBorders>
              <w:top w:val="nil"/>
              <w:left w:val="nil"/>
              <w:bottom w:val="nil"/>
              <w:right w:val="nil"/>
            </w:tcBorders>
            <w:shd w:val="clear" w:color="auto" w:fill="auto"/>
            <w:noWrap/>
            <w:vAlign w:val="center"/>
            <w:hideMark/>
          </w:tcPr>
          <w:p w14:paraId="4B171BF9" w14:textId="77777777" w:rsidR="00572F25" w:rsidRPr="00CB6BBC" w:rsidRDefault="00572F25" w:rsidP="00140544">
            <w:pPr>
              <w:spacing w:after="0"/>
              <w:jc w:val="right"/>
              <w:rPr>
                <w:rFonts w:cs="Arial"/>
                <w:color w:val="000000"/>
                <w:sz w:val="18"/>
                <w:szCs w:val="18"/>
              </w:rPr>
            </w:pPr>
            <w:r w:rsidRPr="00CB6BBC">
              <w:rPr>
                <w:rFonts w:cs="Arial"/>
                <w:color w:val="000000"/>
                <w:sz w:val="18"/>
                <w:szCs w:val="18"/>
              </w:rPr>
              <w:t>89</w:t>
            </w:r>
          </w:p>
        </w:tc>
        <w:tc>
          <w:tcPr>
            <w:tcW w:w="1606" w:type="dxa"/>
            <w:tcBorders>
              <w:top w:val="nil"/>
              <w:left w:val="nil"/>
              <w:bottom w:val="nil"/>
              <w:right w:val="nil"/>
            </w:tcBorders>
            <w:shd w:val="clear" w:color="auto" w:fill="auto"/>
            <w:noWrap/>
            <w:vAlign w:val="center"/>
            <w:hideMark/>
          </w:tcPr>
          <w:p w14:paraId="509909DB" w14:textId="77777777" w:rsidR="00572F25" w:rsidRPr="00CB6BBC" w:rsidRDefault="00572F25" w:rsidP="00140544">
            <w:pPr>
              <w:spacing w:after="0"/>
              <w:rPr>
                <w:rFonts w:cs="Arial"/>
                <w:color w:val="000000"/>
                <w:sz w:val="18"/>
                <w:szCs w:val="18"/>
              </w:rPr>
            </w:pPr>
            <w:r w:rsidRPr="00CB6BBC">
              <w:rPr>
                <w:rFonts w:cs="Arial"/>
                <w:color w:val="000000"/>
                <w:sz w:val="18"/>
                <w:szCs w:val="18"/>
              </w:rPr>
              <w:t>1.9</w:t>
            </w:r>
          </w:p>
        </w:tc>
        <w:tc>
          <w:tcPr>
            <w:tcW w:w="1604" w:type="dxa"/>
            <w:tcBorders>
              <w:top w:val="nil"/>
              <w:left w:val="nil"/>
              <w:bottom w:val="nil"/>
              <w:right w:val="nil"/>
            </w:tcBorders>
            <w:shd w:val="clear" w:color="auto" w:fill="auto"/>
            <w:noWrap/>
            <w:vAlign w:val="center"/>
            <w:hideMark/>
          </w:tcPr>
          <w:p w14:paraId="1A1BEDB4" w14:textId="77777777" w:rsidR="00572F25" w:rsidRPr="00CB6BBC" w:rsidRDefault="00572F25" w:rsidP="00140544">
            <w:pPr>
              <w:spacing w:after="0"/>
              <w:jc w:val="right"/>
              <w:rPr>
                <w:rFonts w:cs="Arial"/>
                <w:color w:val="000000"/>
                <w:sz w:val="18"/>
                <w:szCs w:val="18"/>
              </w:rPr>
            </w:pPr>
            <w:r w:rsidRPr="00CB6BBC">
              <w:rPr>
                <w:rFonts w:cs="Arial"/>
                <w:color w:val="000000"/>
                <w:sz w:val="18"/>
                <w:szCs w:val="18"/>
              </w:rPr>
              <w:t>76</w:t>
            </w:r>
          </w:p>
        </w:tc>
        <w:tc>
          <w:tcPr>
            <w:tcW w:w="1606" w:type="dxa"/>
            <w:tcBorders>
              <w:top w:val="nil"/>
              <w:left w:val="nil"/>
              <w:bottom w:val="nil"/>
              <w:right w:val="nil"/>
            </w:tcBorders>
            <w:shd w:val="clear" w:color="auto" w:fill="auto"/>
            <w:vAlign w:val="center"/>
            <w:hideMark/>
          </w:tcPr>
          <w:p w14:paraId="3C7ACF62" w14:textId="77777777" w:rsidR="00572F25" w:rsidRPr="00CB6BBC" w:rsidRDefault="00572F25" w:rsidP="00140544">
            <w:pPr>
              <w:spacing w:after="0"/>
              <w:rPr>
                <w:rFonts w:cs="Arial"/>
                <w:color w:val="000000"/>
                <w:sz w:val="18"/>
                <w:szCs w:val="18"/>
              </w:rPr>
            </w:pPr>
            <w:r w:rsidRPr="00CB6BBC">
              <w:rPr>
                <w:rFonts w:cs="Arial"/>
                <w:color w:val="000000"/>
                <w:sz w:val="18"/>
                <w:szCs w:val="18"/>
              </w:rPr>
              <w:t>85.4</w:t>
            </w:r>
          </w:p>
        </w:tc>
      </w:tr>
      <w:tr w:rsidR="00572F25" w:rsidRPr="00CB6BBC" w14:paraId="6CD8B3D9" w14:textId="77777777" w:rsidTr="00140544">
        <w:trPr>
          <w:trHeight w:val="357"/>
        </w:trPr>
        <w:tc>
          <w:tcPr>
            <w:tcW w:w="3052" w:type="dxa"/>
            <w:tcBorders>
              <w:top w:val="nil"/>
              <w:left w:val="nil"/>
              <w:bottom w:val="nil"/>
              <w:right w:val="nil"/>
            </w:tcBorders>
            <w:shd w:val="clear" w:color="000000" w:fill="F1F1F2"/>
            <w:noWrap/>
            <w:vAlign w:val="center"/>
            <w:hideMark/>
          </w:tcPr>
          <w:p w14:paraId="21DF564B" w14:textId="77777777" w:rsidR="00572F25" w:rsidRPr="00CB6BBC" w:rsidRDefault="00572F25" w:rsidP="00140544">
            <w:pPr>
              <w:spacing w:after="0"/>
              <w:rPr>
                <w:rFonts w:cs="Arial"/>
                <w:color w:val="000000"/>
                <w:sz w:val="18"/>
                <w:szCs w:val="18"/>
              </w:rPr>
            </w:pPr>
            <w:r w:rsidRPr="00CB6BBC">
              <w:rPr>
                <w:rFonts w:cs="Arial"/>
                <w:color w:val="000000"/>
                <w:sz w:val="18"/>
                <w:szCs w:val="18"/>
              </w:rPr>
              <w:t>Piperacillin–tazobactam</w:t>
            </w:r>
          </w:p>
        </w:tc>
        <w:tc>
          <w:tcPr>
            <w:tcW w:w="1604" w:type="dxa"/>
            <w:tcBorders>
              <w:top w:val="nil"/>
              <w:left w:val="nil"/>
              <w:bottom w:val="nil"/>
              <w:right w:val="nil"/>
            </w:tcBorders>
            <w:shd w:val="clear" w:color="000000" w:fill="F1F1F2"/>
            <w:noWrap/>
            <w:vAlign w:val="center"/>
            <w:hideMark/>
          </w:tcPr>
          <w:p w14:paraId="0FFE52B1" w14:textId="77777777" w:rsidR="00572F25" w:rsidRPr="00CB6BBC" w:rsidRDefault="00572F25" w:rsidP="00140544">
            <w:pPr>
              <w:spacing w:after="0"/>
              <w:jc w:val="right"/>
              <w:rPr>
                <w:rFonts w:cs="Arial"/>
                <w:color w:val="000000"/>
                <w:sz w:val="18"/>
                <w:szCs w:val="18"/>
              </w:rPr>
            </w:pPr>
            <w:r w:rsidRPr="00CB6BBC">
              <w:rPr>
                <w:rFonts w:cs="Arial"/>
                <w:color w:val="000000"/>
                <w:sz w:val="18"/>
                <w:szCs w:val="18"/>
              </w:rPr>
              <w:t>74</w:t>
            </w:r>
          </w:p>
        </w:tc>
        <w:tc>
          <w:tcPr>
            <w:tcW w:w="1606" w:type="dxa"/>
            <w:tcBorders>
              <w:top w:val="nil"/>
              <w:left w:val="nil"/>
              <w:bottom w:val="nil"/>
              <w:right w:val="nil"/>
            </w:tcBorders>
            <w:shd w:val="clear" w:color="000000" w:fill="F1F1F2"/>
            <w:noWrap/>
            <w:vAlign w:val="center"/>
            <w:hideMark/>
          </w:tcPr>
          <w:p w14:paraId="2AB702CE" w14:textId="77777777" w:rsidR="00572F25" w:rsidRPr="00CB6BBC" w:rsidRDefault="00572F25" w:rsidP="00140544">
            <w:pPr>
              <w:spacing w:after="0"/>
              <w:rPr>
                <w:rFonts w:cs="Arial"/>
                <w:color w:val="000000"/>
                <w:sz w:val="18"/>
                <w:szCs w:val="18"/>
              </w:rPr>
            </w:pPr>
            <w:r w:rsidRPr="00CB6BBC">
              <w:rPr>
                <w:rFonts w:cs="Arial"/>
                <w:color w:val="000000"/>
                <w:sz w:val="18"/>
                <w:szCs w:val="18"/>
              </w:rPr>
              <w:t>1.6</w:t>
            </w:r>
          </w:p>
        </w:tc>
        <w:tc>
          <w:tcPr>
            <w:tcW w:w="1604" w:type="dxa"/>
            <w:tcBorders>
              <w:top w:val="nil"/>
              <w:left w:val="nil"/>
              <w:bottom w:val="nil"/>
              <w:right w:val="nil"/>
            </w:tcBorders>
            <w:shd w:val="clear" w:color="000000" w:fill="F1F1F2"/>
            <w:noWrap/>
            <w:vAlign w:val="center"/>
            <w:hideMark/>
          </w:tcPr>
          <w:p w14:paraId="49F35CA5" w14:textId="77777777" w:rsidR="00572F25" w:rsidRPr="00CB6BBC" w:rsidRDefault="00572F25" w:rsidP="00140544">
            <w:pPr>
              <w:spacing w:after="0"/>
              <w:jc w:val="right"/>
              <w:rPr>
                <w:rFonts w:cs="Arial"/>
                <w:color w:val="000000"/>
                <w:sz w:val="18"/>
                <w:szCs w:val="18"/>
              </w:rPr>
            </w:pPr>
            <w:r w:rsidRPr="00CB6BBC">
              <w:rPr>
                <w:rFonts w:cs="Arial"/>
                <w:color w:val="000000"/>
                <w:sz w:val="18"/>
                <w:szCs w:val="18"/>
              </w:rPr>
              <w:t>74</w:t>
            </w:r>
          </w:p>
        </w:tc>
        <w:tc>
          <w:tcPr>
            <w:tcW w:w="1606" w:type="dxa"/>
            <w:tcBorders>
              <w:top w:val="nil"/>
              <w:left w:val="nil"/>
              <w:bottom w:val="nil"/>
              <w:right w:val="nil"/>
            </w:tcBorders>
            <w:shd w:val="clear" w:color="000000" w:fill="F1F1F2"/>
            <w:vAlign w:val="center"/>
            <w:hideMark/>
          </w:tcPr>
          <w:p w14:paraId="18360E8B" w14:textId="77777777" w:rsidR="00572F25" w:rsidRPr="00CB6BBC" w:rsidRDefault="00572F25" w:rsidP="00140544">
            <w:pPr>
              <w:spacing w:after="0"/>
              <w:rPr>
                <w:rFonts w:cs="Arial"/>
                <w:color w:val="000000"/>
                <w:sz w:val="18"/>
                <w:szCs w:val="18"/>
              </w:rPr>
            </w:pPr>
            <w:r w:rsidRPr="00CB6BBC">
              <w:rPr>
                <w:rFonts w:cs="Arial"/>
                <w:color w:val="000000"/>
                <w:sz w:val="18"/>
                <w:szCs w:val="18"/>
              </w:rPr>
              <w:t>100.0</w:t>
            </w:r>
          </w:p>
        </w:tc>
      </w:tr>
      <w:tr w:rsidR="00572F25" w:rsidRPr="00CB6BBC" w14:paraId="3C9EA167" w14:textId="77777777" w:rsidTr="00140544">
        <w:trPr>
          <w:trHeight w:val="357"/>
        </w:trPr>
        <w:tc>
          <w:tcPr>
            <w:tcW w:w="3052" w:type="dxa"/>
            <w:tcBorders>
              <w:top w:val="nil"/>
              <w:left w:val="nil"/>
              <w:bottom w:val="nil"/>
              <w:right w:val="nil"/>
            </w:tcBorders>
            <w:shd w:val="clear" w:color="auto" w:fill="auto"/>
            <w:noWrap/>
            <w:vAlign w:val="center"/>
            <w:hideMark/>
          </w:tcPr>
          <w:p w14:paraId="5078855D" w14:textId="77777777" w:rsidR="00572F25" w:rsidRPr="00CB6BBC" w:rsidRDefault="00572F25" w:rsidP="00140544">
            <w:pPr>
              <w:spacing w:after="0"/>
              <w:rPr>
                <w:rFonts w:cs="Arial"/>
                <w:color w:val="000000"/>
                <w:sz w:val="18"/>
                <w:szCs w:val="18"/>
              </w:rPr>
            </w:pPr>
            <w:r w:rsidRPr="00CB6BBC">
              <w:rPr>
                <w:rFonts w:cs="Arial"/>
                <w:color w:val="000000"/>
                <w:sz w:val="18"/>
                <w:szCs w:val="18"/>
              </w:rPr>
              <w:t>Vancomycin</w:t>
            </w:r>
          </w:p>
        </w:tc>
        <w:tc>
          <w:tcPr>
            <w:tcW w:w="1604" w:type="dxa"/>
            <w:tcBorders>
              <w:top w:val="nil"/>
              <w:left w:val="nil"/>
              <w:bottom w:val="nil"/>
              <w:right w:val="nil"/>
            </w:tcBorders>
            <w:shd w:val="clear" w:color="auto" w:fill="auto"/>
            <w:noWrap/>
            <w:vAlign w:val="center"/>
            <w:hideMark/>
          </w:tcPr>
          <w:p w14:paraId="3AA1329A" w14:textId="77777777" w:rsidR="00572F25" w:rsidRPr="00CB6BBC" w:rsidRDefault="00572F25" w:rsidP="00140544">
            <w:pPr>
              <w:spacing w:after="0"/>
              <w:jc w:val="right"/>
              <w:rPr>
                <w:rFonts w:cs="Arial"/>
                <w:color w:val="000000"/>
                <w:sz w:val="18"/>
                <w:szCs w:val="18"/>
              </w:rPr>
            </w:pPr>
            <w:r w:rsidRPr="00CB6BBC">
              <w:rPr>
                <w:rFonts w:cs="Arial"/>
                <w:color w:val="000000"/>
                <w:sz w:val="18"/>
                <w:szCs w:val="18"/>
              </w:rPr>
              <w:t>64</w:t>
            </w:r>
          </w:p>
        </w:tc>
        <w:tc>
          <w:tcPr>
            <w:tcW w:w="1606" w:type="dxa"/>
            <w:tcBorders>
              <w:top w:val="nil"/>
              <w:left w:val="nil"/>
              <w:bottom w:val="nil"/>
              <w:right w:val="nil"/>
            </w:tcBorders>
            <w:shd w:val="clear" w:color="auto" w:fill="auto"/>
            <w:noWrap/>
            <w:vAlign w:val="center"/>
            <w:hideMark/>
          </w:tcPr>
          <w:p w14:paraId="551F1469" w14:textId="77777777" w:rsidR="00572F25" w:rsidRPr="00CB6BBC" w:rsidRDefault="00572F25" w:rsidP="00140544">
            <w:pPr>
              <w:spacing w:after="0"/>
              <w:rPr>
                <w:rFonts w:cs="Arial"/>
                <w:color w:val="000000"/>
                <w:sz w:val="18"/>
                <w:szCs w:val="18"/>
              </w:rPr>
            </w:pPr>
            <w:r w:rsidRPr="00CB6BBC">
              <w:rPr>
                <w:rFonts w:cs="Arial"/>
                <w:color w:val="000000"/>
                <w:sz w:val="18"/>
                <w:szCs w:val="18"/>
              </w:rPr>
              <w:t>1.4</w:t>
            </w:r>
          </w:p>
        </w:tc>
        <w:tc>
          <w:tcPr>
            <w:tcW w:w="1604" w:type="dxa"/>
            <w:tcBorders>
              <w:top w:val="nil"/>
              <w:left w:val="nil"/>
              <w:bottom w:val="nil"/>
              <w:right w:val="nil"/>
            </w:tcBorders>
            <w:shd w:val="clear" w:color="auto" w:fill="auto"/>
            <w:noWrap/>
            <w:vAlign w:val="center"/>
            <w:hideMark/>
          </w:tcPr>
          <w:p w14:paraId="245EF183" w14:textId="77777777" w:rsidR="00572F25" w:rsidRPr="00CB6BBC" w:rsidRDefault="00572F25" w:rsidP="00140544">
            <w:pPr>
              <w:spacing w:after="0"/>
              <w:jc w:val="right"/>
              <w:rPr>
                <w:rFonts w:cs="Arial"/>
                <w:color w:val="000000"/>
                <w:sz w:val="18"/>
                <w:szCs w:val="18"/>
              </w:rPr>
            </w:pPr>
            <w:r w:rsidRPr="00CB6BBC">
              <w:rPr>
                <w:rFonts w:cs="Arial"/>
                <w:color w:val="000000"/>
                <w:sz w:val="18"/>
                <w:szCs w:val="18"/>
              </w:rPr>
              <w:t>56</w:t>
            </w:r>
          </w:p>
        </w:tc>
        <w:tc>
          <w:tcPr>
            <w:tcW w:w="1606" w:type="dxa"/>
            <w:tcBorders>
              <w:top w:val="nil"/>
              <w:left w:val="nil"/>
              <w:bottom w:val="nil"/>
              <w:right w:val="nil"/>
            </w:tcBorders>
            <w:shd w:val="clear" w:color="auto" w:fill="auto"/>
            <w:vAlign w:val="center"/>
            <w:hideMark/>
          </w:tcPr>
          <w:p w14:paraId="6964019C" w14:textId="77777777" w:rsidR="00572F25" w:rsidRPr="00CB6BBC" w:rsidRDefault="00572F25" w:rsidP="00140544">
            <w:pPr>
              <w:spacing w:after="0"/>
              <w:rPr>
                <w:rFonts w:cs="Arial"/>
                <w:color w:val="000000"/>
                <w:sz w:val="18"/>
                <w:szCs w:val="18"/>
              </w:rPr>
            </w:pPr>
            <w:r w:rsidRPr="00CB6BBC">
              <w:rPr>
                <w:rFonts w:cs="Arial"/>
                <w:color w:val="000000"/>
                <w:sz w:val="18"/>
                <w:szCs w:val="18"/>
              </w:rPr>
              <w:t>87.5</w:t>
            </w:r>
          </w:p>
        </w:tc>
      </w:tr>
      <w:tr w:rsidR="00572F25" w:rsidRPr="00CB6BBC" w14:paraId="042C586E" w14:textId="77777777" w:rsidTr="00140544">
        <w:trPr>
          <w:trHeight w:val="357"/>
        </w:trPr>
        <w:tc>
          <w:tcPr>
            <w:tcW w:w="3052" w:type="dxa"/>
            <w:tcBorders>
              <w:top w:val="nil"/>
              <w:left w:val="nil"/>
              <w:bottom w:val="nil"/>
              <w:right w:val="nil"/>
            </w:tcBorders>
            <w:shd w:val="clear" w:color="000000" w:fill="F1F1F2"/>
            <w:noWrap/>
            <w:vAlign w:val="center"/>
            <w:hideMark/>
          </w:tcPr>
          <w:p w14:paraId="2CA2BD31" w14:textId="77777777" w:rsidR="00572F25" w:rsidRPr="00CB6BBC" w:rsidRDefault="00572F25" w:rsidP="00140544">
            <w:pPr>
              <w:spacing w:after="0"/>
              <w:rPr>
                <w:rFonts w:cs="Arial"/>
                <w:color w:val="000000"/>
                <w:sz w:val="18"/>
                <w:szCs w:val="18"/>
              </w:rPr>
            </w:pPr>
            <w:r w:rsidRPr="00CB6BBC">
              <w:rPr>
                <w:rFonts w:cs="Arial"/>
                <w:color w:val="000000"/>
                <w:sz w:val="18"/>
                <w:szCs w:val="18"/>
              </w:rPr>
              <w:t>Clindamycin</w:t>
            </w:r>
          </w:p>
        </w:tc>
        <w:tc>
          <w:tcPr>
            <w:tcW w:w="1604" w:type="dxa"/>
            <w:tcBorders>
              <w:top w:val="nil"/>
              <w:left w:val="nil"/>
              <w:bottom w:val="nil"/>
              <w:right w:val="nil"/>
            </w:tcBorders>
            <w:shd w:val="clear" w:color="000000" w:fill="F1F1F2"/>
            <w:noWrap/>
            <w:vAlign w:val="center"/>
            <w:hideMark/>
          </w:tcPr>
          <w:p w14:paraId="7A40D34B" w14:textId="77777777" w:rsidR="00572F25" w:rsidRPr="00CB6BBC" w:rsidRDefault="00572F25" w:rsidP="00140544">
            <w:pPr>
              <w:spacing w:after="0"/>
              <w:jc w:val="right"/>
              <w:rPr>
                <w:rFonts w:cs="Arial"/>
                <w:color w:val="000000"/>
                <w:sz w:val="18"/>
                <w:szCs w:val="18"/>
              </w:rPr>
            </w:pPr>
            <w:r w:rsidRPr="00CB6BBC">
              <w:rPr>
                <w:rFonts w:cs="Arial"/>
                <w:color w:val="000000"/>
                <w:sz w:val="18"/>
                <w:szCs w:val="18"/>
              </w:rPr>
              <w:t>49</w:t>
            </w:r>
          </w:p>
        </w:tc>
        <w:tc>
          <w:tcPr>
            <w:tcW w:w="1606" w:type="dxa"/>
            <w:tcBorders>
              <w:top w:val="nil"/>
              <w:left w:val="nil"/>
              <w:bottom w:val="nil"/>
              <w:right w:val="nil"/>
            </w:tcBorders>
            <w:shd w:val="clear" w:color="000000" w:fill="F1F1F2"/>
            <w:noWrap/>
            <w:vAlign w:val="center"/>
            <w:hideMark/>
          </w:tcPr>
          <w:p w14:paraId="23F6E3ED" w14:textId="77777777" w:rsidR="00572F25" w:rsidRPr="00CB6BBC" w:rsidRDefault="00572F25" w:rsidP="00140544">
            <w:pPr>
              <w:spacing w:after="0"/>
              <w:rPr>
                <w:rFonts w:cs="Arial"/>
                <w:color w:val="000000"/>
                <w:sz w:val="18"/>
                <w:szCs w:val="18"/>
              </w:rPr>
            </w:pPr>
            <w:r w:rsidRPr="00CB6BBC">
              <w:rPr>
                <w:rFonts w:cs="Arial"/>
                <w:color w:val="000000"/>
                <w:sz w:val="18"/>
                <w:szCs w:val="18"/>
              </w:rPr>
              <w:t>1.1</w:t>
            </w:r>
          </w:p>
        </w:tc>
        <w:tc>
          <w:tcPr>
            <w:tcW w:w="1604" w:type="dxa"/>
            <w:tcBorders>
              <w:top w:val="nil"/>
              <w:left w:val="nil"/>
              <w:bottom w:val="nil"/>
              <w:right w:val="nil"/>
            </w:tcBorders>
            <w:shd w:val="clear" w:color="000000" w:fill="F1F1F2"/>
            <w:noWrap/>
            <w:vAlign w:val="center"/>
            <w:hideMark/>
          </w:tcPr>
          <w:p w14:paraId="5192C25B" w14:textId="77777777" w:rsidR="00572F25" w:rsidRPr="00CB6BBC" w:rsidRDefault="00572F25" w:rsidP="00140544">
            <w:pPr>
              <w:spacing w:after="0"/>
              <w:jc w:val="right"/>
              <w:rPr>
                <w:rFonts w:cs="Arial"/>
                <w:color w:val="000000"/>
                <w:sz w:val="18"/>
                <w:szCs w:val="18"/>
              </w:rPr>
            </w:pPr>
            <w:r w:rsidRPr="00CB6BBC">
              <w:rPr>
                <w:rFonts w:cs="Arial"/>
                <w:color w:val="000000"/>
                <w:sz w:val="18"/>
                <w:szCs w:val="18"/>
              </w:rPr>
              <w:t>37</w:t>
            </w:r>
          </w:p>
        </w:tc>
        <w:tc>
          <w:tcPr>
            <w:tcW w:w="1606" w:type="dxa"/>
            <w:tcBorders>
              <w:top w:val="nil"/>
              <w:left w:val="nil"/>
              <w:bottom w:val="nil"/>
              <w:right w:val="nil"/>
            </w:tcBorders>
            <w:shd w:val="clear" w:color="000000" w:fill="F1F1F2"/>
            <w:vAlign w:val="center"/>
            <w:hideMark/>
          </w:tcPr>
          <w:p w14:paraId="0636ECF0" w14:textId="77777777" w:rsidR="00572F25" w:rsidRPr="00CB6BBC" w:rsidRDefault="00572F25" w:rsidP="00140544">
            <w:pPr>
              <w:spacing w:after="0"/>
              <w:rPr>
                <w:rFonts w:cs="Arial"/>
                <w:color w:val="000000"/>
                <w:sz w:val="18"/>
                <w:szCs w:val="18"/>
              </w:rPr>
            </w:pPr>
            <w:r w:rsidRPr="00CB6BBC">
              <w:rPr>
                <w:rFonts w:cs="Arial"/>
                <w:color w:val="000000"/>
                <w:sz w:val="18"/>
                <w:szCs w:val="18"/>
              </w:rPr>
              <w:t>75.5</w:t>
            </w:r>
          </w:p>
        </w:tc>
      </w:tr>
      <w:tr w:rsidR="00572F25" w:rsidRPr="00CB6BBC" w14:paraId="790B6547" w14:textId="77777777" w:rsidTr="00140544">
        <w:trPr>
          <w:trHeight w:val="357"/>
        </w:trPr>
        <w:tc>
          <w:tcPr>
            <w:tcW w:w="3052" w:type="dxa"/>
            <w:tcBorders>
              <w:top w:val="nil"/>
              <w:left w:val="nil"/>
              <w:bottom w:val="nil"/>
              <w:right w:val="nil"/>
            </w:tcBorders>
            <w:shd w:val="clear" w:color="auto" w:fill="auto"/>
            <w:noWrap/>
            <w:vAlign w:val="center"/>
            <w:hideMark/>
          </w:tcPr>
          <w:p w14:paraId="34493201" w14:textId="77777777" w:rsidR="00572F25" w:rsidRPr="00CB6BBC" w:rsidRDefault="00572F25" w:rsidP="00140544">
            <w:pPr>
              <w:spacing w:after="0"/>
              <w:rPr>
                <w:rFonts w:cs="Arial"/>
                <w:color w:val="000000"/>
                <w:sz w:val="18"/>
                <w:szCs w:val="18"/>
              </w:rPr>
            </w:pPr>
            <w:r w:rsidRPr="00CB6BBC">
              <w:rPr>
                <w:rFonts w:cs="Arial"/>
                <w:color w:val="000000"/>
                <w:sz w:val="18"/>
                <w:szCs w:val="18"/>
              </w:rPr>
              <w:t>Amoxicillin</w:t>
            </w:r>
          </w:p>
        </w:tc>
        <w:tc>
          <w:tcPr>
            <w:tcW w:w="1604" w:type="dxa"/>
            <w:tcBorders>
              <w:top w:val="nil"/>
              <w:left w:val="nil"/>
              <w:bottom w:val="nil"/>
              <w:right w:val="nil"/>
            </w:tcBorders>
            <w:shd w:val="clear" w:color="auto" w:fill="auto"/>
            <w:noWrap/>
            <w:vAlign w:val="center"/>
            <w:hideMark/>
          </w:tcPr>
          <w:p w14:paraId="7710131F" w14:textId="77777777" w:rsidR="00572F25" w:rsidRPr="00CB6BBC" w:rsidRDefault="00572F25" w:rsidP="00140544">
            <w:pPr>
              <w:spacing w:after="0"/>
              <w:jc w:val="right"/>
              <w:rPr>
                <w:rFonts w:cs="Arial"/>
                <w:color w:val="000000"/>
                <w:sz w:val="18"/>
                <w:szCs w:val="18"/>
              </w:rPr>
            </w:pPr>
            <w:r w:rsidRPr="00CB6BBC">
              <w:rPr>
                <w:rFonts w:cs="Arial"/>
                <w:color w:val="000000"/>
                <w:sz w:val="18"/>
                <w:szCs w:val="18"/>
              </w:rPr>
              <w:t>49</w:t>
            </w:r>
          </w:p>
        </w:tc>
        <w:tc>
          <w:tcPr>
            <w:tcW w:w="1606" w:type="dxa"/>
            <w:tcBorders>
              <w:top w:val="nil"/>
              <w:left w:val="nil"/>
              <w:bottom w:val="nil"/>
              <w:right w:val="nil"/>
            </w:tcBorders>
            <w:shd w:val="clear" w:color="auto" w:fill="auto"/>
            <w:noWrap/>
            <w:vAlign w:val="center"/>
            <w:hideMark/>
          </w:tcPr>
          <w:p w14:paraId="3EBA8665" w14:textId="77777777" w:rsidR="00572F25" w:rsidRPr="00CB6BBC" w:rsidRDefault="00572F25" w:rsidP="00140544">
            <w:pPr>
              <w:spacing w:after="0"/>
              <w:rPr>
                <w:rFonts w:cs="Arial"/>
                <w:color w:val="000000"/>
                <w:sz w:val="18"/>
                <w:szCs w:val="18"/>
              </w:rPr>
            </w:pPr>
            <w:r w:rsidRPr="00CB6BBC">
              <w:rPr>
                <w:rFonts w:cs="Arial"/>
                <w:color w:val="000000"/>
                <w:sz w:val="18"/>
                <w:szCs w:val="18"/>
              </w:rPr>
              <w:t>1.1</w:t>
            </w:r>
          </w:p>
        </w:tc>
        <w:tc>
          <w:tcPr>
            <w:tcW w:w="1604" w:type="dxa"/>
            <w:tcBorders>
              <w:top w:val="nil"/>
              <w:left w:val="nil"/>
              <w:bottom w:val="nil"/>
              <w:right w:val="nil"/>
            </w:tcBorders>
            <w:shd w:val="clear" w:color="auto" w:fill="auto"/>
            <w:noWrap/>
            <w:vAlign w:val="center"/>
            <w:hideMark/>
          </w:tcPr>
          <w:p w14:paraId="14C2AD88" w14:textId="77777777" w:rsidR="00572F25" w:rsidRPr="00CB6BBC" w:rsidRDefault="00572F25" w:rsidP="00140544">
            <w:pPr>
              <w:spacing w:after="0"/>
              <w:jc w:val="right"/>
              <w:rPr>
                <w:rFonts w:cs="Arial"/>
                <w:color w:val="000000"/>
                <w:sz w:val="18"/>
                <w:szCs w:val="18"/>
              </w:rPr>
            </w:pPr>
            <w:r w:rsidRPr="00CB6BBC">
              <w:rPr>
                <w:rFonts w:cs="Arial"/>
                <w:color w:val="000000"/>
                <w:sz w:val="18"/>
                <w:szCs w:val="18"/>
              </w:rPr>
              <w:t>46</w:t>
            </w:r>
          </w:p>
        </w:tc>
        <w:tc>
          <w:tcPr>
            <w:tcW w:w="1606" w:type="dxa"/>
            <w:tcBorders>
              <w:top w:val="nil"/>
              <w:left w:val="nil"/>
              <w:bottom w:val="nil"/>
              <w:right w:val="nil"/>
            </w:tcBorders>
            <w:shd w:val="clear" w:color="auto" w:fill="auto"/>
            <w:vAlign w:val="center"/>
            <w:hideMark/>
          </w:tcPr>
          <w:p w14:paraId="0B87EFE9" w14:textId="77777777" w:rsidR="00572F25" w:rsidRPr="00CB6BBC" w:rsidRDefault="00572F25" w:rsidP="00140544">
            <w:pPr>
              <w:spacing w:after="0"/>
              <w:rPr>
                <w:rFonts w:cs="Arial"/>
                <w:color w:val="000000"/>
                <w:sz w:val="18"/>
                <w:szCs w:val="18"/>
              </w:rPr>
            </w:pPr>
            <w:r w:rsidRPr="00CB6BBC">
              <w:rPr>
                <w:rFonts w:cs="Arial"/>
                <w:color w:val="000000"/>
                <w:sz w:val="18"/>
                <w:szCs w:val="18"/>
              </w:rPr>
              <w:t>93.9</w:t>
            </w:r>
          </w:p>
        </w:tc>
      </w:tr>
      <w:tr w:rsidR="00572F25" w:rsidRPr="00CB6BBC" w14:paraId="4C26ABDE" w14:textId="77777777" w:rsidTr="00140544">
        <w:trPr>
          <w:trHeight w:val="357"/>
        </w:trPr>
        <w:tc>
          <w:tcPr>
            <w:tcW w:w="3052" w:type="dxa"/>
            <w:tcBorders>
              <w:top w:val="nil"/>
              <w:left w:val="nil"/>
              <w:bottom w:val="nil"/>
              <w:right w:val="nil"/>
            </w:tcBorders>
            <w:shd w:val="clear" w:color="000000" w:fill="F1F1F2"/>
            <w:noWrap/>
            <w:vAlign w:val="center"/>
            <w:hideMark/>
          </w:tcPr>
          <w:p w14:paraId="4539585E" w14:textId="77777777" w:rsidR="00572F25" w:rsidRPr="00CB6BBC" w:rsidRDefault="00572F25" w:rsidP="00140544">
            <w:pPr>
              <w:spacing w:after="0"/>
              <w:rPr>
                <w:rFonts w:cs="Arial"/>
                <w:color w:val="000000"/>
                <w:sz w:val="18"/>
                <w:szCs w:val="18"/>
              </w:rPr>
            </w:pPr>
            <w:r w:rsidRPr="00CB6BBC">
              <w:rPr>
                <w:rFonts w:cs="Arial"/>
                <w:color w:val="000000"/>
                <w:sz w:val="18"/>
                <w:szCs w:val="18"/>
              </w:rPr>
              <w:t>Ceftriaxone</w:t>
            </w:r>
          </w:p>
        </w:tc>
        <w:tc>
          <w:tcPr>
            <w:tcW w:w="1604" w:type="dxa"/>
            <w:tcBorders>
              <w:top w:val="nil"/>
              <w:left w:val="nil"/>
              <w:bottom w:val="nil"/>
              <w:right w:val="nil"/>
            </w:tcBorders>
            <w:shd w:val="clear" w:color="000000" w:fill="F1F1F2"/>
            <w:noWrap/>
            <w:vAlign w:val="center"/>
            <w:hideMark/>
          </w:tcPr>
          <w:p w14:paraId="43FFE67D" w14:textId="77777777" w:rsidR="00572F25" w:rsidRPr="00CB6BBC" w:rsidRDefault="00572F25" w:rsidP="00140544">
            <w:pPr>
              <w:spacing w:after="0"/>
              <w:jc w:val="right"/>
              <w:rPr>
                <w:rFonts w:cs="Arial"/>
                <w:color w:val="000000"/>
                <w:sz w:val="18"/>
                <w:szCs w:val="18"/>
              </w:rPr>
            </w:pPr>
            <w:r w:rsidRPr="00CB6BBC">
              <w:rPr>
                <w:rFonts w:cs="Arial"/>
                <w:color w:val="000000"/>
                <w:sz w:val="18"/>
                <w:szCs w:val="18"/>
              </w:rPr>
              <w:t>48</w:t>
            </w:r>
          </w:p>
        </w:tc>
        <w:tc>
          <w:tcPr>
            <w:tcW w:w="1606" w:type="dxa"/>
            <w:tcBorders>
              <w:top w:val="nil"/>
              <w:left w:val="nil"/>
              <w:bottom w:val="nil"/>
              <w:right w:val="nil"/>
            </w:tcBorders>
            <w:shd w:val="clear" w:color="000000" w:fill="F1F1F2"/>
            <w:noWrap/>
            <w:vAlign w:val="center"/>
            <w:hideMark/>
          </w:tcPr>
          <w:p w14:paraId="4B3A292B" w14:textId="77777777" w:rsidR="00572F25" w:rsidRPr="00CB6BBC" w:rsidRDefault="00572F25" w:rsidP="00140544">
            <w:pPr>
              <w:spacing w:after="0"/>
              <w:rPr>
                <w:rFonts w:cs="Arial"/>
                <w:color w:val="000000"/>
                <w:sz w:val="18"/>
                <w:szCs w:val="18"/>
              </w:rPr>
            </w:pPr>
            <w:r w:rsidRPr="00CB6BBC">
              <w:rPr>
                <w:rFonts w:cs="Arial"/>
                <w:color w:val="000000"/>
                <w:sz w:val="18"/>
                <w:szCs w:val="18"/>
              </w:rPr>
              <w:t>1.0</w:t>
            </w:r>
          </w:p>
        </w:tc>
        <w:tc>
          <w:tcPr>
            <w:tcW w:w="1604" w:type="dxa"/>
            <w:tcBorders>
              <w:top w:val="nil"/>
              <w:left w:val="nil"/>
              <w:bottom w:val="nil"/>
              <w:right w:val="nil"/>
            </w:tcBorders>
            <w:shd w:val="clear" w:color="000000" w:fill="F1F1F2"/>
            <w:noWrap/>
            <w:vAlign w:val="center"/>
            <w:hideMark/>
          </w:tcPr>
          <w:p w14:paraId="114A35B5" w14:textId="77777777" w:rsidR="00572F25" w:rsidRPr="00CB6BBC" w:rsidRDefault="00572F25" w:rsidP="00140544">
            <w:pPr>
              <w:spacing w:after="0"/>
              <w:jc w:val="right"/>
              <w:rPr>
                <w:rFonts w:cs="Arial"/>
                <w:color w:val="000000"/>
                <w:sz w:val="18"/>
                <w:szCs w:val="18"/>
              </w:rPr>
            </w:pPr>
            <w:r w:rsidRPr="00CB6BBC">
              <w:rPr>
                <w:rFonts w:cs="Arial"/>
                <w:color w:val="000000"/>
                <w:sz w:val="18"/>
                <w:szCs w:val="18"/>
              </w:rPr>
              <w:t>44</w:t>
            </w:r>
          </w:p>
        </w:tc>
        <w:tc>
          <w:tcPr>
            <w:tcW w:w="1606" w:type="dxa"/>
            <w:tcBorders>
              <w:top w:val="nil"/>
              <w:left w:val="nil"/>
              <w:bottom w:val="nil"/>
              <w:right w:val="nil"/>
            </w:tcBorders>
            <w:shd w:val="clear" w:color="000000" w:fill="F1F1F2"/>
            <w:vAlign w:val="center"/>
            <w:hideMark/>
          </w:tcPr>
          <w:p w14:paraId="66FB277C" w14:textId="77777777" w:rsidR="00572F25" w:rsidRPr="00CB6BBC" w:rsidRDefault="00572F25" w:rsidP="00140544">
            <w:pPr>
              <w:spacing w:after="0"/>
              <w:rPr>
                <w:rFonts w:cs="Arial"/>
                <w:color w:val="000000"/>
                <w:sz w:val="18"/>
                <w:szCs w:val="18"/>
              </w:rPr>
            </w:pPr>
            <w:r w:rsidRPr="00CB6BBC">
              <w:rPr>
                <w:rFonts w:cs="Arial"/>
                <w:color w:val="000000"/>
                <w:sz w:val="18"/>
                <w:szCs w:val="18"/>
              </w:rPr>
              <w:t>91.7</w:t>
            </w:r>
          </w:p>
        </w:tc>
      </w:tr>
      <w:tr w:rsidR="00572F25" w:rsidRPr="00CB6BBC" w14:paraId="7174A0EA" w14:textId="77777777" w:rsidTr="00140544">
        <w:trPr>
          <w:trHeight w:val="357"/>
        </w:trPr>
        <w:tc>
          <w:tcPr>
            <w:tcW w:w="3052" w:type="dxa"/>
            <w:tcBorders>
              <w:top w:val="nil"/>
              <w:left w:val="nil"/>
              <w:bottom w:val="nil"/>
              <w:right w:val="nil"/>
            </w:tcBorders>
            <w:shd w:val="clear" w:color="auto" w:fill="auto"/>
            <w:noWrap/>
            <w:vAlign w:val="center"/>
            <w:hideMark/>
          </w:tcPr>
          <w:p w14:paraId="029C4C1A" w14:textId="77777777" w:rsidR="00572F25" w:rsidRPr="00CB6BBC" w:rsidRDefault="00572F25" w:rsidP="00140544">
            <w:pPr>
              <w:spacing w:after="0"/>
              <w:rPr>
                <w:rFonts w:cs="Arial"/>
                <w:color w:val="000000"/>
                <w:sz w:val="18"/>
                <w:szCs w:val="18"/>
              </w:rPr>
            </w:pPr>
            <w:r w:rsidRPr="00CB6BBC">
              <w:rPr>
                <w:rFonts w:cs="Arial"/>
                <w:color w:val="000000"/>
                <w:sz w:val="18"/>
                <w:szCs w:val="18"/>
              </w:rPr>
              <w:t>Tobramycin</w:t>
            </w:r>
          </w:p>
        </w:tc>
        <w:tc>
          <w:tcPr>
            <w:tcW w:w="1604" w:type="dxa"/>
            <w:tcBorders>
              <w:top w:val="nil"/>
              <w:left w:val="nil"/>
              <w:bottom w:val="nil"/>
              <w:right w:val="nil"/>
            </w:tcBorders>
            <w:shd w:val="clear" w:color="auto" w:fill="auto"/>
            <w:noWrap/>
            <w:vAlign w:val="center"/>
            <w:hideMark/>
          </w:tcPr>
          <w:p w14:paraId="41203CDD" w14:textId="77777777" w:rsidR="00572F25" w:rsidRPr="00CB6BBC" w:rsidRDefault="00572F25" w:rsidP="00140544">
            <w:pPr>
              <w:spacing w:after="0"/>
              <w:jc w:val="right"/>
              <w:rPr>
                <w:rFonts w:cs="Arial"/>
                <w:color w:val="000000"/>
                <w:sz w:val="18"/>
                <w:szCs w:val="18"/>
              </w:rPr>
            </w:pPr>
            <w:r w:rsidRPr="00CB6BBC">
              <w:rPr>
                <w:rFonts w:cs="Arial"/>
                <w:color w:val="000000"/>
                <w:sz w:val="18"/>
                <w:szCs w:val="18"/>
              </w:rPr>
              <w:t>44</w:t>
            </w:r>
          </w:p>
        </w:tc>
        <w:tc>
          <w:tcPr>
            <w:tcW w:w="1606" w:type="dxa"/>
            <w:tcBorders>
              <w:top w:val="nil"/>
              <w:left w:val="nil"/>
              <w:bottom w:val="nil"/>
              <w:right w:val="nil"/>
            </w:tcBorders>
            <w:shd w:val="clear" w:color="auto" w:fill="auto"/>
            <w:noWrap/>
            <w:vAlign w:val="center"/>
            <w:hideMark/>
          </w:tcPr>
          <w:p w14:paraId="0CCBC5B4" w14:textId="77777777" w:rsidR="00572F25" w:rsidRPr="00CB6BBC" w:rsidRDefault="00572F25" w:rsidP="00140544">
            <w:pPr>
              <w:spacing w:after="0"/>
              <w:rPr>
                <w:rFonts w:cs="Arial"/>
                <w:color w:val="000000"/>
                <w:sz w:val="18"/>
                <w:szCs w:val="18"/>
              </w:rPr>
            </w:pPr>
            <w:r w:rsidRPr="00CB6BBC">
              <w:rPr>
                <w:rFonts w:cs="Arial"/>
                <w:color w:val="000000"/>
                <w:sz w:val="18"/>
                <w:szCs w:val="18"/>
              </w:rPr>
              <w:t>1.0</w:t>
            </w:r>
          </w:p>
        </w:tc>
        <w:tc>
          <w:tcPr>
            <w:tcW w:w="1604" w:type="dxa"/>
            <w:tcBorders>
              <w:top w:val="nil"/>
              <w:left w:val="nil"/>
              <w:bottom w:val="nil"/>
              <w:right w:val="nil"/>
            </w:tcBorders>
            <w:shd w:val="clear" w:color="auto" w:fill="auto"/>
            <w:noWrap/>
            <w:vAlign w:val="center"/>
            <w:hideMark/>
          </w:tcPr>
          <w:p w14:paraId="006C4597" w14:textId="77777777" w:rsidR="00572F25" w:rsidRPr="00CB6BBC" w:rsidRDefault="00572F25" w:rsidP="00140544">
            <w:pPr>
              <w:spacing w:after="0"/>
              <w:jc w:val="right"/>
              <w:rPr>
                <w:rFonts w:cs="Arial"/>
                <w:color w:val="000000"/>
                <w:sz w:val="18"/>
                <w:szCs w:val="18"/>
              </w:rPr>
            </w:pPr>
            <w:r w:rsidRPr="00CB6BBC">
              <w:rPr>
                <w:rFonts w:cs="Arial"/>
                <w:color w:val="000000"/>
                <w:sz w:val="18"/>
                <w:szCs w:val="18"/>
              </w:rPr>
              <w:t>28</w:t>
            </w:r>
          </w:p>
        </w:tc>
        <w:tc>
          <w:tcPr>
            <w:tcW w:w="1606" w:type="dxa"/>
            <w:tcBorders>
              <w:top w:val="nil"/>
              <w:left w:val="nil"/>
              <w:bottom w:val="nil"/>
              <w:right w:val="nil"/>
            </w:tcBorders>
            <w:shd w:val="clear" w:color="auto" w:fill="auto"/>
            <w:vAlign w:val="center"/>
            <w:hideMark/>
          </w:tcPr>
          <w:p w14:paraId="54B65200" w14:textId="77777777" w:rsidR="00572F25" w:rsidRPr="00CB6BBC" w:rsidRDefault="00572F25" w:rsidP="00140544">
            <w:pPr>
              <w:spacing w:after="0"/>
              <w:rPr>
                <w:rFonts w:cs="Arial"/>
                <w:color w:val="000000"/>
                <w:sz w:val="18"/>
                <w:szCs w:val="18"/>
              </w:rPr>
            </w:pPr>
            <w:r w:rsidRPr="00CB6BBC">
              <w:rPr>
                <w:rFonts w:cs="Arial"/>
                <w:color w:val="000000"/>
                <w:sz w:val="18"/>
                <w:szCs w:val="18"/>
              </w:rPr>
              <w:t>63.6</w:t>
            </w:r>
          </w:p>
        </w:tc>
      </w:tr>
      <w:tr w:rsidR="00572F25" w:rsidRPr="00CB6BBC" w14:paraId="7CFD6EE6" w14:textId="77777777" w:rsidTr="00140544">
        <w:trPr>
          <w:trHeight w:val="357"/>
        </w:trPr>
        <w:tc>
          <w:tcPr>
            <w:tcW w:w="3052" w:type="dxa"/>
            <w:tcBorders>
              <w:top w:val="nil"/>
              <w:left w:val="nil"/>
              <w:bottom w:val="nil"/>
              <w:right w:val="nil"/>
            </w:tcBorders>
            <w:shd w:val="clear" w:color="000000" w:fill="F1F1F2"/>
            <w:noWrap/>
            <w:vAlign w:val="center"/>
            <w:hideMark/>
          </w:tcPr>
          <w:p w14:paraId="224E314A" w14:textId="77777777" w:rsidR="00572F25" w:rsidRPr="00CB6BBC" w:rsidRDefault="00572F25" w:rsidP="00140544">
            <w:pPr>
              <w:spacing w:after="0"/>
              <w:rPr>
                <w:rFonts w:cs="Arial"/>
                <w:color w:val="000000"/>
                <w:sz w:val="18"/>
                <w:szCs w:val="18"/>
              </w:rPr>
            </w:pPr>
            <w:r w:rsidRPr="00CB6BBC">
              <w:rPr>
                <w:rFonts w:cs="Arial"/>
                <w:color w:val="000000"/>
                <w:sz w:val="18"/>
                <w:szCs w:val="18"/>
              </w:rPr>
              <w:t>Ofloxacin</w:t>
            </w:r>
          </w:p>
        </w:tc>
        <w:tc>
          <w:tcPr>
            <w:tcW w:w="1604" w:type="dxa"/>
            <w:tcBorders>
              <w:top w:val="nil"/>
              <w:left w:val="nil"/>
              <w:bottom w:val="nil"/>
              <w:right w:val="nil"/>
            </w:tcBorders>
            <w:shd w:val="clear" w:color="000000" w:fill="F1F1F2"/>
            <w:noWrap/>
            <w:vAlign w:val="center"/>
            <w:hideMark/>
          </w:tcPr>
          <w:p w14:paraId="2CC59629" w14:textId="77777777" w:rsidR="00572F25" w:rsidRPr="00CB6BBC" w:rsidRDefault="00572F25" w:rsidP="00140544">
            <w:pPr>
              <w:spacing w:after="0"/>
              <w:jc w:val="right"/>
              <w:rPr>
                <w:rFonts w:cs="Arial"/>
                <w:color w:val="000000"/>
                <w:sz w:val="18"/>
                <w:szCs w:val="18"/>
              </w:rPr>
            </w:pPr>
            <w:r w:rsidRPr="00CB6BBC">
              <w:rPr>
                <w:rFonts w:cs="Arial"/>
                <w:color w:val="000000"/>
                <w:sz w:val="18"/>
                <w:szCs w:val="18"/>
              </w:rPr>
              <w:t>23</w:t>
            </w:r>
          </w:p>
        </w:tc>
        <w:tc>
          <w:tcPr>
            <w:tcW w:w="1606" w:type="dxa"/>
            <w:tcBorders>
              <w:top w:val="nil"/>
              <w:left w:val="nil"/>
              <w:bottom w:val="nil"/>
              <w:right w:val="nil"/>
            </w:tcBorders>
            <w:shd w:val="clear" w:color="000000" w:fill="F1F1F2"/>
            <w:noWrap/>
            <w:vAlign w:val="center"/>
            <w:hideMark/>
          </w:tcPr>
          <w:p w14:paraId="331E782A" w14:textId="77777777" w:rsidR="00572F25" w:rsidRPr="00CB6BBC" w:rsidRDefault="00572F25" w:rsidP="00140544">
            <w:pPr>
              <w:spacing w:after="0"/>
              <w:rPr>
                <w:rFonts w:cs="Arial"/>
                <w:color w:val="000000"/>
                <w:sz w:val="18"/>
                <w:szCs w:val="18"/>
              </w:rPr>
            </w:pPr>
            <w:r w:rsidRPr="00CB6BBC">
              <w:rPr>
                <w:rFonts w:cs="Arial"/>
                <w:color w:val="000000"/>
                <w:sz w:val="18"/>
                <w:szCs w:val="18"/>
              </w:rPr>
              <w:t>0.5</w:t>
            </w:r>
          </w:p>
        </w:tc>
        <w:tc>
          <w:tcPr>
            <w:tcW w:w="1604" w:type="dxa"/>
            <w:tcBorders>
              <w:top w:val="nil"/>
              <w:left w:val="nil"/>
              <w:bottom w:val="nil"/>
              <w:right w:val="nil"/>
            </w:tcBorders>
            <w:shd w:val="clear" w:color="000000" w:fill="F1F1F2"/>
            <w:noWrap/>
            <w:vAlign w:val="center"/>
            <w:hideMark/>
          </w:tcPr>
          <w:p w14:paraId="32F4B1DC" w14:textId="77777777" w:rsidR="00572F25" w:rsidRPr="00CB6BBC" w:rsidRDefault="00572F25" w:rsidP="00140544">
            <w:pPr>
              <w:spacing w:after="0"/>
              <w:jc w:val="right"/>
              <w:rPr>
                <w:rFonts w:cs="Arial"/>
                <w:color w:val="000000"/>
                <w:sz w:val="18"/>
                <w:szCs w:val="18"/>
              </w:rPr>
            </w:pPr>
            <w:r w:rsidRPr="00CB6BBC">
              <w:rPr>
                <w:rFonts w:cs="Arial"/>
                <w:color w:val="000000"/>
                <w:sz w:val="18"/>
                <w:szCs w:val="18"/>
              </w:rPr>
              <w:t> </w:t>
            </w:r>
          </w:p>
        </w:tc>
        <w:tc>
          <w:tcPr>
            <w:tcW w:w="1606" w:type="dxa"/>
            <w:tcBorders>
              <w:top w:val="nil"/>
              <w:left w:val="nil"/>
              <w:bottom w:val="nil"/>
              <w:right w:val="nil"/>
            </w:tcBorders>
            <w:shd w:val="clear" w:color="000000" w:fill="F1F1F2"/>
            <w:vAlign w:val="center"/>
            <w:hideMark/>
          </w:tcPr>
          <w:p w14:paraId="70580D26" w14:textId="77777777" w:rsidR="00572F25" w:rsidRPr="00CB6BBC" w:rsidRDefault="00572F25" w:rsidP="00140544">
            <w:pPr>
              <w:spacing w:after="0"/>
              <w:rPr>
                <w:rFonts w:cs="Arial"/>
                <w:color w:val="000000"/>
                <w:sz w:val="18"/>
                <w:szCs w:val="18"/>
              </w:rPr>
            </w:pPr>
            <w:r w:rsidRPr="00CB6BBC">
              <w:rPr>
                <w:rFonts w:cs="Arial"/>
                <w:color w:val="000000"/>
                <w:sz w:val="18"/>
                <w:szCs w:val="18"/>
              </w:rPr>
              <w:t>0.0</w:t>
            </w:r>
          </w:p>
        </w:tc>
      </w:tr>
      <w:tr w:rsidR="00572F25" w:rsidRPr="00CB6BBC" w14:paraId="46CC3DBF" w14:textId="77777777" w:rsidTr="00140544">
        <w:trPr>
          <w:trHeight w:val="357"/>
        </w:trPr>
        <w:tc>
          <w:tcPr>
            <w:tcW w:w="3052" w:type="dxa"/>
            <w:tcBorders>
              <w:top w:val="nil"/>
              <w:left w:val="nil"/>
              <w:bottom w:val="nil"/>
              <w:right w:val="nil"/>
            </w:tcBorders>
            <w:shd w:val="clear" w:color="auto" w:fill="auto"/>
            <w:noWrap/>
            <w:vAlign w:val="center"/>
            <w:hideMark/>
          </w:tcPr>
          <w:p w14:paraId="219476C0" w14:textId="77777777" w:rsidR="00572F25" w:rsidRPr="00CB6BBC" w:rsidRDefault="00572F25" w:rsidP="00140544">
            <w:pPr>
              <w:spacing w:after="0"/>
              <w:rPr>
                <w:rFonts w:cs="Arial"/>
                <w:color w:val="000000"/>
                <w:sz w:val="18"/>
                <w:szCs w:val="18"/>
              </w:rPr>
            </w:pPr>
            <w:r w:rsidRPr="00CB6BBC">
              <w:rPr>
                <w:rFonts w:cs="Arial"/>
                <w:color w:val="000000"/>
                <w:sz w:val="18"/>
                <w:szCs w:val="18"/>
              </w:rPr>
              <w:t>Gentamicin</w:t>
            </w:r>
          </w:p>
        </w:tc>
        <w:tc>
          <w:tcPr>
            <w:tcW w:w="1604" w:type="dxa"/>
            <w:tcBorders>
              <w:top w:val="nil"/>
              <w:left w:val="nil"/>
              <w:bottom w:val="nil"/>
              <w:right w:val="nil"/>
            </w:tcBorders>
            <w:shd w:val="clear" w:color="auto" w:fill="auto"/>
            <w:noWrap/>
            <w:vAlign w:val="center"/>
            <w:hideMark/>
          </w:tcPr>
          <w:p w14:paraId="579C6DB4" w14:textId="77777777" w:rsidR="00572F25" w:rsidRPr="00CB6BBC" w:rsidRDefault="00572F25" w:rsidP="00140544">
            <w:pPr>
              <w:spacing w:after="0"/>
              <w:jc w:val="right"/>
              <w:rPr>
                <w:rFonts w:cs="Arial"/>
                <w:color w:val="000000"/>
                <w:sz w:val="18"/>
                <w:szCs w:val="18"/>
              </w:rPr>
            </w:pPr>
            <w:r w:rsidRPr="00CB6BBC">
              <w:rPr>
                <w:rFonts w:cs="Arial"/>
                <w:color w:val="000000"/>
                <w:sz w:val="18"/>
                <w:szCs w:val="18"/>
              </w:rPr>
              <w:t>21</w:t>
            </w:r>
          </w:p>
        </w:tc>
        <w:tc>
          <w:tcPr>
            <w:tcW w:w="1606" w:type="dxa"/>
            <w:tcBorders>
              <w:top w:val="nil"/>
              <w:left w:val="nil"/>
              <w:bottom w:val="nil"/>
              <w:right w:val="nil"/>
            </w:tcBorders>
            <w:shd w:val="clear" w:color="auto" w:fill="auto"/>
            <w:noWrap/>
            <w:vAlign w:val="center"/>
            <w:hideMark/>
          </w:tcPr>
          <w:p w14:paraId="272976F2" w14:textId="77777777" w:rsidR="00572F25" w:rsidRPr="00CB6BBC" w:rsidRDefault="00572F25" w:rsidP="00140544">
            <w:pPr>
              <w:spacing w:after="0"/>
              <w:rPr>
                <w:rFonts w:cs="Arial"/>
                <w:color w:val="000000"/>
                <w:sz w:val="18"/>
                <w:szCs w:val="18"/>
              </w:rPr>
            </w:pPr>
            <w:r w:rsidRPr="00CB6BBC">
              <w:rPr>
                <w:rFonts w:cs="Arial"/>
                <w:color w:val="000000"/>
                <w:sz w:val="18"/>
                <w:szCs w:val="18"/>
              </w:rPr>
              <w:t>0.5</w:t>
            </w:r>
          </w:p>
        </w:tc>
        <w:tc>
          <w:tcPr>
            <w:tcW w:w="1604" w:type="dxa"/>
            <w:tcBorders>
              <w:top w:val="nil"/>
              <w:left w:val="nil"/>
              <w:bottom w:val="nil"/>
              <w:right w:val="nil"/>
            </w:tcBorders>
            <w:shd w:val="clear" w:color="auto" w:fill="auto"/>
            <w:noWrap/>
            <w:vAlign w:val="center"/>
            <w:hideMark/>
          </w:tcPr>
          <w:p w14:paraId="7CC4F29C" w14:textId="77777777" w:rsidR="00572F25" w:rsidRPr="00CB6BBC" w:rsidRDefault="00572F25" w:rsidP="00140544">
            <w:pPr>
              <w:spacing w:after="0"/>
              <w:jc w:val="right"/>
              <w:rPr>
                <w:rFonts w:cs="Arial"/>
                <w:color w:val="000000"/>
                <w:sz w:val="18"/>
                <w:szCs w:val="18"/>
              </w:rPr>
            </w:pPr>
            <w:r w:rsidRPr="00CB6BBC">
              <w:rPr>
                <w:rFonts w:cs="Arial"/>
                <w:color w:val="000000"/>
                <w:sz w:val="18"/>
                <w:szCs w:val="18"/>
              </w:rPr>
              <w:t>17</w:t>
            </w:r>
          </w:p>
        </w:tc>
        <w:tc>
          <w:tcPr>
            <w:tcW w:w="1606" w:type="dxa"/>
            <w:tcBorders>
              <w:top w:val="nil"/>
              <w:left w:val="nil"/>
              <w:bottom w:val="nil"/>
              <w:right w:val="nil"/>
            </w:tcBorders>
            <w:shd w:val="clear" w:color="auto" w:fill="auto"/>
            <w:vAlign w:val="center"/>
            <w:hideMark/>
          </w:tcPr>
          <w:p w14:paraId="2A9C3C91" w14:textId="77777777" w:rsidR="00572F25" w:rsidRPr="00CB6BBC" w:rsidRDefault="00572F25" w:rsidP="00140544">
            <w:pPr>
              <w:spacing w:after="0"/>
              <w:rPr>
                <w:rFonts w:cs="Arial"/>
                <w:color w:val="000000"/>
                <w:sz w:val="18"/>
                <w:szCs w:val="18"/>
              </w:rPr>
            </w:pPr>
            <w:r w:rsidRPr="00CB6BBC">
              <w:rPr>
                <w:rFonts w:cs="Arial"/>
                <w:color w:val="000000"/>
                <w:sz w:val="18"/>
                <w:szCs w:val="18"/>
              </w:rPr>
              <w:t>81.0</w:t>
            </w:r>
          </w:p>
        </w:tc>
      </w:tr>
      <w:tr w:rsidR="00572F25" w:rsidRPr="00CB6BBC" w14:paraId="632B6D77" w14:textId="77777777" w:rsidTr="00140544">
        <w:trPr>
          <w:trHeight w:val="357"/>
        </w:trPr>
        <w:tc>
          <w:tcPr>
            <w:tcW w:w="3052" w:type="dxa"/>
            <w:tcBorders>
              <w:top w:val="nil"/>
              <w:left w:val="nil"/>
              <w:bottom w:val="nil"/>
              <w:right w:val="nil"/>
            </w:tcBorders>
            <w:shd w:val="clear" w:color="000000" w:fill="F1F1F2"/>
            <w:noWrap/>
            <w:vAlign w:val="center"/>
            <w:hideMark/>
          </w:tcPr>
          <w:p w14:paraId="2469B5A2" w14:textId="77777777" w:rsidR="00572F25" w:rsidRPr="00CB6BBC" w:rsidRDefault="00572F25" w:rsidP="00140544">
            <w:pPr>
              <w:spacing w:after="0"/>
              <w:rPr>
                <w:rFonts w:cs="Arial"/>
                <w:color w:val="000000"/>
                <w:sz w:val="18"/>
                <w:szCs w:val="18"/>
              </w:rPr>
            </w:pPr>
            <w:r w:rsidRPr="00CB6BBC">
              <w:rPr>
                <w:rFonts w:cs="Arial"/>
                <w:color w:val="000000"/>
                <w:sz w:val="18"/>
                <w:szCs w:val="18"/>
              </w:rPr>
              <w:t>Trimethoprim</w:t>
            </w:r>
          </w:p>
        </w:tc>
        <w:tc>
          <w:tcPr>
            <w:tcW w:w="1604" w:type="dxa"/>
            <w:tcBorders>
              <w:top w:val="nil"/>
              <w:left w:val="nil"/>
              <w:bottom w:val="nil"/>
              <w:right w:val="nil"/>
            </w:tcBorders>
            <w:shd w:val="clear" w:color="000000" w:fill="F1F1F2"/>
            <w:noWrap/>
            <w:vAlign w:val="center"/>
            <w:hideMark/>
          </w:tcPr>
          <w:p w14:paraId="0669DB40" w14:textId="77777777" w:rsidR="00572F25" w:rsidRPr="00CB6BBC" w:rsidRDefault="00572F25" w:rsidP="00140544">
            <w:pPr>
              <w:spacing w:after="0"/>
              <w:jc w:val="right"/>
              <w:rPr>
                <w:rFonts w:cs="Arial"/>
                <w:color w:val="000000"/>
                <w:sz w:val="18"/>
                <w:szCs w:val="18"/>
              </w:rPr>
            </w:pPr>
            <w:r w:rsidRPr="00CB6BBC">
              <w:rPr>
                <w:rFonts w:cs="Arial"/>
                <w:color w:val="000000"/>
                <w:sz w:val="18"/>
                <w:szCs w:val="18"/>
              </w:rPr>
              <w:t>13</w:t>
            </w:r>
          </w:p>
        </w:tc>
        <w:tc>
          <w:tcPr>
            <w:tcW w:w="1606" w:type="dxa"/>
            <w:tcBorders>
              <w:top w:val="nil"/>
              <w:left w:val="nil"/>
              <w:bottom w:val="nil"/>
              <w:right w:val="nil"/>
            </w:tcBorders>
            <w:shd w:val="clear" w:color="000000" w:fill="F1F1F2"/>
            <w:noWrap/>
            <w:vAlign w:val="center"/>
            <w:hideMark/>
          </w:tcPr>
          <w:p w14:paraId="260CE019" w14:textId="77777777" w:rsidR="00572F25" w:rsidRPr="00CB6BBC" w:rsidRDefault="00572F25" w:rsidP="00140544">
            <w:pPr>
              <w:spacing w:after="0"/>
              <w:rPr>
                <w:rFonts w:cs="Arial"/>
                <w:color w:val="000000"/>
                <w:sz w:val="18"/>
                <w:szCs w:val="18"/>
              </w:rPr>
            </w:pPr>
            <w:r w:rsidRPr="00CB6BBC">
              <w:rPr>
                <w:rFonts w:cs="Arial"/>
                <w:color w:val="000000"/>
                <w:sz w:val="18"/>
                <w:szCs w:val="18"/>
              </w:rPr>
              <w:t>0.3</w:t>
            </w:r>
          </w:p>
        </w:tc>
        <w:tc>
          <w:tcPr>
            <w:tcW w:w="1604" w:type="dxa"/>
            <w:tcBorders>
              <w:top w:val="nil"/>
              <w:left w:val="nil"/>
              <w:bottom w:val="nil"/>
              <w:right w:val="nil"/>
            </w:tcBorders>
            <w:shd w:val="clear" w:color="000000" w:fill="F1F1F2"/>
            <w:noWrap/>
            <w:vAlign w:val="center"/>
            <w:hideMark/>
          </w:tcPr>
          <w:p w14:paraId="56FDDB40" w14:textId="77777777" w:rsidR="00572F25" w:rsidRPr="00CB6BBC" w:rsidRDefault="00572F25" w:rsidP="00140544">
            <w:pPr>
              <w:spacing w:after="0"/>
              <w:jc w:val="right"/>
              <w:rPr>
                <w:rFonts w:cs="Arial"/>
                <w:color w:val="000000"/>
                <w:sz w:val="18"/>
                <w:szCs w:val="18"/>
              </w:rPr>
            </w:pPr>
            <w:r w:rsidRPr="00CB6BBC">
              <w:rPr>
                <w:rFonts w:cs="Arial"/>
                <w:color w:val="000000"/>
                <w:sz w:val="18"/>
                <w:szCs w:val="18"/>
              </w:rPr>
              <w:t>13</w:t>
            </w:r>
          </w:p>
        </w:tc>
        <w:tc>
          <w:tcPr>
            <w:tcW w:w="1606" w:type="dxa"/>
            <w:tcBorders>
              <w:top w:val="nil"/>
              <w:left w:val="nil"/>
              <w:bottom w:val="nil"/>
              <w:right w:val="nil"/>
            </w:tcBorders>
            <w:shd w:val="clear" w:color="000000" w:fill="F1F1F2"/>
            <w:vAlign w:val="center"/>
            <w:hideMark/>
          </w:tcPr>
          <w:p w14:paraId="63D0FA9E" w14:textId="77777777" w:rsidR="00572F25" w:rsidRPr="00CB6BBC" w:rsidRDefault="00572F25" w:rsidP="00140544">
            <w:pPr>
              <w:spacing w:after="0"/>
              <w:rPr>
                <w:rFonts w:cs="Arial"/>
                <w:color w:val="000000"/>
                <w:sz w:val="18"/>
                <w:szCs w:val="18"/>
              </w:rPr>
            </w:pPr>
            <w:r w:rsidRPr="00CB6BBC">
              <w:rPr>
                <w:rFonts w:cs="Arial"/>
                <w:color w:val="000000"/>
                <w:sz w:val="18"/>
                <w:szCs w:val="18"/>
              </w:rPr>
              <w:t>100.0</w:t>
            </w:r>
          </w:p>
        </w:tc>
      </w:tr>
      <w:tr w:rsidR="00572F25" w:rsidRPr="00CB6BBC" w14:paraId="5C23F8E8" w14:textId="77777777" w:rsidTr="00140544">
        <w:trPr>
          <w:trHeight w:val="357"/>
        </w:trPr>
        <w:tc>
          <w:tcPr>
            <w:tcW w:w="3052" w:type="dxa"/>
            <w:tcBorders>
              <w:top w:val="nil"/>
              <w:left w:val="nil"/>
              <w:bottom w:val="nil"/>
              <w:right w:val="nil"/>
            </w:tcBorders>
            <w:shd w:val="clear" w:color="auto" w:fill="auto"/>
            <w:noWrap/>
            <w:vAlign w:val="center"/>
            <w:hideMark/>
          </w:tcPr>
          <w:p w14:paraId="141367EB" w14:textId="77777777" w:rsidR="00572F25" w:rsidRPr="00CB6BBC" w:rsidRDefault="00572F25" w:rsidP="00140544">
            <w:pPr>
              <w:spacing w:after="0"/>
              <w:rPr>
                <w:rFonts w:cs="Arial"/>
                <w:color w:val="000000"/>
                <w:sz w:val="18"/>
                <w:szCs w:val="18"/>
              </w:rPr>
            </w:pPr>
            <w:r w:rsidRPr="00CB6BBC">
              <w:rPr>
                <w:rFonts w:cs="Arial"/>
                <w:color w:val="000000"/>
                <w:sz w:val="18"/>
                <w:szCs w:val="18"/>
              </w:rPr>
              <w:t>Doxycycline</w:t>
            </w:r>
          </w:p>
        </w:tc>
        <w:tc>
          <w:tcPr>
            <w:tcW w:w="1604" w:type="dxa"/>
            <w:tcBorders>
              <w:top w:val="nil"/>
              <w:left w:val="nil"/>
              <w:bottom w:val="nil"/>
              <w:right w:val="nil"/>
            </w:tcBorders>
            <w:shd w:val="clear" w:color="auto" w:fill="auto"/>
            <w:noWrap/>
            <w:vAlign w:val="center"/>
            <w:hideMark/>
          </w:tcPr>
          <w:p w14:paraId="4786553F" w14:textId="77777777" w:rsidR="00572F25" w:rsidRPr="00CB6BBC" w:rsidRDefault="00572F25" w:rsidP="00140544">
            <w:pPr>
              <w:spacing w:after="0"/>
              <w:jc w:val="right"/>
              <w:rPr>
                <w:rFonts w:cs="Arial"/>
                <w:color w:val="000000"/>
                <w:sz w:val="18"/>
                <w:szCs w:val="18"/>
              </w:rPr>
            </w:pPr>
            <w:r w:rsidRPr="00CB6BBC">
              <w:rPr>
                <w:rFonts w:cs="Arial"/>
                <w:color w:val="000000"/>
                <w:sz w:val="18"/>
                <w:szCs w:val="18"/>
              </w:rPr>
              <w:t>11</w:t>
            </w:r>
          </w:p>
        </w:tc>
        <w:tc>
          <w:tcPr>
            <w:tcW w:w="1606" w:type="dxa"/>
            <w:tcBorders>
              <w:top w:val="nil"/>
              <w:left w:val="nil"/>
              <w:bottom w:val="nil"/>
              <w:right w:val="nil"/>
            </w:tcBorders>
            <w:shd w:val="clear" w:color="auto" w:fill="auto"/>
            <w:noWrap/>
            <w:vAlign w:val="center"/>
            <w:hideMark/>
          </w:tcPr>
          <w:p w14:paraId="0781388B" w14:textId="77777777" w:rsidR="00572F25" w:rsidRPr="00CB6BBC" w:rsidRDefault="00572F25" w:rsidP="00140544">
            <w:pPr>
              <w:spacing w:after="0"/>
              <w:rPr>
                <w:rFonts w:cs="Arial"/>
                <w:color w:val="000000"/>
                <w:sz w:val="18"/>
                <w:szCs w:val="18"/>
              </w:rPr>
            </w:pPr>
            <w:r w:rsidRPr="00CB6BBC">
              <w:rPr>
                <w:rFonts w:cs="Arial"/>
                <w:color w:val="000000"/>
                <w:sz w:val="18"/>
                <w:szCs w:val="18"/>
              </w:rPr>
              <w:t>0.2</w:t>
            </w:r>
          </w:p>
        </w:tc>
        <w:tc>
          <w:tcPr>
            <w:tcW w:w="1604" w:type="dxa"/>
            <w:tcBorders>
              <w:top w:val="nil"/>
              <w:left w:val="nil"/>
              <w:bottom w:val="nil"/>
              <w:right w:val="nil"/>
            </w:tcBorders>
            <w:shd w:val="clear" w:color="auto" w:fill="auto"/>
            <w:noWrap/>
            <w:vAlign w:val="center"/>
            <w:hideMark/>
          </w:tcPr>
          <w:p w14:paraId="0362DA22" w14:textId="77777777" w:rsidR="00572F25" w:rsidRPr="00CB6BBC" w:rsidRDefault="00572F25" w:rsidP="00140544">
            <w:pPr>
              <w:spacing w:after="0"/>
              <w:jc w:val="right"/>
              <w:rPr>
                <w:rFonts w:cs="Arial"/>
                <w:color w:val="000000"/>
                <w:sz w:val="18"/>
                <w:szCs w:val="18"/>
              </w:rPr>
            </w:pPr>
            <w:r w:rsidRPr="00CB6BBC">
              <w:rPr>
                <w:rFonts w:cs="Arial"/>
                <w:color w:val="000000"/>
                <w:sz w:val="18"/>
                <w:szCs w:val="18"/>
              </w:rPr>
              <w:t>9</w:t>
            </w:r>
          </w:p>
        </w:tc>
        <w:tc>
          <w:tcPr>
            <w:tcW w:w="1606" w:type="dxa"/>
            <w:tcBorders>
              <w:top w:val="nil"/>
              <w:left w:val="nil"/>
              <w:bottom w:val="nil"/>
              <w:right w:val="nil"/>
            </w:tcBorders>
            <w:shd w:val="clear" w:color="auto" w:fill="auto"/>
            <w:vAlign w:val="center"/>
            <w:hideMark/>
          </w:tcPr>
          <w:p w14:paraId="0256EF38" w14:textId="77777777" w:rsidR="00572F25" w:rsidRPr="00CB6BBC" w:rsidRDefault="00572F25" w:rsidP="00140544">
            <w:pPr>
              <w:spacing w:after="0"/>
              <w:rPr>
                <w:rFonts w:cs="Arial"/>
                <w:color w:val="000000"/>
                <w:sz w:val="18"/>
                <w:szCs w:val="18"/>
              </w:rPr>
            </w:pPr>
            <w:r w:rsidRPr="00CB6BBC">
              <w:rPr>
                <w:rFonts w:cs="Arial"/>
                <w:color w:val="000000"/>
                <w:sz w:val="18"/>
                <w:szCs w:val="18"/>
              </w:rPr>
              <w:t>81.8</w:t>
            </w:r>
          </w:p>
        </w:tc>
      </w:tr>
      <w:tr w:rsidR="00572F25" w:rsidRPr="00CB6BBC" w14:paraId="759F63F6" w14:textId="77777777" w:rsidTr="00140544">
        <w:trPr>
          <w:trHeight w:val="374"/>
        </w:trPr>
        <w:tc>
          <w:tcPr>
            <w:tcW w:w="3052" w:type="dxa"/>
            <w:tcBorders>
              <w:top w:val="nil"/>
              <w:left w:val="nil"/>
              <w:bottom w:val="nil"/>
              <w:right w:val="nil"/>
            </w:tcBorders>
            <w:shd w:val="clear" w:color="000000" w:fill="F1F1F2"/>
            <w:noWrap/>
            <w:vAlign w:val="center"/>
            <w:hideMark/>
          </w:tcPr>
          <w:p w14:paraId="6B10B3A6" w14:textId="77777777" w:rsidR="00572F25" w:rsidRPr="00CB6BBC" w:rsidRDefault="00572F25" w:rsidP="00140544">
            <w:pPr>
              <w:spacing w:after="0"/>
              <w:rPr>
                <w:rFonts w:cs="Arial"/>
                <w:color w:val="000000"/>
                <w:sz w:val="18"/>
                <w:szCs w:val="18"/>
              </w:rPr>
            </w:pPr>
            <w:r w:rsidRPr="00CB6BBC">
              <w:rPr>
                <w:rFonts w:cs="Arial"/>
                <w:color w:val="000000"/>
                <w:sz w:val="18"/>
                <w:szCs w:val="18"/>
              </w:rPr>
              <w:t>Ampicillin</w:t>
            </w:r>
          </w:p>
        </w:tc>
        <w:tc>
          <w:tcPr>
            <w:tcW w:w="1604" w:type="dxa"/>
            <w:tcBorders>
              <w:top w:val="nil"/>
              <w:left w:val="nil"/>
              <w:bottom w:val="nil"/>
              <w:right w:val="nil"/>
            </w:tcBorders>
            <w:shd w:val="clear" w:color="000000" w:fill="F1F1F2"/>
            <w:noWrap/>
            <w:vAlign w:val="center"/>
            <w:hideMark/>
          </w:tcPr>
          <w:p w14:paraId="7AC8D033" w14:textId="77777777" w:rsidR="00572F25" w:rsidRPr="00CB6BBC" w:rsidRDefault="00572F25" w:rsidP="00140544">
            <w:pPr>
              <w:spacing w:after="0"/>
              <w:jc w:val="right"/>
              <w:rPr>
                <w:rFonts w:cs="Arial"/>
                <w:color w:val="000000"/>
                <w:sz w:val="18"/>
                <w:szCs w:val="18"/>
              </w:rPr>
            </w:pPr>
            <w:r w:rsidRPr="00CB6BBC">
              <w:rPr>
                <w:rFonts w:cs="Arial"/>
                <w:color w:val="000000"/>
                <w:sz w:val="18"/>
                <w:szCs w:val="18"/>
              </w:rPr>
              <w:t>10</w:t>
            </w:r>
          </w:p>
        </w:tc>
        <w:tc>
          <w:tcPr>
            <w:tcW w:w="1606" w:type="dxa"/>
            <w:tcBorders>
              <w:top w:val="nil"/>
              <w:left w:val="nil"/>
              <w:bottom w:val="nil"/>
              <w:right w:val="nil"/>
            </w:tcBorders>
            <w:shd w:val="clear" w:color="000000" w:fill="F1F1F2"/>
            <w:noWrap/>
            <w:vAlign w:val="center"/>
            <w:hideMark/>
          </w:tcPr>
          <w:p w14:paraId="04E8401F" w14:textId="77777777" w:rsidR="00572F25" w:rsidRPr="00CB6BBC" w:rsidRDefault="00572F25" w:rsidP="00140544">
            <w:pPr>
              <w:spacing w:after="0"/>
              <w:rPr>
                <w:rFonts w:cs="Arial"/>
                <w:color w:val="000000"/>
                <w:sz w:val="18"/>
                <w:szCs w:val="18"/>
              </w:rPr>
            </w:pPr>
            <w:r w:rsidRPr="00CB6BBC">
              <w:rPr>
                <w:rFonts w:cs="Arial"/>
                <w:color w:val="000000"/>
                <w:sz w:val="18"/>
                <w:szCs w:val="18"/>
              </w:rPr>
              <w:t>0.2</w:t>
            </w:r>
          </w:p>
        </w:tc>
        <w:tc>
          <w:tcPr>
            <w:tcW w:w="1604" w:type="dxa"/>
            <w:tcBorders>
              <w:top w:val="nil"/>
              <w:left w:val="nil"/>
              <w:bottom w:val="nil"/>
              <w:right w:val="nil"/>
            </w:tcBorders>
            <w:shd w:val="clear" w:color="000000" w:fill="F1F1F2"/>
            <w:noWrap/>
            <w:vAlign w:val="center"/>
            <w:hideMark/>
          </w:tcPr>
          <w:p w14:paraId="5CF0A805" w14:textId="77777777" w:rsidR="00572F25" w:rsidRPr="00CB6BBC" w:rsidRDefault="00572F25" w:rsidP="00140544">
            <w:pPr>
              <w:spacing w:after="0"/>
              <w:jc w:val="right"/>
              <w:rPr>
                <w:rFonts w:cs="Arial"/>
                <w:color w:val="000000"/>
                <w:sz w:val="18"/>
                <w:szCs w:val="18"/>
              </w:rPr>
            </w:pPr>
            <w:r w:rsidRPr="00CB6BBC">
              <w:rPr>
                <w:rFonts w:cs="Arial"/>
                <w:color w:val="000000"/>
                <w:sz w:val="18"/>
                <w:szCs w:val="18"/>
              </w:rPr>
              <w:t>8</w:t>
            </w:r>
          </w:p>
        </w:tc>
        <w:tc>
          <w:tcPr>
            <w:tcW w:w="1606" w:type="dxa"/>
            <w:tcBorders>
              <w:top w:val="nil"/>
              <w:left w:val="nil"/>
              <w:bottom w:val="nil"/>
              <w:right w:val="nil"/>
            </w:tcBorders>
            <w:shd w:val="clear" w:color="000000" w:fill="F1F1F2"/>
            <w:vAlign w:val="center"/>
            <w:hideMark/>
          </w:tcPr>
          <w:p w14:paraId="176AC1F4" w14:textId="77777777" w:rsidR="00572F25" w:rsidRPr="00CB6BBC" w:rsidRDefault="00572F25" w:rsidP="00140544">
            <w:pPr>
              <w:spacing w:after="0"/>
              <w:rPr>
                <w:rFonts w:cs="Arial"/>
                <w:color w:val="000000"/>
                <w:sz w:val="18"/>
                <w:szCs w:val="18"/>
              </w:rPr>
            </w:pPr>
            <w:r w:rsidRPr="00CB6BBC">
              <w:rPr>
                <w:rFonts w:cs="Arial"/>
                <w:color w:val="000000"/>
                <w:sz w:val="18"/>
                <w:szCs w:val="18"/>
              </w:rPr>
              <w:t>80.0</w:t>
            </w:r>
          </w:p>
        </w:tc>
      </w:tr>
      <w:tr w:rsidR="00572F25" w:rsidRPr="00CB6BBC" w14:paraId="4C42BA3F" w14:textId="77777777" w:rsidTr="00140544">
        <w:trPr>
          <w:trHeight w:val="392"/>
        </w:trPr>
        <w:tc>
          <w:tcPr>
            <w:tcW w:w="3052" w:type="dxa"/>
            <w:tcBorders>
              <w:top w:val="nil"/>
              <w:left w:val="nil"/>
              <w:bottom w:val="nil"/>
              <w:right w:val="nil"/>
            </w:tcBorders>
            <w:shd w:val="clear" w:color="auto" w:fill="auto"/>
            <w:noWrap/>
            <w:vAlign w:val="center"/>
            <w:hideMark/>
          </w:tcPr>
          <w:p w14:paraId="7ECAC8A7" w14:textId="77777777" w:rsidR="00572F25" w:rsidRPr="00CB6BBC" w:rsidRDefault="00572F25" w:rsidP="00140544">
            <w:pPr>
              <w:spacing w:after="0"/>
              <w:rPr>
                <w:rFonts w:cs="Arial"/>
                <w:color w:val="000000"/>
                <w:sz w:val="18"/>
                <w:szCs w:val="18"/>
              </w:rPr>
            </w:pPr>
            <w:r w:rsidRPr="00CB6BBC">
              <w:rPr>
                <w:rFonts w:cs="Arial"/>
                <w:color w:val="000000"/>
                <w:sz w:val="18"/>
                <w:szCs w:val="18"/>
              </w:rPr>
              <w:t>Others</w:t>
            </w:r>
          </w:p>
        </w:tc>
        <w:tc>
          <w:tcPr>
            <w:tcW w:w="1604" w:type="dxa"/>
            <w:tcBorders>
              <w:top w:val="nil"/>
              <w:left w:val="nil"/>
              <w:bottom w:val="nil"/>
              <w:right w:val="nil"/>
            </w:tcBorders>
            <w:shd w:val="clear" w:color="auto" w:fill="auto"/>
            <w:noWrap/>
            <w:vAlign w:val="center"/>
            <w:hideMark/>
          </w:tcPr>
          <w:p w14:paraId="4480AB46" w14:textId="77777777" w:rsidR="00572F25" w:rsidRPr="00CB6BBC" w:rsidRDefault="00572F25" w:rsidP="00140544">
            <w:pPr>
              <w:spacing w:after="0"/>
              <w:jc w:val="right"/>
              <w:rPr>
                <w:rFonts w:cs="Arial"/>
                <w:color w:val="000000"/>
                <w:sz w:val="18"/>
                <w:szCs w:val="18"/>
              </w:rPr>
            </w:pPr>
            <w:r w:rsidRPr="00CB6BBC">
              <w:rPr>
                <w:rFonts w:cs="Arial"/>
                <w:color w:val="000000"/>
                <w:sz w:val="18"/>
                <w:szCs w:val="18"/>
              </w:rPr>
              <w:t>72</w:t>
            </w:r>
          </w:p>
        </w:tc>
        <w:tc>
          <w:tcPr>
            <w:tcW w:w="1606" w:type="dxa"/>
            <w:tcBorders>
              <w:top w:val="nil"/>
              <w:left w:val="nil"/>
              <w:bottom w:val="nil"/>
              <w:right w:val="nil"/>
            </w:tcBorders>
            <w:shd w:val="clear" w:color="auto" w:fill="auto"/>
            <w:noWrap/>
            <w:vAlign w:val="center"/>
            <w:hideMark/>
          </w:tcPr>
          <w:p w14:paraId="173778F8" w14:textId="77777777" w:rsidR="00572F25" w:rsidRPr="00CB6BBC" w:rsidRDefault="00572F25" w:rsidP="00140544">
            <w:pPr>
              <w:spacing w:after="0"/>
              <w:rPr>
                <w:rFonts w:cs="Arial"/>
                <w:color w:val="000000"/>
                <w:sz w:val="18"/>
                <w:szCs w:val="18"/>
              </w:rPr>
            </w:pPr>
            <w:r w:rsidRPr="00CB6BBC">
              <w:rPr>
                <w:rFonts w:cs="Arial"/>
                <w:color w:val="000000"/>
                <w:sz w:val="18"/>
                <w:szCs w:val="18"/>
              </w:rPr>
              <w:t>1.6</w:t>
            </w:r>
          </w:p>
        </w:tc>
        <w:tc>
          <w:tcPr>
            <w:tcW w:w="1604" w:type="dxa"/>
            <w:tcBorders>
              <w:top w:val="nil"/>
              <w:left w:val="nil"/>
              <w:bottom w:val="nil"/>
              <w:right w:val="nil"/>
            </w:tcBorders>
            <w:shd w:val="clear" w:color="auto" w:fill="auto"/>
            <w:noWrap/>
            <w:vAlign w:val="center"/>
            <w:hideMark/>
          </w:tcPr>
          <w:p w14:paraId="46288215" w14:textId="77777777" w:rsidR="00572F25" w:rsidRPr="00CB6BBC" w:rsidRDefault="00572F25" w:rsidP="00140544">
            <w:pPr>
              <w:spacing w:after="0"/>
              <w:jc w:val="right"/>
              <w:rPr>
                <w:rFonts w:cs="Arial"/>
                <w:color w:val="000000"/>
                <w:sz w:val="18"/>
                <w:szCs w:val="18"/>
              </w:rPr>
            </w:pPr>
            <w:r w:rsidRPr="00CB6BBC">
              <w:rPr>
                <w:rFonts w:cs="Arial"/>
                <w:color w:val="000000"/>
                <w:sz w:val="18"/>
                <w:szCs w:val="18"/>
              </w:rPr>
              <w:t>56</w:t>
            </w:r>
          </w:p>
        </w:tc>
        <w:tc>
          <w:tcPr>
            <w:tcW w:w="1606" w:type="dxa"/>
            <w:tcBorders>
              <w:top w:val="nil"/>
              <w:left w:val="nil"/>
              <w:bottom w:val="nil"/>
              <w:right w:val="nil"/>
            </w:tcBorders>
            <w:shd w:val="clear" w:color="auto" w:fill="auto"/>
            <w:vAlign w:val="center"/>
            <w:hideMark/>
          </w:tcPr>
          <w:p w14:paraId="1B133E1E" w14:textId="77777777" w:rsidR="00572F25" w:rsidRPr="00CB6BBC" w:rsidRDefault="00572F25" w:rsidP="00140544">
            <w:pPr>
              <w:spacing w:after="0"/>
              <w:rPr>
                <w:rFonts w:cs="Arial"/>
                <w:color w:val="000000"/>
                <w:sz w:val="18"/>
                <w:szCs w:val="18"/>
              </w:rPr>
            </w:pPr>
            <w:r w:rsidRPr="00CB6BBC">
              <w:rPr>
                <w:rFonts w:cs="Arial"/>
                <w:color w:val="000000"/>
                <w:sz w:val="18"/>
                <w:szCs w:val="18"/>
              </w:rPr>
              <w:t>77.8</w:t>
            </w:r>
          </w:p>
        </w:tc>
      </w:tr>
      <w:tr w:rsidR="00572F25" w:rsidRPr="00CB6BBC" w14:paraId="230BCD7C" w14:textId="77777777" w:rsidTr="00140544">
        <w:trPr>
          <w:trHeight w:val="374"/>
        </w:trPr>
        <w:tc>
          <w:tcPr>
            <w:tcW w:w="3052" w:type="dxa"/>
            <w:tcBorders>
              <w:top w:val="double" w:sz="6" w:space="0" w:color="BCBEC0"/>
              <w:left w:val="nil"/>
              <w:bottom w:val="nil"/>
              <w:right w:val="nil"/>
            </w:tcBorders>
            <w:shd w:val="clear" w:color="000000" w:fill="6DB2AD"/>
            <w:noWrap/>
            <w:vAlign w:val="center"/>
            <w:hideMark/>
          </w:tcPr>
          <w:p w14:paraId="36EFE951" w14:textId="77777777" w:rsidR="00572F25" w:rsidRPr="00E1658A" w:rsidRDefault="00572F25" w:rsidP="00140544">
            <w:pPr>
              <w:spacing w:after="0"/>
              <w:rPr>
                <w:rFonts w:cs="Arial"/>
                <w:color w:val="auto"/>
                <w:sz w:val="18"/>
                <w:szCs w:val="18"/>
              </w:rPr>
            </w:pPr>
            <w:r w:rsidRPr="00E1658A">
              <w:rPr>
                <w:rFonts w:cs="Arial"/>
                <w:color w:val="auto"/>
                <w:sz w:val="18"/>
                <w:szCs w:val="18"/>
              </w:rPr>
              <w:t>Total</w:t>
            </w:r>
          </w:p>
        </w:tc>
        <w:tc>
          <w:tcPr>
            <w:tcW w:w="1604" w:type="dxa"/>
            <w:tcBorders>
              <w:top w:val="double" w:sz="6" w:space="0" w:color="BCBEC0"/>
              <w:left w:val="nil"/>
              <w:bottom w:val="nil"/>
              <w:right w:val="nil"/>
            </w:tcBorders>
            <w:shd w:val="clear" w:color="000000" w:fill="6DB2AD"/>
            <w:noWrap/>
            <w:vAlign w:val="center"/>
            <w:hideMark/>
          </w:tcPr>
          <w:p w14:paraId="2CD68784" w14:textId="77777777" w:rsidR="00572F25" w:rsidRPr="00E1658A" w:rsidRDefault="00572F25" w:rsidP="00140544">
            <w:pPr>
              <w:spacing w:after="0"/>
              <w:jc w:val="right"/>
              <w:rPr>
                <w:rFonts w:cs="Arial"/>
                <w:color w:val="auto"/>
                <w:sz w:val="18"/>
                <w:szCs w:val="18"/>
              </w:rPr>
            </w:pPr>
            <w:r w:rsidRPr="00E1658A">
              <w:rPr>
                <w:rFonts w:cs="Arial"/>
                <w:color w:val="auto"/>
                <w:sz w:val="18"/>
                <w:szCs w:val="18"/>
              </w:rPr>
              <w:t>4,585</w:t>
            </w:r>
          </w:p>
        </w:tc>
        <w:tc>
          <w:tcPr>
            <w:tcW w:w="1606" w:type="dxa"/>
            <w:tcBorders>
              <w:top w:val="double" w:sz="6" w:space="0" w:color="BCBEC0"/>
              <w:left w:val="nil"/>
              <w:bottom w:val="nil"/>
              <w:right w:val="nil"/>
            </w:tcBorders>
            <w:shd w:val="clear" w:color="000000" w:fill="6DB2AD"/>
            <w:noWrap/>
            <w:vAlign w:val="center"/>
            <w:hideMark/>
          </w:tcPr>
          <w:p w14:paraId="3D19AA8B" w14:textId="77777777" w:rsidR="00572F25" w:rsidRPr="00E1658A" w:rsidRDefault="00572F25" w:rsidP="008A735E">
            <w:pPr>
              <w:spacing w:after="0"/>
              <w:rPr>
                <w:rFonts w:cs="Arial"/>
                <w:color w:val="auto"/>
                <w:sz w:val="18"/>
                <w:szCs w:val="18"/>
              </w:rPr>
            </w:pPr>
            <w:r w:rsidRPr="00E1658A">
              <w:rPr>
                <w:rFonts w:cs="Arial"/>
                <w:color w:val="auto"/>
                <w:sz w:val="18"/>
                <w:szCs w:val="18"/>
              </w:rPr>
              <w:t>100</w:t>
            </w:r>
          </w:p>
        </w:tc>
        <w:tc>
          <w:tcPr>
            <w:tcW w:w="1604" w:type="dxa"/>
            <w:tcBorders>
              <w:top w:val="double" w:sz="6" w:space="0" w:color="BCBEC0"/>
              <w:left w:val="nil"/>
              <w:bottom w:val="nil"/>
              <w:right w:val="nil"/>
            </w:tcBorders>
            <w:shd w:val="clear" w:color="000000" w:fill="6DB2AD"/>
            <w:noWrap/>
            <w:vAlign w:val="center"/>
            <w:hideMark/>
          </w:tcPr>
          <w:p w14:paraId="1CB07D4D" w14:textId="77777777" w:rsidR="00572F25" w:rsidRPr="00E1658A" w:rsidRDefault="00572F25" w:rsidP="00140544">
            <w:pPr>
              <w:spacing w:after="0"/>
              <w:jc w:val="right"/>
              <w:rPr>
                <w:rFonts w:cs="Arial"/>
                <w:color w:val="auto"/>
                <w:sz w:val="18"/>
                <w:szCs w:val="18"/>
              </w:rPr>
            </w:pPr>
            <w:r w:rsidRPr="00E1658A">
              <w:rPr>
                <w:rFonts w:cs="Arial"/>
                <w:color w:val="auto"/>
                <w:sz w:val="18"/>
                <w:szCs w:val="18"/>
              </w:rPr>
              <w:t>2,739</w:t>
            </w:r>
          </w:p>
        </w:tc>
        <w:tc>
          <w:tcPr>
            <w:tcW w:w="1606" w:type="dxa"/>
            <w:tcBorders>
              <w:top w:val="double" w:sz="6" w:space="0" w:color="BCBEC0"/>
              <w:left w:val="nil"/>
              <w:bottom w:val="nil"/>
              <w:right w:val="nil"/>
            </w:tcBorders>
            <w:shd w:val="clear" w:color="000000" w:fill="6DB2AD"/>
            <w:vAlign w:val="center"/>
            <w:hideMark/>
          </w:tcPr>
          <w:p w14:paraId="39C3AE8B" w14:textId="77777777" w:rsidR="00572F25" w:rsidRPr="00E1658A" w:rsidRDefault="00572F25" w:rsidP="008A735E">
            <w:pPr>
              <w:spacing w:after="0"/>
              <w:rPr>
                <w:rFonts w:cs="Arial"/>
                <w:color w:val="auto"/>
                <w:sz w:val="18"/>
                <w:szCs w:val="18"/>
              </w:rPr>
            </w:pPr>
            <w:r w:rsidRPr="00E1658A">
              <w:rPr>
                <w:rFonts w:cs="Arial"/>
                <w:color w:val="auto"/>
                <w:sz w:val="18"/>
                <w:szCs w:val="18"/>
              </w:rPr>
              <w:t>59.7</w:t>
            </w:r>
          </w:p>
        </w:tc>
      </w:tr>
    </w:tbl>
    <w:p w14:paraId="16D6D05C" w14:textId="77777777" w:rsidR="00572F25" w:rsidRPr="00F20786" w:rsidRDefault="00572F25" w:rsidP="00572F25">
      <w:pPr>
        <w:pStyle w:val="Notes"/>
      </w:pPr>
      <w:r w:rsidRPr="00F20786">
        <w:t>* Data are not shown for antimicrobials where n &lt;10</w:t>
      </w:r>
      <w:r>
        <w:t>.</w:t>
      </w:r>
    </w:p>
    <w:p w14:paraId="4A0429BF" w14:textId="77777777" w:rsidR="00572F25" w:rsidRPr="003B6B00" w:rsidRDefault="00572F25" w:rsidP="00572F25">
      <w:r>
        <w:br w:type="page"/>
      </w:r>
    </w:p>
    <w:p w14:paraId="1CC25370" w14:textId="77777777" w:rsidR="00572F25" w:rsidRDefault="00572F25" w:rsidP="00572F25">
      <w:pPr>
        <w:pStyle w:val="Heading2"/>
        <w:ind w:left="576" w:hanging="576"/>
      </w:pPr>
      <w:bookmarkStart w:id="144" w:name="_Toc126664217"/>
      <w:r>
        <w:lastRenderedPageBreak/>
        <w:t>Route of administration</w:t>
      </w:r>
      <w:bookmarkEnd w:id="144"/>
    </w:p>
    <w:p w14:paraId="6607BB5D" w14:textId="77777777" w:rsidR="00572F25" w:rsidRPr="002E1055" w:rsidRDefault="00572F25" w:rsidP="00977AD6">
      <w:pPr>
        <w:pStyle w:val="Heading3"/>
      </w:pPr>
      <w:r w:rsidRPr="002E1055">
        <w:t xml:space="preserve">Procedural </w:t>
      </w:r>
      <w:r>
        <w:t>antimicrobial prophylaxis</w:t>
      </w:r>
    </w:p>
    <w:p w14:paraId="51ABCA28" w14:textId="77777777" w:rsidR="00572F25" w:rsidRPr="002F28C5" w:rsidRDefault="00572F25" w:rsidP="00572F25">
      <w:pPr>
        <w:spacing w:after="0"/>
        <w:rPr>
          <w:rFonts w:cs="Arial"/>
        </w:rPr>
      </w:pPr>
      <w:r w:rsidRPr="002F28C5">
        <w:t xml:space="preserve">Procedural antimicrobial doses were predominantly administered by the intravenous </w:t>
      </w:r>
      <w:r w:rsidRPr="002F28C5">
        <w:rPr>
          <w:rFonts w:cs="Arial"/>
        </w:rPr>
        <w:t>(90.3%) and ocular (6.6%)</w:t>
      </w:r>
      <w:r w:rsidRPr="00BF1104">
        <w:rPr>
          <w:rFonts w:cs="Arial"/>
        </w:rPr>
        <w:t xml:space="preserve"> </w:t>
      </w:r>
      <w:r w:rsidRPr="002F28C5">
        <w:rPr>
          <w:rFonts w:cs="Arial"/>
        </w:rPr>
        <w:t>routes. Topical antimicrobials accounted for 2.5% of prescribing, despite not being recommended as an appropriate route for use in procedural surgical antimicrobial prophylaxis. More than two-thirds (68.9%) of procedural doses for topical antimicrobial use were deemed inappropriate.</w:t>
      </w:r>
    </w:p>
    <w:p w14:paraId="46774589" w14:textId="77777777" w:rsidR="00572F25" w:rsidRDefault="00572F25" w:rsidP="00977AD6">
      <w:pPr>
        <w:pStyle w:val="Heading3"/>
      </w:pPr>
      <w:r>
        <w:t>Post-pr</w:t>
      </w:r>
      <w:r w:rsidRPr="002E1055">
        <w:t xml:space="preserve">ocedural </w:t>
      </w:r>
      <w:r>
        <w:t>antimicrobial prophylaxis</w:t>
      </w:r>
    </w:p>
    <w:p w14:paraId="68B36CE9" w14:textId="77777777" w:rsidR="00572F25" w:rsidRPr="009F6156" w:rsidRDefault="00572F25" w:rsidP="00572F25">
      <w:r w:rsidRPr="009F6156">
        <w:t>Post</w:t>
      </w:r>
      <w:r>
        <w:t>-</w:t>
      </w:r>
      <w:r w:rsidRPr="009F6156">
        <w:t>procedural antimicrobial prescriptions were predominantly for intravenous (62.4%) and oral (20.8%) administration. As for procedural prescribing, if post</w:t>
      </w:r>
      <w:r>
        <w:t>-</w:t>
      </w:r>
      <w:r w:rsidRPr="009F6156">
        <w:t>procedural prophylaxis is required, guidelines almost always recommend intravenous administration</w:t>
      </w:r>
      <w:r>
        <w:t>;</w:t>
      </w:r>
      <w:r w:rsidRPr="009F6156">
        <w:t xml:space="preserve"> </w:t>
      </w:r>
      <w:proofErr w:type="gramStart"/>
      <w:r w:rsidRPr="009F6156">
        <w:t>therefore</w:t>
      </w:r>
      <w:proofErr w:type="gramEnd"/>
      <w:r w:rsidRPr="009F6156">
        <w:t xml:space="preserve"> a large proportion of post</w:t>
      </w:r>
      <w:r>
        <w:t>-</w:t>
      </w:r>
      <w:r w:rsidRPr="009F6156">
        <w:t>procedural oral antimicrobials (85.8%) were deemed inappropriate. As topical antimicrobials for ophthalmic procedures may be appropriately prescribed post</w:t>
      </w:r>
      <w:r>
        <w:t>-</w:t>
      </w:r>
      <w:r w:rsidRPr="009F6156">
        <w:t xml:space="preserve">procedurally, when these were excluded, over three-quarters of the remaining topical antimicrobials (76.5%) were deemed inappropriate. </w:t>
      </w:r>
    </w:p>
    <w:p w14:paraId="4666262C" w14:textId="77777777" w:rsidR="00572F25" w:rsidRPr="009F6156" w:rsidRDefault="00572F25" w:rsidP="00572F25">
      <w:r w:rsidRPr="009F6156">
        <w:t xml:space="preserve">The route of administration also had an impact on duration of therapy. There was a median of one day of therapy for intravenously administered antimicrobials, compared to 6 days of therapy administered via the topical route. There were also prolonged durations for oral administration, which had a median of </w:t>
      </w:r>
      <w:r>
        <w:t>5 </w:t>
      </w:r>
      <w:r w:rsidRPr="009F6156">
        <w:t>days of therapy (Table A3.3). Episodes where antimicrobials were prescribed for up to or greater than 24 hours generally continued past 48 hours for all administration routes, except intravenous and ocular.</w:t>
      </w:r>
    </w:p>
    <w:p w14:paraId="57D345AB" w14:textId="77777777" w:rsidR="00572F25" w:rsidRPr="001A2F99" w:rsidRDefault="00572F25" w:rsidP="00572F25">
      <w:pPr>
        <w:pStyle w:val="Captions"/>
      </w:pPr>
      <w:r w:rsidRPr="001A2F99">
        <w:t xml:space="preserve">Table </w:t>
      </w:r>
      <w:r>
        <w:t>A3</w:t>
      </w:r>
      <w:r w:rsidRPr="001A2F99">
        <w:t>.3:</w:t>
      </w:r>
      <w:r w:rsidRPr="001A2F99">
        <w:tab/>
        <w:t xml:space="preserve">Duration of surgical prophylaxis and percentage prescribed for greater than 24 and 48 hours, by route of administration, Surgical </w:t>
      </w:r>
      <w:r>
        <w:rPr>
          <w:rFonts w:cs="Arial"/>
        </w:rPr>
        <w:t>NAPS</w:t>
      </w:r>
      <w:r w:rsidRPr="001A2F99">
        <w:t xml:space="preserve"> contributor </w:t>
      </w:r>
      <w:r w:rsidRPr="002E004E">
        <w:t>facilities</w:t>
      </w:r>
      <w:r w:rsidRPr="001A2F99">
        <w:t xml:space="preserve">, </w:t>
      </w:r>
      <w:proofErr w:type="gramStart"/>
      <w:r w:rsidRPr="001A2F99">
        <w:t>20</w:t>
      </w:r>
      <w:r>
        <w:t>21</w:t>
      </w:r>
      <w:proofErr w:type="gramEnd"/>
    </w:p>
    <w:tbl>
      <w:tblPr>
        <w:tblW w:w="9492" w:type="dxa"/>
        <w:tblLayout w:type="fixed"/>
        <w:tblLook w:val="04A0" w:firstRow="1" w:lastRow="0" w:firstColumn="1" w:lastColumn="0" w:noHBand="0" w:noVBand="1"/>
      </w:tblPr>
      <w:tblGrid>
        <w:gridCol w:w="2374"/>
        <w:gridCol w:w="1423"/>
        <w:gridCol w:w="1173"/>
        <w:gridCol w:w="1173"/>
        <w:gridCol w:w="837"/>
        <w:gridCol w:w="837"/>
        <w:gridCol w:w="837"/>
        <w:gridCol w:w="838"/>
      </w:tblGrid>
      <w:tr w:rsidR="00572F25" w:rsidRPr="00107CF4" w14:paraId="1168F45B" w14:textId="77777777" w:rsidTr="00140544">
        <w:trPr>
          <w:trHeight w:val="352"/>
        </w:trPr>
        <w:tc>
          <w:tcPr>
            <w:tcW w:w="2374" w:type="dxa"/>
            <w:vMerge w:val="restart"/>
            <w:tcBorders>
              <w:top w:val="nil"/>
              <w:left w:val="nil"/>
              <w:bottom w:val="nil"/>
              <w:right w:val="nil"/>
            </w:tcBorders>
            <w:shd w:val="clear" w:color="000000" w:fill="007D75"/>
            <w:noWrap/>
            <w:vAlign w:val="center"/>
            <w:hideMark/>
          </w:tcPr>
          <w:p w14:paraId="5F24893C" w14:textId="77777777" w:rsidR="00572F25" w:rsidRPr="00107CF4" w:rsidRDefault="00572F25" w:rsidP="00140544">
            <w:pPr>
              <w:spacing w:after="0"/>
              <w:rPr>
                <w:rFonts w:cs="Arial"/>
                <w:color w:val="FFFFFF"/>
                <w:sz w:val="18"/>
                <w:szCs w:val="18"/>
              </w:rPr>
            </w:pPr>
            <w:r w:rsidRPr="00107CF4">
              <w:rPr>
                <w:rFonts w:cs="Arial"/>
                <w:color w:val="FFFFFF"/>
                <w:sz w:val="18"/>
                <w:szCs w:val="18"/>
              </w:rPr>
              <w:t>Route of administration</w:t>
            </w:r>
          </w:p>
        </w:tc>
        <w:tc>
          <w:tcPr>
            <w:tcW w:w="1423" w:type="dxa"/>
            <w:vMerge w:val="restart"/>
            <w:tcBorders>
              <w:top w:val="nil"/>
              <w:left w:val="nil"/>
              <w:right w:val="nil"/>
            </w:tcBorders>
            <w:shd w:val="clear" w:color="000000" w:fill="007D75"/>
            <w:noWrap/>
            <w:vAlign w:val="center"/>
            <w:hideMark/>
          </w:tcPr>
          <w:p w14:paraId="17B1B404" w14:textId="77777777" w:rsidR="00572F25" w:rsidRPr="00107CF4" w:rsidRDefault="00572F25" w:rsidP="00140544">
            <w:pPr>
              <w:spacing w:after="0"/>
              <w:jc w:val="center"/>
              <w:rPr>
                <w:rFonts w:cs="Arial"/>
                <w:color w:val="FFFFFF"/>
                <w:sz w:val="18"/>
                <w:szCs w:val="18"/>
              </w:rPr>
            </w:pPr>
          </w:p>
          <w:p w14:paraId="1753C28A" w14:textId="77777777" w:rsidR="00572F25" w:rsidRPr="00107CF4" w:rsidRDefault="00572F25" w:rsidP="00140544">
            <w:pPr>
              <w:spacing w:after="0"/>
              <w:jc w:val="center"/>
              <w:rPr>
                <w:rFonts w:cs="Arial"/>
                <w:color w:val="FFFFFF"/>
                <w:sz w:val="18"/>
                <w:szCs w:val="18"/>
              </w:rPr>
            </w:pPr>
            <w:r w:rsidRPr="00107CF4">
              <w:rPr>
                <w:rFonts w:cs="Arial"/>
                <w:color w:val="FFFFFF"/>
                <w:sz w:val="18"/>
                <w:szCs w:val="18"/>
              </w:rPr>
              <w:t xml:space="preserve">Antimicrobial </w:t>
            </w:r>
            <w:r>
              <w:rPr>
                <w:rFonts w:cs="Arial"/>
                <w:color w:val="FFFFFF"/>
                <w:sz w:val="18"/>
                <w:szCs w:val="18"/>
              </w:rPr>
              <w:t>p</w:t>
            </w:r>
            <w:r w:rsidRPr="00107CF4">
              <w:rPr>
                <w:rFonts w:cs="Arial"/>
                <w:color w:val="FFFFFF"/>
                <w:sz w:val="18"/>
                <w:szCs w:val="18"/>
              </w:rPr>
              <w:t>rescriptions</w:t>
            </w:r>
          </w:p>
        </w:tc>
        <w:tc>
          <w:tcPr>
            <w:tcW w:w="1173" w:type="dxa"/>
            <w:vMerge w:val="restart"/>
            <w:tcBorders>
              <w:top w:val="nil"/>
              <w:left w:val="nil"/>
              <w:bottom w:val="nil"/>
              <w:right w:val="nil"/>
            </w:tcBorders>
            <w:shd w:val="clear" w:color="000000" w:fill="007D75"/>
            <w:vAlign w:val="center"/>
            <w:hideMark/>
          </w:tcPr>
          <w:p w14:paraId="035AEDBF" w14:textId="77777777" w:rsidR="00572F25" w:rsidRPr="00107CF4" w:rsidRDefault="00572F25" w:rsidP="00140544">
            <w:pPr>
              <w:spacing w:after="0"/>
              <w:jc w:val="center"/>
              <w:rPr>
                <w:rFonts w:cs="Arial"/>
                <w:color w:val="FFFFFF"/>
                <w:sz w:val="18"/>
                <w:szCs w:val="18"/>
              </w:rPr>
            </w:pPr>
            <w:r w:rsidRPr="00107CF4">
              <w:rPr>
                <w:rFonts w:cs="Arial"/>
                <w:color w:val="FFFFFF"/>
                <w:sz w:val="18"/>
                <w:szCs w:val="18"/>
              </w:rPr>
              <w:t>Duration range</w:t>
            </w:r>
          </w:p>
        </w:tc>
        <w:tc>
          <w:tcPr>
            <w:tcW w:w="1173" w:type="dxa"/>
            <w:vMerge w:val="restart"/>
            <w:tcBorders>
              <w:top w:val="nil"/>
              <w:left w:val="nil"/>
              <w:bottom w:val="nil"/>
              <w:right w:val="nil"/>
            </w:tcBorders>
            <w:shd w:val="clear" w:color="000000" w:fill="007D75"/>
            <w:vAlign w:val="center"/>
            <w:hideMark/>
          </w:tcPr>
          <w:p w14:paraId="525F620C" w14:textId="77777777" w:rsidR="00572F25" w:rsidRPr="00107CF4" w:rsidRDefault="00572F25" w:rsidP="00140544">
            <w:pPr>
              <w:spacing w:after="0"/>
              <w:jc w:val="center"/>
              <w:rPr>
                <w:rFonts w:cs="Arial"/>
                <w:color w:val="FFFFFF"/>
                <w:sz w:val="18"/>
                <w:szCs w:val="18"/>
              </w:rPr>
            </w:pPr>
            <w:r w:rsidRPr="00107CF4">
              <w:rPr>
                <w:rFonts w:cs="Arial"/>
                <w:color w:val="FFFFFF"/>
                <w:sz w:val="18"/>
                <w:szCs w:val="18"/>
              </w:rPr>
              <w:t>Duration median</w:t>
            </w:r>
          </w:p>
        </w:tc>
        <w:tc>
          <w:tcPr>
            <w:tcW w:w="1674" w:type="dxa"/>
            <w:gridSpan w:val="2"/>
            <w:tcBorders>
              <w:top w:val="nil"/>
              <w:left w:val="nil"/>
              <w:bottom w:val="nil"/>
              <w:right w:val="nil"/>
            </w:tcBorders>
            <w:shd w:val="clear" w:color="000000" w:fill="007D75"/>
            <w:vAlign w:val="center"/>
            <w:hideMark/>
          </w:tcPr>
          <w:p w14:paraId="30413FE6" w14:textId="77777777" w:rsidR="00572F25" w:rsidRPr="00107CF4" w:rsidRDefault="00572F25" w:rsidP="00140544">
            <w:pPr>
              <w:spacing w:after="0"/>
              <w:jc w:val="center"/>
              <w:rPr>
                <w:rFonts w:cs="Arial"/>
                <w:color w:val="FFFFFF"/>
                <w:sz w:val="18"/>
                <w:szCs w:val="18"/>
              </w:rPr>
            </w:pPr>
            <w:r w:rsidRPr="00107CF4">
              <w:rPr>
                <w:rFonts w:cs="Arial"/>
                <w:color w:val="FFFFFF"/>
                <w:sz w:val="18"/>
                <w:szCs w:val="18"/>
              </w:rPr>
              <w:t>Duration</w:t>
            </w:r>
          </w:p>
        </w:tc>
        <w:tc>
          <w:tcPr>
            <w:tcW w:w="1675" w:type="dxa"/>
            <w:gridSpan w:val="2"/>
            <w:tcBorders>
              <w:top w:val="nil"/>
              <w:left w:val="nil"/>
              <w:bottom w:val="nil"/>
              <w:right w:val="nil"/>
            </w:tcBorders>
            <w:shd w:val="clear" w:color="000000" w:fill="007D75"/>
            <w:vAlign w:val="center"/>
            <w:hideMark/>
          </w:tcPr>
          <w:p w14:paraId="523D36B7" w14:textId="77777777" w:rsidR="00572F25" w:rsidRPr="00107CF4" w:rsidRDefault="00572F25" w:rsidP="00140544">
            <w:pPr>
              <w:spacing w:after="0"/>
              <w:jc w:val="center"/>
              <w:rPr>
                <w:rFonts w:cs="Arial"/>
                <w:color w:val="FFFFFF"/>
                <w:sz w:val="18"/>
                <w:szCs w:val="18"/>
              </w:rPr>
            </w:pPr>
            <w:r w:rsidRPr="00107CF4">
              <w:rPr>
                <w:rFonts w:cs="Arial"/>
                <w:color w:val="FFFFFF"/>
                <w:sz w:val="18"/>
                <w:szCs w:val="18"/>
              </w:rPr>
              <w:t>Duration</w:t>
            </w:r>
          </w:p>
        </w:tc>
      </w:tr>
      <w:tr w:rsidR="00572F25" w:rsidRPr="00107CF4" w14:paraId="24A1D1CC" w14:textId="77777777" w:rsidTr="00140544">
        <w:trPr>
          <w:trHeight w:val="352"/>
        </w:trPr>
        <w:tc>
          <w:tcPr>
            <w:tcW w:w="2374" w:type="dxa"/>
            <w:vMerge/>
            <w:tcBorders>
              <w:top w:val="nil"/>
              <w:left w:val="nil"/>
              <w:bottom w:val="nil"/>
              <w:right w:val="nil"/>
            </w:tcBorders>
            <w:vAlign w:val="center"/>
            <w:hideMark/>
          </w:tcPr>
          <w:p w14:paraId="027313CA" w14:textId="77777777" w:rsidR="00572F25" w:rsidRPr="00107CF4" w:rsidRDefault="00572F25" w:rsidP="00140544">
            <w:pPr>
              <w:spacing w:after="0"/>
              <w:rPr>
                <w:rFonts w:cs="Arial"/>
                <w:color w:val="FFFFFF"/>
                <w:sz w:val="18"/>
                <w:szCs w:val="18"/>
              </w:rPr>
            </w:pPr>
          </w:p>
        </w:tc>
        <w:tc>
          <w:tcPr>
            <w:tcW w:w="1423" w:type="dxa"/>
            <w:vMerge/>
            <w:tcBorders>
              <w:left w:val="nil"/>
              <w:bottom w:val="nil"/>
              <w:right w:val="nil"/>
            </w:tcBorders>
            <w:shd w:val="clear" w:color="000000" w:fill="007D75"/>
            <w:noWrap/>
            <w:vAlign w:val="center"/>
            <w:hideMark/>
          </w:tcPr>
          <w:p w14:paraId="13CADFDD" w14:textId="77777777" w:rsidR="00572F25" w:rsidRPr="00107CF4" w:rsidRDefault="00572F25" w:rsidP="00140544">
            <w:pPr>
              <w:spacing w:after="0"/>
              <w:jc w:val="center"/>
              <w:rPr>
                <w:rFonts w:cs="Arial"/>
                <w:color w:val="FFFFFF"/>
                <w:sz w:val="18"/>
                <w:szCs w:val="18"/>
              </w:rPr>
            </w:pPr>
          </w:p>
        </w:tc>
        <w:tc>
          <w:tcPr>
            <w:tcW w:w="1173" w:type="dxa"/>
            <w:vMerge/>
            <w:tcBorders>
              <w:top w:val="nil"/>
              <w:left w:val="nil"/>
              <w:bottom w:val="nil"/>
              <w:right w:val="nil"/>
            </w:tcBorders>
            <w:vAlign w:val="center"/>
            <w:hideMark/>
          </w:tcPr>
          <w:p w14:paraId="68FACC98" w14:textId="77777777" w:rsidR="00572F25" w:rsidRPr="00107CF4" w:rsidRDefault="00572F25" w:rsidP="00140544">
            <w:pPr>
              <w:spacing w:after="0"/>
              <w:rPr>
                <w:rFonts w:cs="Arial"/>
                <w:color w:val="FFFFFF"/>
                <w:sz w:val="18"/>
                <w:szCs w:val="18"/>
              </w:rPr>
            </w:pPr>
          </w:p>
        </w:tc>
        <w:tc>
          <w:tcPr>
            <w:tcW w:w="1173" w:type="dxa"/>
            <w:vMerge/>
            <w:tcBorders>
              <w:top w:val="nil"/>
              <w:left w:val="nil"/>
              <w:bottom w:val="nil"/>
              <w:right w:val="nil"/>
            </w:tcBorders>
            <w:vAlign w:val="center"/>
            <w:hideMark/>
          </w:tcPr>
          <w:p w14:paraId="7887D39C" w14:textId="77777777" w:rsidR="00572F25" w:rsidRPr="00107CF4" w:rsidRDefault="00572F25" w:rsidP="00140544">
            <w:pPr>
              <w:spacing w:after="0"/>
              <w:rPr>
                <w:rFonts w:cs="Arial"/>
                <w:color w:val="FFFFFF"/>
                <w:sz w:val="18"/>
                <w:szCs w:val="18"/>
              </w:rPr>
            </w:pPr>
          </w:p>
        </w:tc>
        <w:tc>
          <w:tcPr>
            <w:tcW w:w="1674" w:type="dxa"/>
            <w:gridSpan w:val="2"/>
            <w:tcBorders>
              <w:top w:val="nil"/>
              <w:left w:val="nil"/>
              <w:bottom w:val="nil"/>
              <w:right w:val="nil"/>
            </w:tcBorders>
            <w:shd w:val="clear" w:color="000000" w:fill="007D75"/>
            <w:vAlign w:val="center"/>
            <w:hideMark/>
          </w:tcPr>
          <w:p w14:paraId="0DCDF333" w14:textId="77777777" w:rsidR="00572F25" w:rsidRPr="00107CF4" w:rsidRDefault="00572F25" w:rsidP="00140544">
            <w:pPr>
              <w:spacing w:after="0"/>
              <w:jc w:val="center"/>
              <w:rPr>
                <w:rFonts w:cs="Arial"/>
                <w:color w:val="FFFFFF"/>
                <w:sz w:val="18"/>
                <w:szCs w:val="18"/>
              </w:rPr>
            </w:pPr>
            <w:r w:rsidRPr="00107CF4">
              <w:rPr>
                <w:rFonts w:cs="Arial"/>
                <w:color w:val="FFFFFF"/>
                <w:sz w:val="18"/>
                <w:szCs w:val="18"/>
              </w:rPr>
              <w:t>&gt;24 hours</w:t>
            </w:r>
          </w:p>
        </w:tc>
        <w:tc>
          <w:tcPr>
            <w:tcW w:w="1675" w:type="dxa"/>
            <w:gridSpan w:val="2"/>
            <w:tcBorders>
              <w:top w:val="nil"/>
              <w:left w:val="nil"/>
              <w:bottom w:val="nil"/>
              <w:right w:val="nil"/>
            </w:tcBorders>
            <w:shd w:val="clear" w:color="000000" w:fill="007D75"/>
            <w:vAlign w:val="center"/>
            <w:hideMark/>
          </w:tcPr>
          <w:p w14:paraId="30F791D1" w14:textId="77777777" w:rsidR="00572F25" w:rsidRPr="00107CF4" w:rsidRDefault="00572F25" w:rsidP="00140544">
            <w:pPr>
              <w:spacing w:after="0"/>
              <w:jc w:val="center"/>
              <w:rPr>
                <w:rFonts w:cs="Arial"/>
                <w:color w:val="FFFFFF"/>
                <w:sz w:val="18"/>
                <w:szCs w:val="18"/>
              </w:rPr>
            </w:pPr>
            <w:r w:rsidRPr="00107CF4">
              <w:rPr>
                <w:rFonts w:cs="Arial"/>
                <w:color w:val="FFFFFF"/>
                <w:sz w:val="18"/>
                <w:szCs w:val="18"/>
              </w:rPr>
              <w:t>&gt;48 hours</w:t>
            </w:r>
          </w:p>
        </w:tc>
      </w:tr>
      <w:tr w:rsidR="00572F25" w:rsidRPr="00107CF4" w14:paraId="4E699FA3" w14:textId="77777777" w:rsidTr="00140544">
        <w:trPr>
          <w:trHeight w:val="352"/>
        </w:trPr>
        <w:tc>
          <w:tcPr>
            <w:tcW w:w="2374" w:type="dxa"/>
            <w:vMerge/>
            <w:tcBorders>
              <w:top w:val="nil"/>
              <w:left w:val="nil"/>
              <w:bottom w:val="nil"/>
              <w:right w:val="nil"/>
            </w:tcBorders>
            <w:vAlign w:val="center"/>
            <w:hideMark/>
          </w:tcPr>
          <w:p w14:paraId="6EFA54E6" w14:textId="77777777" w:rsidR="00572F25" w:rsidRPr="00107CF4" w:rsidRDefault="00572F25" w:rsidP="00140544">
            <w:pPr>
              <w:spacing w:after="0"/>
              <w:rPr>
                <w:rFonts w:cs="Arial"/>
                <w:color w:val="FFFFFF"/>
                <w:sz w:val="18"/>
                <w:szCs w:val="18"/>
              </w:rPr>
            </w:pPr>
          </w:p>
        </w:tc>
        <w:tc>
          <w:tcPr>
            <w:tcW w:w="1423" w:type="dxa"/>
            <w:tcBorders>
              <w:top w:val="nil"/>
              <w:left w:val="nil"/>
              <w:bottom w:val="nil"/>
              <w:right w:val="nil"/>
            </w:tcBorders>
            <w:shd w:val="clear" w:color="000000" w:fill="007D75"/>
            <w:noWrap/>
            <w:vAlign w:val="center"/>
            <w:hideMark/>
          </w:tcPr>
          <w:p w14:paraId="1497FAF0" w14:textId="77777777" w:rsidR="00572F25" w:rsidRPr="00107CF4" w:rsidRDefault="00572F25" w:rsidP="00140544">
            <w:pPr>
              <w:spacing w:after="0"/>
              <w:jc w:val="center"/>
              <w:rPr>
                <w:rFonts w:cs="Arial"/>
                <w:color w:val="FFFFFF"/>
                <w:sz w:val="18"/>
                <w:szCs w:val="18"/>
              </w:rPr>
            </w:pPr>
            <w:r w:rsidRPr="00107CF4">
              <w:rPr>
                <w:rFonts w:cs="Arial"/>
                <w:color w:val="FFFFFF"/>
                <w:sz w:val="18"/>
                <w:szCs w:val="18"/>
              </w:rPr>
              <w:t>(n)</w:t>
            </w:r>
          </w:p>
        </w:tc>
        <w:tc>
          <w:tcPr>
            <w:tcW w:w="1173" w:type="dxa"/>
            <w:tcBorders>
              <w:top w:val="nil"/>
              <w:left w:val="nil"/>
              <w:bottom w:val="nil"/>
              <w:right w:val="nil"/>
            </w:tcBorders>
            <w:shd w:val="clear" w:color="000000" w:fill="007D75"/>
            <w:vAlign w:val="center"/>
            <w:hideMark/>
          </w:tcPr>
          <w:p w14:paraId="25827493" w14:textId="77777777" w:rsidR="00572F25" w:rsidRPr="00107CF4" w:rsidRDefault="00572F25" w:rsidP="00140544">
            <w:pPr>
              <w:spacing w:after="0"/>
              <w:jc w:val="center"/>
              <w:rPr>
                <w:rFonts w:cs="Arial"/>
                <w:color w:val="FFFFFF"/>
                <w:sz w:val="18"/>
                <w:szCs w:val="18"/>
              </w:rPr>
            </w:pPr>
            <w:r w:rsidRPr="00107CF4">
              <w:rPr>
                <w:rFonts w:cs="Arial"/>
                <w:color w:val="FFFFFF"/>
                <w:sz w:val="18"/>
                <w:szCs w:val="18"/>
              </w:rPr>
              <w:t>(days)</w:t>
            </w:r>
          </w:p>
        </w:tc>
        <w:tc>
          <w:tcPr>
            <w:tcW w:w="1173" w:type="dxa"/>
            <w:tcBorders>
              <w:top w:val="nil"/>
              <w:left w:val="nil"/>
              <w:bottom w:val="nil"/>
              <w:right w:val="nil"/>
            </w:tcBorders>
            <w:shd w:val="clear" w:color="000000" w:fill="007D75"/>
            <w:vAlign w:val="center"/>
            <w:hideMark/>
          </w:tcPr>
          <w:p w14:paraId="18BEE566" w14:textId="77777777" w:rsidR="00572F25" w:rsidRPr="00107CF4" w:rsidRDefault="00572F25" w:rsidP="00140544">
            <w:pPr>
              <w:spacing w:after="0"/>
              <w:jc w:val="center"/>
              <w:rPr>
                <w:rFonts w:cs="Arial"/>
                <w:color w:val="FFFFFF"/>
                <w:sz w:val="18"/>
                <w:szCs w:val="18"/>
              </w:rPr>
            </w:pPr>
            <w:r w:rsidRPr="00107CF4">
              <w:rPr>
                <w:rFonts w:cs="Arial"/>
                <w:color w:val="FFFFFF"/>
                <w:sz w:val="18"/>
                <w:szCs w:val="18"/>
              </w:rPr>
              <w:t>(days)</w:t>
            </w:r>
          </w:p>
        </w:tc>
        <w:tc>
          <w:tcPr>
            <w:tcW w:w="1674" w:type="dxa"/>
            <w:gridSpan w:val="2"/>
            <w:tcBorders>
              <w:top w:val="nil"/>
              <w:left w:val="nil"/>
              <w:bottom w:val="nil"/>
              <w:right w:val="nil"/>
            </w:tcBorders>
            <w:shd w:val="clear" w:color="000000" w:fill="007D75"/>
            <w:vAlign w:val="center"/>
            <w:hideMark/>
          </w:tcPr>
          <w:p w14:paraId="6E734428" w14:textId="77777777" w:rsidR="00572F25" w:rsidRPr="00107CF4" w:rsidRDefault="00572F25" w:rsidP="00140544">
            <w:pPr>
              <w:spacing w:after="0"/>
              <w:jc w:val="center"/>
              <w:rPr>
                <w:rFonts w:cs="Arial"/>
                <w:color w:val="FFFFFF"/>
                <w:sz w:val="18"/>
                <w:szCs w:val="18"/>
              </w:rPr>
            </w:pPr>
            <w:r w:rsidRPr="00107CF4">
              <w:rPr>
                <w:rFonts w:cs="Arial"/>
                <w:color w:val="FFFFFF"/>
                <w:sz w:val="18"/>
                <w:szCs w:val="18"/>
              </w:rPr>
              <w:t>(n) (%)</w:t>
            </w:r>
          </w:p>
        </w:tc>
        <w:tc>
          <w:tcPr>
            <w:tcW w:w="1675" w:type="dxa"/>
            <w:gridSpan w:val="2"/>
            <w:tcBorders>
              <w:top w:val="nil"/>
              <w:left w:val="nil"/>
              <w:bottom w:val="nil"/>
              <w:right w:val="nil"/>
            </w:tcBorders>
            <w:shd w:val="clear" w:color="000000" w:fill="007D75"/>
            <w:vAlign w:val="center"/>
            <w:hideMark/>
          </w:tcPr>
          <w:p w14:paraId="570AA505" w14:textId="77777777" w:rsidR="00572F25" w:rsidRPr="00107CF4" w:rsidRDefault="00572F25" w:rsidP="00140544">
            <w:pPr>
              <w:spacing w:after="0"/>
              <w:jc w:val="center"/>
              <w:rPr>
                <w:rFonts w:cs="Arial"/>
                <w:color w:val="FFFFFF"/>
                <w:sz w:val="18"/>
                <w:szCs w:val="18"/>
              </w:rPr>
            </w:pPr>
            <w:r w:rsidRPr="00107CF4">
              <w:rPr>
                <w:rFonts w:cs="Arial"/>
                <w:color w:val="FFFFFF"/>
                <w:sz w:val="18"/>
                <w:szCs w:val="18"/>
              </w:rPr>
              <w:t>(n) (%)</w:t>
            </w:r>
          </w:p>
        </w:tc>
      </w:tr>
      <w:tr w:rsidR="00572F25" w:rsidRPr="00107CF4" w14:paraId="359A6DD3" w14:textId="77777777" w:rsidTr="00140544">
        <w:trPr>
          <w:trHeight w:val="352"/>
        </w:trPr>
        <w:tc>
          <w:tcPr>
            <w:tcW w:w="2374" w:type="dxa"/>
            <w:tcBorders>
              <w:top w:val="nil"/>
              <w:left w:val="nil"/>
              <w:bottom w:val="nil"/>
              <w:right w:val="nil"/>
            </w:tcBorders>
            <w:shd w:val="clear" w:color="auto" w:fill="auto"/>
            <w:noWrap/>
            <w:vAlign w:val="center"/>
            <w:hideMark/>
          </w:tcPr>
          <w:p w14:paraId="451DFC7E" w14:textId="77777777" w:rsidR="00572F25" w:rsidRPr="00107CF4" w:rsidRDefault="00572F25" w:rsidP="00140544">
            <w:pPr>
              <w:spacing w:after="0"/>
              <w:rPr>
                <w:rFonts w:cs="Arial"/>
                <w:color w:val="000000"/>
                <w:sz w:val="18"/>
                <w:szCs w:val="18"/>
              </w:rPr>
            </w:pPr>
            <w:r w:rsidRPr="00107CF4">
              <w:rPr>
                <w:rFonts w:cs="Arial"/>
                <w:color w:val="000000"/>
                <w:sz w:val="18"/>
                <w:szCs w:val="18"/>
              </w:rPr>
              <w:t>Intravenous</w:t>
            </w:r>
          </w:p>
        </w:tc>
        <w:tc>
          <w:tcPr>
            <w:tcW w:w="1423" w:type="dxa"/>
            <w:tcBorders>
              <w:top w:val="nil"/>
              <w:left w:val="nil"/>
              <w:bottom w:val="nil"/>
              <w:right w:val="nil"/>
            </w:tcBorders>
            <w:shd w:val="clear" w:color="auto" w:fill="auto"/>
            <w:noWrap/>
            <w:vAlign w:val="center"/>
            <w:hideMark/>
          </w:tcPr>
          <w:p w14:paraId="2A6C442B" w14:textId="77777777" w:rsidR="00572F25" w:rsidRPr="00107CF4" w:rsidRDefault="00572F25" w:rsidP="00140544">
            <w:pPr>
              <w:spacing w:after="0"/>
              <w:jc w:val="center"/>
              <w:rPr>
                <w:rFonts w:cs="Arial"/>
                <w:color w:val="000000"/>
                <w:sz w:val="18"/>
                <w:szCs w:val="18"/>
              </w:rPr>
            </w:pPr>
            <w:r w:rsidRPr="00107CF4">
              <w:rPr>
                <w:rFonts w:cs="Arial"/>
                <w:color w:val="000000"/>
                <w:sz w:val="18"/>
                <w:szCs w:val="18"/>
              </w:rPr>
              <w:t>2,863</w:t>
            </w:r>
          </w:p>
        </w:tc>
        <w:tc>
          <w:tcPr>
            <w:tcW w:w="1173" w:type="dxa"/>
            <w:tcBorders>
              <w:top w:val="nil"/>
              <w:left w:val="nil"/>
              <w:bottom w:val="nil"/>
              <w:right w:val="nil"/>
            </w:tcBorders>
            <w:shd w:val="clear" w:color="auto" w:fill="auto"/>
            <w:vAlign w:val="center"/>
            <w:hideMark/>
          </w:tcPr>
          <w:p w14:paraId="167FE9A9" w14:textId="77777777" w:rsidR="00572F25" w:rsidRPr="00107CF4" w:rsidRDefault="00572F25" w:rsidP="00140544">
            <w:pPr>
              <w:spacing w:after="0"/>
              <w:jc w:val="center"/>
              <w:rPr>
                <w:rFonts w:cs="Arial"/>
                <w:color w:val="000000"/>
                <w:sz w:val="18"/>
                <w:szCs w:val="18"/>
              </w:rPr>
            </w:pPr>
            <w:r w:rsidRPr="00107CF4">
              <w:rPr>
                <w:rFonts w:cs="Arial"/>
                <w:color w:val="000000"/>
                <w:sz w:val="18"/>
                <w:szCs w:val="18"/>
              </w:rPr>
              <w:t>1</w:t>
            </w:r>
            <w:r>
              <w:rPr>
                <w:rFonts w:cs="Arial"/>
                <w:color w:val="000000"/>
                <w:sz w:val="18"/>
                <w:szCs w:val="18"/>
              </w:rPr>
              <w:t>–</w:t>
            </w:r>
            <w:r w:rsidRPr="00107CF4">
              <w:rPr>
                <w:rFonts w:cs="Arial"/>
                <w:color w:val="000000"/>
                <w:sz w:val="18"/>
                <w:szCs w:val="18"/>
              </w:rPr>
              <w:t>20</w:t>
            </w:r>
          </w:p>
        </w:tc>
        <w:tc>
          <w:tcPr>
            <w:tcW w:w="1173" w:type="dxa"/>
            <w:tcBorders>
              <w:top w:val="nil"/>
              <w:left w:val="nil"/>
              <w:bottom w:val="nil"/>
              <w:right w:val="nil"/>
            </w:tcBorders>
            <w:shd w:val="clear" w:color="auto" w:fill="auto"/>
            <w:noWrap/>
            <w:vAlign w:val="center"/>
            <w:hideMark/>
          </w:tcPr>
          <w:p w14:paraId="4433A92C" w14:textId="77777777" w:rsidR="00572F25" w:rsidRPr="00107CF4" w:rsidRDefault="00572F25" w:rsidP="00140544">
            <w:pPr>
              <w:spacing w:after="0"/>
              <w:jc w:val="center"/>
              <w:rPr>
                <w:rFonts w:cs="Arial"/>
                <w:color w:val="000000"/>
                <w:sz w:val="18"/>
                <w:szCs w:val="18"/>
              </w:rPr>
            </w:pPr>
            <w:r w:rsidRPr="00107CF4">
              <w:rPr>
                <w:rFonts w:cs="Arial"/>
                <w:color w:val="000000"/>
                <w:sz w:val="18"/>
                <w:szCs w:val="18"/>
              </w:rPr>
              <w:t>1</w:t>
            </w:r>
          </w:p>
        </w:tc>
        <w:tc>
          <w:tcPr>
            <w:tcW w:w="837" w:type="dxa"/>
            <w:tcBorders>
              <w:top w:val="nil"/>
              <w:left w:val="nil"/>
              <w:bottom w:val="nil"/>
              <w:right w:val="nil"/>
            </w:tcBorders>
            <w:shd w:val="clear" w:color="auto" w:fill="auto"/>
            <w:noWrap/>
            <w:vAlign w:val="center"/>
            <w:hideMark/>
          </w:tcPr>
          <w:p w14:paraId="0CEDE058" w14:textId="77777777" w:rsidR="00572F25" w:rsidRPr="00107CF4" w:rsidRDefault="00572F25" w:rsidP="00140544">
            <w:pPr>
              <w:spacing w:after="0"/>
              <w:jc w:val="right"/>
              <w:rPr>
                <w:rFonts w:cs="Arial"/>
                <w:color w:val="000000"/>
                <w:sz w:val="18"/>
                <w:szCs w:val="18"/>
              </w:rPr>
            </w:pPr>
            <w:r w:rsidRPr="00107CF4">
              <w:rPr>
                <w:rFonts w:cs="Arial"/>
                <w:color w:val="000000"/>
                <w:sz w:val="18"/>
                <w:szCs w:val="18"/>
              </w:rPr>
              <w:t>1,610</w:t>
            </w:r>
          </w:p>
        </w:tc>
        <w:tc>
          <w:tcPr>
            <w:tcW w:w="837" w:type="dxa"/>
            <w:tcBorders>
              <w:top w:val="nil"/>
              <w:left w:val="nil"/>
              <w:bottom w:val="nil"/>
              <w:right w:val="nil"/>
            </w:tcBorders>
            <w:shd w:val="clear" w:color="auto" w:fill="auto"/>
            <w:noWrap/>
            <w:vAlign w:val="center"/>
            <w:hideMark/>
          </w:tcPr>
          <w:p w14:paraId="1CC43DE7" w14:textId="77777777" w:rsidR="00572F25" w:rsidRPr="00107CF4" w:rsidRDefault="00572F25" w:rsidP="00140544">
            <w:pPr>
              <w:spacing w:after="0"/>
              <w:rPr>
                <w:rFonts w:cs="Arial"/>
                <w:color w:val="000000"/>
                <w:sz w:val="18"/>
                <w:szCs w:val="18"/>
              </w:rPr>
            </w:pPr>
            <w:r w:rsidRPr="00107CF4">
              <w:rPr>
                <w:rFonts w:cs="Arial"/>
                <w:color w:val="000000"/>
                <w:sz w:val="18"/>
                <w:szCs w:val="18"/>
              </w:rPr>
              <w:t>56.2</w:t>
            </w:r>
          </w:p>
        </w:tc>
        <w:tc>
          <w:tcPr>
            <w:tcW w:w="837" w:type="dxa"/>
            <w:tcBorders>
              <w:top w:val="nil"/>
              <w:left w:val="nil"/>
              <w:bottom w:val="nil"/>
              <w:right w:val="nil"/>
            </w:tcBorders>
            <w:shd w:val="clear" w:color="auto" w:fill="auto"/>
            <w:noWrap/>
            <w:vAlign w:val="center"/>
            <w:hideMark/>
          </w:tcPr>
          <w:p w14:paraId="2F8787A8" w14:textId="77777777" w:rsidR="00572F25" w:rsidRPr="00107CF4" w:rsidRDefault="00572F25" w:rsidP="00140544">
            <w:pPr>
              <w:spacing w:after="0"/>
              <w:jc w:val="right"/>
              <w:rPr>
                <w:rFonts w:cs="Arial"/>
                <w:color w:val="000000"/>
                <w:sz w:val="18"/>
                <w:szCs w:val="18"/>
              </w:rPr>
            </w:pPr>
            <w:r w:rsidRPr="00107CF4">
              <w:rPr>
                <w:rFonts w:cs="Arial"/>
                <w:color w:val="000000"/>
                <w:sz w:val="18"/>
                <w:szCs w:val="18"/>
              </w:rPr>
              <w:t>489</w:t>
            </w:r>
          </w:p>
        </w:tc>
        <w:tc>
          <w:tcPr>
            <w:tcW w:w="838" w:type="dxa"/>
            <w:tcBorders>
              <w:top w:val="nil"/>
              <w:left w:val="nil"/>
              <w:bottom w:val="nil"/>
              <w:right w:val="nil"/>
            </w:tcBorders>
            <w:shd w:val="clear" w:color="auto" w:fill="auto"/>
            <w:noWrap/>
            <w:vAlign w:val="center"/>
            <w:hideMark/>
          </w:tcPr>
          <w:p w14:paraId="7D6C0F78" w14:textId="77777777" w:rsidR="00572F25" w:rsidRPr="00107CF4" w:rsidRDefault="00572F25" w:rsidP="00140544">
            <w:pPr>
              <w:spacing w:after="0"/>
              <w:rPr>
                <w:rFonts w:cs="Arial"/>
                <w:color w:val="000000"/>
                <w:sz w:val="18"/>
                <w:szCs w:val="18"/>
              </w:rPr>
            </w:pPr>
            <w:r w:rsidRPr="00107CF4">
              <w:rPr>
                <w:rFonts w:cs="Arial"/>
                <w:color w:val="000000"/>
                <w:sz w:val="18"/>
                <w:szCs w:val="18"/>
              </w:rPr>
              <w:t>17.1</w:t>
            </w:r>
          </w:p>
        </w:tc>
      </w:tr>
      <w:tr w:rsidR="00572F25" w:rsidRPr="00107CF4" w14:paraId="088E7A34" w14:textId="77777777" w:rsidTr="00140544">
        <w:trPr>
          <w:trHeight w:val="352"/>
        </w:trPr>
        <w:tc>
          <w:tcPr>
            <w:tcW w:w="2374" w:type="dxa"/>
            <w:tcBorders>
              <w:top w:val="nil"/>
              <w:left w:val="nil"/>
              <w:bottom w:val="nil"/>
              <w:right w:val="nil"/>
            </w:tcBorders>
            <w:shd w:val="clear" w:color="000000" w:fill="F1F1F2"/>
            <w:noWrap/>
            <w:vAlign w:val="center"/>
            <w:hideMark/>
          </w:tcPr>
          <w:p w14:paraId="0073FB9E" w14:textId="77777777" w:rsidR="00572F25" w:rsidRPr="00107CF4" w:rsidRDefault="00572F25" w:rsidP="00140544">
            <w:pPr>
              <w:spacing w:after="0"/>
              <w:rPr>
                <w:rFonts w:cs="Arial"/>
                <w:color w:val="000000"/>
                <w:sz w:val="18"/>
                <w:szCs w:val="18"/>
              </w:rPr>
            </w:pPr>
            <w:r w:rsidRPr="00107CF4">
              <w:rPr>
                <w:rFonts w:cs="Arial"/>
                <w:color w:val="000000"/>
                <w:sz w:val="18"/>
                <w:szCs w:val="18"/>
              </w:rPr>
              <w:t>Oral/enteral</w:t>
            </w:r>
          </w:p>
        </w:tc>
        <w:tc>
          <w:tcPr>
            <w:tcW w:w="1423" w:type="dxa"/>
            <w:tcBorders>
              <w:top w:val="nil"/>
              <w:left w:val="nil"/>
              <w:bottom w:val="nil"/>
              <w:right w:val="nil"/>
            </w:tcBorders>
            <w:shd w:val="clear" w:color="000000" w:fill="F1F1F2"/>
            <w:noWrap/>
            <w:vAlign w:val="center"/>
            <w:hideMark/>
          </w:tcPr>
          <w:p w14:paraId="7C888634" w14:textId="77777777" w:rsidR="00572F25" w:rsidRPr="00107CF4" w:rsidRDefault="00572F25" w:rsidP="00140544">
            <w:pPr>
              <w:spacing w:after="0"/>
              <w:jc w:val="center"/>
              <w:rPr>
                <w:rFonts w:cs="Arial"/>
                <w:color w:val="000000"/>
                <w:sz w:val="18"/>
                <w:szCs w:val="18"/>
              </w:rPr>
            </w:pPr>
            <w:r w:rsidRPr="00107CF4">
              <w:rPr>
                <w:rFonts w:cs="Arial"/>
                <w:color w:val="000000"/>
                <w:sz w:val="18"/>
                <w:szCs w:val="18"/>
              </w:rPr>
              <w:t>953</w:t>
            </w:r>
          </w:p>
        </w:tc>
        <w:tc>
          <w:tcPr>
            <w:tcW w:w="1173" w:type="dxa"/>
            <w:tcBorders>
              <w:top w:val="nil"/>
              <w:left w:val="nil"/>
              <w:bottom w:val="nil"/>
              <w:right w:val="nil"/>
            </w:tcBorders>
            <w:shd w:val="clear" w:color="000000" w:fill="F1F1F2"/>
            <w:vAlign w:val="center"/>
            <w:hideMark/>
          </w:tcPr>
          <w:p w14:paraId="1C9186BC" w14:textId="77777777" w:rsidR="00572F25" w:rsidRPr="00107CF4" w:rsidRDefault="00572F25" w:rsidP="00140544">
            <w:pPr>
              <w:spacing w:after="0"/>
              <w:jc w:val="center"/>
              <w:rPr>
                <w:rFonts w:cs="Arial"/>
                <w:color w:val="000000"/>
                <w:sz w:val="18"/>
                <w:szCs w:val="18"/>
              </w:rPr>
            </w:pPr>
            <w:r w:rsidRPr="00107CF4">
              <w:rPr>
                <w:rFonts w:cs="Arial"/>
                <w:color w:val="000000"/>
                <w:sz w:val="18"/>
                <w:szCs w:val="18"/>
              </w:rPr>
              <w:t>1</w:t>
            </w:r>
            <w:r>
              <w:rPr>
                <w:rFonts w:cs="Arial"/>
                <w:color w:val="000000"/>
                <w:sz w:val="18"/>
                <w:szCs w:val="18"/>
              </w:rPr>
              <w:t>–</w:t>
            </w:r>
            <w:r w:rsidRPr="00107CF4">
              <w:rPr>
                <w:rFonts w:cs="Arial"/>
                <w:color w:val="000000"/>
                <w:sz w:val="18"/>
                <w:szCs w:val="18"/>
              </w:rPr>
              <w:t>30</w:t>
            </w:r>
          </w:p>
        </w:tc>
        <w:tc>
          <w:tcPr>
            <w:tcW w:w="1173" w:type="dxa"/>
            <w:tcBorders>
              <w:top w:val="nil"/>
              <w:left w:val="nil"/>
              <w:bottom w:val="nil"/>
              <w:right w:val="nil"/>
            </w:tcBorders>
            <w:shd w:val="clear" w:color="000000" w:fill="F1F1F2"/>
            <w:noWrap/>
            <w:vAlign w:val="center"/>
            <w:hideMark/>
          </w:tcPr>
          <w:p w14:paraId="15EA9378" w14:textId="77777777" w:rsidR="00572F25" w:rsidRPr="00107CF4" w:rsidRDefault="00572F25" w:rsidP="00140544">
            <w:pPr>
              <w:spacing w:after="0"/>
              <w:jc w:val="center"/>
              <w:rPr>
                <w:rFonts w:cs="Arial"/>
                <w:color w:val="000000"/>
                <w:sz w:val="18"/>
                <w:szCs w:val="18"/>
              </w:rPr>
            </w:pPr>
            <w:r w:rsidRPr="00107CF4">
              <w:rPr>
                <w:rFonts w:cs="Arial"/>
                <w:color w:val="000000"/>
                <w:sz w:val="18"/>
                <w:szCs w:val="18"/>
              </w:rPr>
              <w:t>5</w:t>
            </w:r>
          </w:p>
        </w:tc>
        <w:tc>
          <w:tcPr>
            <w:tcW w:w="837" w:type="dxa"/>
            <w:tcBorders>
              <w:top w:val="nil"/>
              <w:left w:val="nil"/>
              <w:bottom w:val="nil"/>
              <w:right w:val="nil"/>
            </w:tcBorders>
            <w:shd w:val="clear" w:color="000000" w:fill="F1F1F2"/>
            <w:noWrap/>
            <w:vAlign w:val="center"/>
            <w:hideMark/>
          </w:tcPr>
          <w:p w14:paraId="63282CC5" w14:textId="77777777" w:rsidR="00572F25" w:rsidRPr="00107CF4" w:rsidRDefault="00572F25" w:rsidP="00140544">
            <w:pPr>
              <w:spacing w:after="0"/>
              <w:jc w:val="right"/>
              <w:rPr>
                <w:rFonts w:cs="Arial"/>
                <w:color w:val="000000"/>
                <w:sz w:val="18"/>
                <w:szCs w:val="18"/>
              </w:rPr>
            </w:pPr>
            <w:r w:rsidRPr="00107CF4">
              <w:rPr>
                <w:rFonts w:cs="Arial"/>
                <w:color w:val="000000"/>
                <w:sz w:val="18"/>
                <w:szCs w:val="18"/>
              </w:rPr>
              <w:t>916</w:t>
            </w:r>
          </w:p>
        </w:tc>
        <w:tc>
          <w:tcPr>
            <w:tcW w:w="837" w:type="dxa"/>
            <w:tcBorders>
              <w:top w:val="nil"/>
              <w:left w:val="nil"/>
              <w:bottom w:val="nil"/>
              <w:right w:val="nil"/>
            </w:tcBorders>
            <w:shd w:val="clear" w:color="000000" w:fill="EDEDED"/>
            <w:noWrap/>
            <w:vAlign w:val="center"/>
            <w:hideMark/>
          </w:tcPr>
          <w:p w14:paraId="174A7B07" w14:textId="77777777" w:rsidR="00572F25" w:rsidRPr="00107CF4" w:rsidRDefault="00572F25" w:rsidP="00140544">
            <w:pPr>
              <w:spacing w:after="0"/>
              <w:rPr>
                <w:rFonts w:cs="Arial"/>
                <w:color w:val="000000"/>
                <w:sz w:val="18"/>
                <w:szCs w:val="18"/>
              </w:rPr>
            </w:pPr>
            <w:r w:rsidRPr="00107CF4">
              <w:rPr>
                <w:rFonts w:cs="Arial"/>
                <w:color w:val="000000"/>
                <w:sz w:val="18"/>
                <w:szCs w:val="18"/>
              </w:rPr>
              <w:t>96.1</w:t>
            </w:r>
          </w:p>
        </w:tc>
        <w:tc>
          <w:tcPr>
            <w:tcW w:w="837" w:type="dxa"/>
            <w:tcBorders>
              <w:top w:val="nil"/>
              <w:left w:val="nil"/>
              <w:bottom w:val="nil"/>
              <w:right w:val="nil"/>
            </w:tcBorders>
            <w:shd w:val="clear" w:color="000000" w:fill="F1F1F2"/>
            <w:noWrap/>
            <w:vAlign w:val="center"/>
            <w:hideMark/>
          </w:tcPr>
          <w:p w14:paraId="1F5E7FE1" w14:textId="77777777" w:rsidR="00572F25" w:rsidRPr="00107CF4" w:rsidRDefault="00572F25" w:rsidP="00140544">
            <w:pPr>
              <w:spacing w:after="0"/>
              <w:jc w:val="right"/>
              <w:rPr>
                <w:rFonts w:cs="Arial"/>
                <w:color w:val="000000"/>
                <w:sz w:val="18"/>
                <w:szCs w:val="18"/>
              </w:rPr>
            </w:pPr>
            <w:r w:rsidRPr="00107CF4">
              <w:rPr>
                <w:rFonts w:cs="Arial"/>
                <w:color w:val="000000"/>
                <w:sz w:val="18"/>
                <w:szCs w:val="18"/>
              </w:rPr>
              <w:t>882</w:t>
            </w:r>
          </w:p>
        </w:tc>
        <w:tc>
          <w:tcPr>
            <w:tcW w:w="838" w:type="dxa"/>
            <w:tcBorders>
              <w:top w:val="nil"/>
              <w:left w:val="nil"/>
              <w:bottom w:val="nil"/>
              <w:right w:val="nil"/>
            </w:tcBorders>
            <w:shd w:val="clear" w:color="000000" w:fill="EDEDED"/>
            <w:noWrap/>
            <w:vAlign w:val="center"/>
            <w:hideMark/>
          </w:tcPr>
          <w:p w14:paraId="075CA765" w14:textId="77777777" w:rsidR="00572F25" w:rsidRPr="00107CF4" w:rsidRDefault="00572F25" w:rsidP="00140544">
            <w:pPr>
              <w:spacing w:after="0"/>
              <w:rPr>
                <w:rFonts w:cs="Arial"/>
                <w:color w:val="000000"/>
                <w:sz w:val="18"/>
                <w:szCs w:val="18"/>
              </w:rPr>
            </w:pPr>
            <w:r w:rsidRPr="00107CF4">
              <w:rPr>
                <w:rFonts w:cs="Arial"/>
                <w:color w:val="000000"/>
                <w:sz w:val="18"/>
                <w:szCs w:val="18"/>
              </w:rPr>
              <w:t>92.5</w:t>
            </w:r>
          </w:p>
        </w:tc>
      </w:tr>
      <w:tr w:rsidR="00572F25" w:rsidRPr="00107CF4" w14:paraId="71A78654" w14:textId="77777777" w:rsidTr="00140544">
        <w:trPr>
          <w:trHeight w:val="352"/>
        </w:trPr>
        <w:tc>
          <w:tcPr>
            <w:tcW w:w="2374" w:type="dxa"/>
            <w:tcBorders>
              <w:top w:val="nil"/>
              <w:left w:val="nil"/>
              <w:bottom w:val="nil"/>
              <w:right w:val="nil"/>
            </w:tcBorders>
            <w:shd w:val="clear" w:color="auto" w:fill="auto"/>
            <w:noWrap/>
            <w:vAlign w:val="center"/>
            <w:hideMark/>
          </w:tcPr>
          <w:p w14:paraId="5CF2CC52" w14:textId="77777777" w:rsidR="00572F25" w:rsidRPr="00107CF4" w:rsidRDefault="00572F25" w:rsidP="00140544">
            <w:pPr>
              <w:spacing w:after="0"/>
              <w:rPr>
                <w:rFonts w:cs="Arial"/>
                <w:color w:val="000000"/>
                <w:sz w:val="18"/>
                <w:szCs w:val="18"/>
              </w:rPr>
            </w:pPr>
            <w:r w:rsidRPr="00107CF4">
              <w:rPr>
                <w:rFonts w:cs="Arial"/>
                <w:color w:val="000000"/>
                <w:sz w:val="18"/>
                <w:szCs w:val="18"/>
              </w:rPr>
              <w:t>Topical</w:t>
            </w:r>
          </w:p>
        </w:tc>
        <w:tc>
          <w:tcPr>
            <w:tcW w:w="1423" w:type="dxa"/>
            <w:tcBorders>
              <w:top w:val="nil"/>
              <w:left w:val="nil"/>
              <w:bottom w:val="nil"/>
              <w:right w:val="nil"/>
            </w:tcBorders>
            <w:shd w:val="clear" w:color="auto" w:fill="auto"/>
            <w:noWrap/>
            <w:vAlign w:val="center"/>
            <w:hideMark/>
          </w:tcPr>
          <w:p w14:paraId="69953ECD" w14:textId="77777777" w:rsidR="00572F25" w:rsidRPr="00107CF4" w:rsidRDefault="00572F25" w:rsidP="00140544">
            <w:pPr>
              <w:spacing w:after="0"/>
              <w:jc w:val="center"/>
              <w:rPr>
                <w:rFonts w:cs="Arial"/>
                <w:color w:val="000000"/>
                <w:sz w:val="18"/>
                <w:szCs w:val="18"/>
              </w:rPr>
            </w:pPr>
            <w:r w:rsidRPr="00107CF4">
              <w:rPr>
                <w:rFonts w:cs="Arial"/>
                <w:color w:val="000000"/>
                <w:sz w:val="18"/>
                <w:szCs w:val="18"/>
              </w:rPr>
              <w:t>597</w:t>
            </w:r>
          </w:p>
        </w:tc>
        <w:tc>
          <w:tcPr>
            <w:tcW w:w="1173" w:type="dxa"/>
            <w:tcBorders>
              <w:top w:val="nil"/>
              <w:left w:val="nil"/>
              <w:bottom w:val="nil"/>
              <w:right w:val="nil"/>
            </w:tcBorders>
            <w:shd w:val="clear" w:color="auto" w:fill="auto"/>
            <w:vAlign w:val="center"/>
            <w:hideMark/>
          </w:tcPr>
          <w:p w14:paraId="1D973696" w14:textId="77777777" w:rsidR="00572F25" w:rsidRPr="00107CF4" w:rsidRDefault="00572F25" w:rsidP="00140544">
            <w:pPr>
              <w:spacing w:after="0"/>
              <w:jc w:val="center"/>
              <w:rPr>
                <w:rFonts w:cs="Arial"/>
                <w:color w:val="000000"/>
                <w:sz w:val="18"/>
                <w:szCs w:val="18"/>
              </w:rPr>
            </w:pPr>
            <w:r w:rsidRPr="00107CF4">
              <w:rPr>
                <w:rFonts w:cs="Arial"/>
                <w:color w:val="000000"/>
                <w:sz w:val="18"/>
                <w:szCs w:val="18"/>
              </w:rPr>
              <w:t>1</w:t>
            </w:r>
            <w:r>
              <w:rPr>
                <w:rFonts w:cs="Arial"/>
                <w:color w:val="000000"/>
                <w:sz w:val="18"/>
                <w:szCs w:val="18"/>
              </w:rPr>
              <w:t>–</w:t>
            </w:r>
            <w:r w:rsidRPr="00107CF4">
              <w:rPr>
                <w:rFonts w:cs="Arial"/>
                <w:color w:val="000000"/>
                <w:sz w:val="18"/>
                <w:szCs w:val="18"/>
              </w:rPr>
              <w:t>49</w:t>
            </w:r>
          </w:p>
        </w:tc>
        <w:tc>
          <w:tcPr>
            <w:tcW w:w="1173" w:type="dxa"/>
            <w:tcBorders>
              <w:top w:val="nil"/>
              <w:left w:val="nil"/>
              <w:bottom w:val="nil"/>
              <w:right w:val="nil"/>
            </w:tcBorders>
            <w:shd w:val="clear" w:color="auto" w:fill="auto"/>
            <w:noWrap/>
            <w:vAlign w:val="center"/>
            <w:hideMark/>
          </w:tcPr>
          <w:p w14:paraId="4D15D27C" w14:textId="77777777" w:rsidR="00572F25" w:rsidRPr="00107CF4" w:rsidRDefault="00572F25" w:rsidP="00140544">
            <w:pPr>
              <w:spacing w:after="0"/>
              <w:jc w:val="center"/>
              <w:rPr>
                <w:rFonts w:cs="Arial"/>
                <w:color w:val="000000"/>
                <w:sz w:val="18"/>
                <w:szCs w:val="18"/>
              </w:rPr>
            </w:pPr>
            <w:r w:rsidRPr="00107CF4">
              <w:rPr>
                <w:rFonts w:cs="Arial"/>
                <w:color w:val="000000"/>
                <w:sz w:val="18"/>
                <w:szCs w:val="18"/>
              </w:rPr>
              <w:t>6</w:t>
            </w:r>
          </w:p>
        </w:tc>
        <w:tc>
          <w:tcPr>
            <w:tcW w:w="837" w:type="dxa"/>
            <w:tcBorders>
              <w:top w:val="nil"/>
              <w:left w:val="nil"/>
              <w:bottom w:val="nil"/>
              <w:right w:val="nil"/>
            </w:tcBorders>
            <w:shd w:val="clear" w:color="auto" w:fill="auto"/>
            <w:noWrap/>
            <w:vAlign w:val="center"/>
            <w:hideMark/>
          </w:tcPr>
          <w:p w14:paraId="5938CF83" w14:textId="77777777" w:rsidR="00572F25" w:rsidRPr="00107CF4" w:rsidRDefault="00572F25" w:rsidP="00140544">
            <w:pPr>
              <w:spacing w:after="0"/>
              <w:jc w:val="right"/>
              <w:rPr>
                <w:rFonts w:cs="Arial"/>
                <w:color w:val="000000"/>
                <w:sz w:val="18"/>
                <w:szCs w:val="18"/>
              </w:rPr>
            </w:pPr>
            <w:r w:rsidRPr="00107CF4">
              <w:rPr>
                <w:rFonts w:cs="Arial"/>
                <w:color w:val="000000"/>
                <w:sz w:val="18"/>
                <w:szCs w:val="18"/>
              </w:rPr>
              <w:t>579</w:t>
            </w:r>
          </w:p>
        </w:tc>
        <w:tc>
          <w:tcPr>
            <w:tcW w:w="837" w:type="dxa"/>
            <w:tcBorders>
              <w:top w:val="nil"/>
              <w:left w:val="nil"/>
              <w:bottom w:val="nil"/>
              <w:right w:val="nil"/>
            </w:tcBorders>
            <w:shd w:val="clear" w:color="auto" w:fill="auto"/>
            <w:noWrap/>
            <w:vAlign w:val="center"/>
            <w:hideMark/>
          </w:tcPr>
          <w:p w14:paraId="737DC714" w14:textId="77777777" w:rsidR="00572F25" w:rsidRPr="00107CF4" w:rsidRDefault="00572F25" w:rsidP="00140544">
            <w:pPr>
              <w:spacing w:after="0"/>
              <w:rPr>
                <w:rFonts w:cs="Arial"/>
                <w:color w:val="000000"/>
                <w:sz w:val="18"/>
                <w:szCs w:val="18"/>
              </w:rPr>
            </w:pPr>
            <w:r w:rsidRPr="00107CF4">
              <w:rPr>
                <w:rFonts w:cs="Arial"/>
                <w:color w:val="000000"/>
                <w:sz w:val="18"/>
                <w:szCs w:val="18"/>
              </w:rPr>
              <w:t>56.2</w:t>
            </w:r>
          </w:p>
        </w:tc>
        <w:tc>
          <w:tcPr>
            <w:tcW w:w="837" w:type="dxa"/>
            <w:tcBorders>
              <w:top w:val="nil"/>
              <w:left w:val="nil"/>
              <w:bottom w:val="nil"/>
              <w:right w:val="nil"/>
            </w:tcBorders>
            <w:shd w:val="clear" w:color="auto" w:fill="auto"/>
            <w:noWrap/>
            <w:vAlign w:val="center"/>
            <w:hideMark/>
          </w:tcPr>
          <w:p w14:paraId="3B4B3916" w14:textId="77777777" w:rsidR="00572F25" w:rsidRPr="00107CF4" w:rsidRDefault="00572F25" w:rsidP="00140544">
            <w:pPr>
              <w:spacing w:after="0"/>
              <w:jc w:val="right"/>
              <w:rPr>
                <w:rFonts w:cs="Arial"/>
                <w:color w:val="000000"/>
                <w:sz w:val="18"/>
                <w:szCs w:val="18"/>
              </w:rPr>
            </w:pPr>
            <w:r w:rsidRPr="00107CF4">
              <w:rPr>
                <w:rFonts w:cs="Arial"/>
                <w:color w:val="000000"/>
                <w:sz w:val="18"/>
                <w:szCs w:val="18"/>
              </w:rPr>
              <w:t>560</w:t>
            </w:r>
          </w:p>
        </w:tc>
        <w:tc>
          <w:tcPr>
            <w:tcW w:w="838" w:type="dxa"/>
            <w:tcBorders>
              <w:top w:val="nil"/>
              <w:left w:val="nil"/>
              <w:bottom w:val="nil"/>
              <w:right w:val="nil"/>
            </w:tcBorders>
            <w:shd w:val="clear" w:color="auto" w:fill="auto"/>
            <w:noWrap/>
            <w:vAlign w:val="center"/>
            <w:hideMark/>
          </w:tcPr>
          <w:p w14:paraId="4FD9CD58" w14:textId="77777777" w:rsidR="00572F25" w:rsidRPr="00107CF4" w:rsidRDefault="00572F25" w:rsidP="00140544">
            <w:pPr>
              <w:spacing w:after="0"/>
              <w:rPr>
                <w:rFonts w:cs="Arial"/>
                <w:color w:val="000000"/>
                <w:sz w:val="18"/>
                <w:szCs w:val="18"/>
              </w:rPr>
            </w:pPr>
            <w:r w:rsidRPr="00107CF4">
              <w:rPr>
                <w:rFonts w:cs="Arial"/>
                <w:color w:val="000000"/>
                <w:sz w:val="18"/>
                <w:szCs w:val="18"/>
              </w:rPr>
              <w:t>93.8</w:t>
            </w:r>
          </w:p>
        </w:tc>
      </w:tr>
      <w:tr w:rsidR="00572F25" w:rsidRPr="00107CF4" w14:paraId="54235317" w14:textId="77777777" w:rsidTr="00140544">
        <w:trPr>
          <w:trHeight w:val="352"/>
        </w:trPr>
        <w:tc>
          <w:tcPr>
            <w:tcW w:w="2374" w:type="dxa"/>
            <w:tcBorders>
              <w:top w:val="nil"/>
              <w:left w:val="nil"/>
              <w:bottom w:val="nil"/>
              <w:right w:val="nil"/>
            </w:tcBorders>
            <w:shd w:val="clear" w:color="000000" w:fill="F1F1F2"/>
            <w:noWrap/>
            <w:vAlign w:val="center"/>
            <w:hideMark/>
          </w:tcPr>
          <w:p w14:paraId="42D92ACB" w14:textId="77777777" w:rsidR="00572F25" w:rsidRPr="00107CF4" w:rsidRDefault="00572F25" w:rsidP="00140544">
            <w:pPr>
              <w:spacing w:after="0"/>
              <w:rPr>
                <w:rFonts w:cs="Arial"/>
                <w:color w:val="000000"/>
                <w:sz w:val="18"/>
                <w:szCs w:val="18"/>
              </w:rPr>
            </w:pPr>
            <w:r w:rsidRPr="00107CF4">
              <w:rPr>
                <w:rFonts w:cs="Arial"/>
                <w:color w:val="000000"/>
                <w:sz w:val="18"/>
                <w:szCs w:val="18"/>
              </w:rPr>
              <w:t>Ocular</w:t>
            </w:r>
          </w:p>
        </w:tc>
        <w:tc>
          <w:tcPr>
            <w:tcW w:w="1423" w:type="dxa"/>
            <w:tcBorders>
              <w:top w:val="nil"/>
              <w:left w:val="nil"/>
              <w:bottom w:val="nil"/>
              <w:right w:val="nil"/>
            </w:tcBorders>
            <w:shd w:val="clear" w:color="000000" w:fill="F1F1F2"/>
            <w:noWrap/>
            <w:vAlign w:val="center"/>
            <w:hideMark/>
          </w:tcPr>
          <w:p w14:paraId="204B8557" w14:textId="77777777" w:rsidR="00572F25" w:rsidRPr="00107CF4" w:rsidRDefault="00572F25" w:rsidP="00140544">
            <w:pPr>
              <w:spacing w:after="0"/>
              <w:jc w:val="center"/>
              <w:rPr>
                <w:rFonts w:cs="Arial"/>
                <w:color w:val="000000"/>
                <w:sz w:val="18"/>
                <w:szCs w:val="18"/>
              </w:rPr>
            </w:pPr>
            <w:r w:rsidRPr="00107CF4">
              <w:rPr>
                <w:rFonts w:cs="Arial"/>
                <w:color w:val="000000"/>
                <w:sz w:val="18"/>
                <w:szCs w:val="18"/>
              </w:rPr>
              <w:t>169</w:t>
            </w:r>
          </w:p>
        </w:tc>
        <w:tc>
          <w:tcPr>
            <w:tcW w:w="1173" w:type="dxa"/>
            <w:tcBorders>
              <w:top w:val="nil"/>
              <w:left w:val="nil"/>
              <w:bottom w:val="nil"/>
              <w:right w:val="nil"/>
            </w:tcBorders>
            <w:shd w:val="clear" w:color="000000" w:fill="F1F1F2"/>
            <w:vAlign w:val="center"/>
            <w:hideMark/>
          </w:tcPr>
          <w:p w14:paraId="0C471B0C" w14:textId="77777777" w:rsidR="00572F25" w:rsidRPr="00107CF4" w:rsidRDefault="00572F25" w:rsidP="00140544">
            <w:pPr>
              <w:spacing w:after="0"/>
              <w:jc w:val="center"/>
              <w:rPr>
                <w:rFonts w:cs="Arial"/>
                <w:color w:val="000000"/>
                <w:sz w:val="18"/>
                <w:szCs w:val="18"/>
              </w:rPr>
            </w:pPr>
            <w:r w:rsidRPr="00107CF4">
              <w:rPr>
                <w:rFonts w:cs="Arial"/>
                <w:color w:val="000000"/>
                <w:sz w:val="18"/>
                <w:szCs w:val="18"/>
              </w:rPr>
              <w:t>1</w:t>
            </w:r>
            <w:r>
              <w:rPr>
                <w:rFonts w:cs="Arial"/>
                <w:color w:val="000000"/>
                <w:sz w:val="18"/>
                <w:szCs w:val="18"/>
              </w:rPr>
              <w:t>–</w:t>
            </w:r>
            <w:r w:rsidRPr="00107CF4">
              <w:rPr>
                <w:rFonts w:cs="Arial"/>
                <w:color w:val="000000"/>
                <w:sz w:val="18"/>
                <w:szCs w:val="18"/>
              </w:rPr>
              <w:t>29</w:t>
            </w:r>
          </w:p>
        </w:tc>
        <w:tc>
          <w:tcPr>
            <w:tcW w:w="1173" w:type="dxa"/>
            <w:tcBorders>
              <w:top w:val="nil"/>
              <w:left w:val="nil"/>
              <w:bottom w:val="nil"/>
              <w:right w:val="nil"/>
            </w:tcBorders>
            <w:shd w:val="clear" w:color="000000" w:fill="F1F1F2"/>
            <w:noWrap/>
            <w:vAlign w:val="center"/>
            <w:hideMark/>
          </w:tcPr>
          <w:p w14:paraId="1EE556EE" w14:textId="77777777" w:rsidR="00572F25" w:rsidRPr="00107CF4" w:rsidRDefault="00572F25" w:rsidP="00140544">
            <w:pPr>
              <w:spacing w:after="0"/>
              <w:jc w:val="center"/>
              <w:rPr>
                <w:rFonts w:cs="Arial"/>
                <w:color w:val="000000"/>
                <w:sz w:val="18"/>
                <w:szCs w:val="18"/>
              </w:rPr>
            </w:pPr>
            <w:r w:rsidRPr="00107CF4">
              <w:rPr>
                <w:rFonts w:cs="Arial"/>
                <w:color w:val="000000"/>
                <w:sz w:val="18"/>
                <w:szCs w:val="18"/>
              </w:rPr>
              <w:t>1</w:t>
            </w:r>
          </w:p>
        </w:tc>
        <w:tc>
          <w:tcPr>
            <w:tcW w:w="837" w:type="dxa"/>
            <w:tcBorders>
              <w:top w:val="nil"/>
              <w:left w:val="nil"/>
              <w:bottom w:val="nil"/>
              <w:right w:val="nil"/>
            </w:tcBorders>
            <w:shd w:val="clear" w:color="000000" w:fill="F1F1F2"/>
            <w:noWrap/>
            <w:vAlign w:val="center"/>
            <w:hideMark/>
          </w:tcPr>
          <w:p w14:paraId="5F44AB72" w14:textId="77777777" w:rsidR="00572F25" w:rsidRPr="00107CF4" w:rsidRDefault="00572F25" w:rsidP="00140544">
            <w:pPr>
              <w:spacing w:after="0"/>
              <w:jc w:val="right"/>
              <w:rPr>
                <w:rFonts w:cs="Arial"/>
                <w:color w:val="000000"/>
                <w:sz w:val="18"/>
                <w:szCs w:val="18"/>
              </w:rPr>
            </w:pPr>
            <w:r w:rsidRPr="00107CF4">
              <w:rPr>
                <w:rFonts w:cs="Arial"/>
                <w:color w:val="000000"/>
                <w:sz w:val="18"/>
                <w:szCs w:val="18"/>
              </w:rPr>
              <w:t>56</w:t>
            </w:r>
          </w:p>
        </w:tc>
        <w:tc>
          <w:tcPr>
            <w:tcW w:w="837" w:type="dxa"/>
            <w:tcBorders>
              <w:top w:val="nil"/>
              <w:left w:val="nil"/>
              <w:bottom w:val="nil"/>
              <w:right w:val="nil"/>
            </w:tcBorders>
            <w:shd w:val="clear" w:color="000000" w:fill="EDEDED"/>
            <w:noWrap/>
            <w:vAlign w:val="center"/>
            <w:hideMark/>
          </w:tcPr>
          <w:p w14:paraId="68721D16" w14:textId="77777777" w:rsidR="00572F25" w:rsidRPr="00107CF4" w:rsidRDefault="00572F25" w:rsidP="00140544">
            <w:pPr>
              <w:spacing w:after="0"/>
              <w:rPr>
                <w:rFonts w:cs="Arial"/>
                <w:color w:val="000000"/>
                <w:sz w:val="18"/>
                <w:szCs w:val="18"/>
              </w:rPr>
            </w:pPr>
            <w:r w:rsidRPr="00107CF4">
              <w:rPr>
                <w:rFonts w:cs="Arial"/>
                <w:color w:val="000000"/>
                <w:sz w:val="18"/>
                <w:szCs w:val="18"/>
              </w:rPr>
              <w:t>33.1</w:t>
            </w:r>
          </w:p>
        </w:tc>
        <w:tc>
          <w:tcPr>
            <w:tcW w:w="837" w:type="dxa"/>
            <w:tcBorders>
              <w:top w:val="nil"/>
              <w:left w:val="nil"/>
              <w:bottom w:val="nil"/>
              <w:right w:val="nil"/>
            </w:tcBorders>
            <w:shd w:val="clear" w:color="000000" w:fill="EDEDED"/>
            <w:noWrap/>
            <w:vAlign w:val="center"/>
            <w:hideMark/>
          </w:tcPr>
          <w:p w14:paraId="7CD2CBAD" w14:textId="77777777" w:rsidR="00572F25" w:rsidRPr="00107CF4" w:rsidRDefault="00572F25" w:rsidP="00140544">
            <w:pPr>
              <w:spacing w:after="0"/>
              <w:jc w:val="right"/>
              <w:rPr>
                <w:rFonts w:cs="Arial"/>
                <w:color w:val="000000"/>
                <w:sz w:val="18"/>
                <w:szCs w:val="18"/>
              </w:rPr>
            </w:pPr>
            <w:r w:rsidRPr="00107CF4">
              <w:rPr>
                <w:rFonts w:cs="Arial"/>
                <w:color w:val="000000"/>
                <w:sz w:val="18"/>
                <w:szCs w:val="18"/>
              </w:rPr>
              <w:t>13</w:t>
            </w:r>
          </w:p>
        </w:tc>
        <w:tc>
          <w:tcPr>
            <w:tcW w:w="838" w:type="dxa"/>
            <w:tcBorders>
              <w:top w:val="nil"/>
              <w:left w:val="nil"/>
              <w:bottom w:val="nil"/>
              <w:right w:val="nil"/>
            </w:tcBorders>
            <w:shd w:val="clear" w:color="000000" w:fill="EDEDED"/>
            <w:noWrap/>
            <w:vAlign w:val="center"/>
            <w:hideMark/>
          </w:tcPr>
          <w:p w14:paraId="3DDCA143" w14:textId="77777777" w:rsidR="00572F25" w:rsidRPr="00107CF4" w:rsidRDefault="00572F25" w:rsidP="00140544">
            <w:pPr>
              <w:spacing w:after="0"/>
              <w:rPr>
                <w:rFonts w:cs="Arial"/>
                <w:color w:val="000000"/>
                <w:sz w:val="18"/>
                <w:szCs w:val="18"/>
              </w:rPr>
            </w:pPr>
            <w:r w:rsidRPr="00107CF4">
              <w:rPr>
                <w:rFonts w:cs="Arial"/>
                <w:color w:val="000000"/>
                <w:sz w:val="18"/>
                <w:szCs w:val="18"/>
              </w:rPr>
              <w:t>7.7</w:t>
            </w:r>
          </w:p>
        </w:tc>
      </w:tr>
      <w:tr w:rsidR="00572F25" w:rsidRPr="00107CF4" w14:paraId="43C8C621" w14:textId="77777777" w:rsidTr="00140544">
        <w:trPr>
          <w:trHeight w:val="352"/>
        </w:trPr>
        <w:tc>
          <w:tcPr>
            <w:tcW w:w="2374" w:type="dxa"/>
            <w:tcBorders>
              <w:top w:val="nil"/>
              <w:left w:val="nil"/>
              <w:bottom w:val="nil"/>
              <w:right w:val="nil"/>
            </w:tcBorders>
            <w:shd w:val="clear" w:color="auto" w:fill="auto"/>
            <w:noWrap/>
            <w:vAlign w:val="center"/>
            <w:hideMark/>
          </w:tcPr>
          <w:p w14:paraId="6A378BB2" w14:textId="77777777" w:rsidR="00572F25" w:rsidRPr="00107CF4" w:rsidRDefault="00572F25" w:rsidP="00140544">
            <w:pPr>
              <w:spacing w:after="0"/>
              <w:rPr>
                <w:rFonts w:cs="Arial"/>
                <w:color w:val="000000"/>
                <w:sz w:val="18"/>
                <w:szCs w:val="18"/>
              </w:rPr>
            </w:pPr>
            <w:r w:rsidRPr="00107CF4">
              <w:rPr>
                <w:rFonts w:cs="Arial"/>
                <w:color w:val="000000"/>
                <w:sz w:val="18"/>
                <w:szCs w:val="18"/>
              </w:rPr>
              <w:t>Rectal</w:t>
            </w:r>
          </w:p>
        </w:tc>
        <w:tc>
          <w:tcPr>
            <w:tcW w:w="1423" w:type="dxa"/>
            <w:tcBorders>
              <w:top w:val="nil"/>
              <w:left w:val="nil"/>
              <w:bottom w:val="nil"/>
              <w:right w:val="nil"/>
            </w:tcBorders>
            <w:shd w:val="clear" w:color="auto" w:fill="auto"/>
            <w:noWrap/>
            <w:vAlign w:val="center"/>
            <w:hideMark/>
          </w:tcPr>
          <w:p w14:paraId="6FF70C8B" w14:textId="77777777" w:rsidR="00572F25" w:rsidRPr="00107CF4" w:rsidRDefault="00572F25" w:rsidP="00140544">
            <w:pPr>
              <w:spacing w:after="0"/>
              <w:jc w:val="center"/>
              <w:rPr>
                <w:rFonts w:cs="Arial"/>
                <w:color w:val="000000"/>
                <w:sz w:val="18"/>
                <w:szCs w:val="18"/>
              </w:rPr>
            </w:pPr>
            <w:r w:rsidRPr="00107CF4">
              <w:rPr>
                <w:rFonts w:cs="Arial"/>
                <w:color w:val="000000"/>
                <w:sz w:val="18"/>
                <w:szCs w:val="18"/>
              </w:rPr>
              <w:t>3</w:t>
            </w:r>
          </w:p>
        </w:tc>
        <w:tc>
          <w:tcPr>
            <w:tcW w:w="1173" w:type="dxa"/>
            <w:tcBorders>
              <w:top w:val="nil"/>
              <w:left w:val="nil"/>
              <w:bottom w:val="nil"/>
              <w:right w:val="nil"/>
            </w:tcBorders>
            <w:shd w:val="clear" w:color="auto" w:fill="auto"/>
            <w:vAlign w:val="center"/>
            <w:hideMark/>
          </w:tcPr>
          <w:p w14:paraId="73A92B60" w14:textId="77777777" w:rsidR="00572F25" w:rsidRPr="00107CF4" w:rsidRDefault="00572F25" w:rsidP="00140544">
            <w:pPr>
              <w:spacing w:after="0"/>
              <w:jc w:val="center"/>
              <w:rPr>
                <w:rFonts w:cs="Arial"/>
                <w:color w:val="000000"/>
                <w:sz w:val="18"/>
                <w:szCs w:val="18"/>
              </w:rPr>
            </w:pPr>
            <w:r w:rsidRPr="00107CF4">
              <w:rPr>
                <w:rFonts w:cs="Arial"/>
                <w:color w:val="000000"/>
                <w:sz w:val="18"/>
                <w:szCs w:val="18"/>
              </w:rPr>
              <w:t>1</w:t>
            </w:r>
          </w:p>
        </w:tc>
        <w:tc>
          <w:tcPr>
            <w:tcW w:w="1173" w:type="dxa"/>
            <w:tcBorders>
              <w:top w:val="nil"/>
              <w:left w:val="nil"/>
              <w:bottom w:val="nil"/>
              <w:right w:val="nil"/>
            </w:tcBorders>
            <w:shd w:val="clear" w:color="auto" w:fill="auto"/>
            <w:noWrap/>
            <w:vAlign w:val="center"/>
            <w:hideMark/>
          </w:tcPr>
          <w:p w14:paraId="3BF1FDE2" w14:textId="77777777" w:rsidR="00572F25" w:rsidRPr="00107CF4" w:rsidRDefault="00572F25" w:rsidP="00140544">
            <w:pPr>
              <w:spacing w:after="0"/>
              <w:jc w:val="center"/>
              <w:rPr>
                <w:rFonts w:cs="Arial"/>
                <w:color w:val="000000"/>
                <w:sz w:val="18"/>
                <w:szCs w:val="18"/>
              </w:rPr>
            </w:pPr>
            <w:r w:rsidRPr="00107CF4">
              <w:rPr>
                <w:rFonts w:cs="Arial"/>
                <w:color w:val="000000"/>
                <w:sz w:val="18"/>
                <w:szCs w:val="18"/>
              </w:rPr>
              <w:t>1</w:t>
            </w:r>
          </w:p>
        </w:tc>
        <w:tc>
          <w:tcPr>
            <w:tcW w:w="837" w:type="dxa"/>
            <w:tcBorders>
              <w:top w:val="nil"/>
              <w:left w:val="nil"/>
              <w:bottom w:val="nil"/>
              <w:right w:val="nil"/>
            </w:tcBorders>
            <w:shd w:val="clear" w:color="auto" w:fill="auto"/>
            <w:noWrap/>
            <w:vAlign w:val="center"/>
            <w:hideMark/>
          </w:tcPr>
          <w:p w14:paraId="4DA59241" w14:textId="77777777" w:rsidR="00572F25" w:rsidRPr="00107CF4" w:rsidRDefault="00572F25" w:rsidP="00140544">
            <w:pPr>
              <w:spacing w:after="0"/>
              <w:jc w:val="right"/>
              <w:rPr>
                <w:rFonts w:cs="Arial"/>
                <w:color w:val="000000"/>
                <w:sz w:val="18"/>
                <w:szCs w:val="18"/>
              </w:rPr>
            </w:pPr>
            <w:r w:rsidRPr="00107CF4">
              <w:rPr>
                <w:rFonts w:cs="Arial"/>
                <w:color w:val="000000"/>
                <w:sz w:val="18"/>
                <w:szCs w:val="18"/>
              </w:rPr>
              <w:t>0</w:t>
            </w:r>
          </w:p>
        </w:tc>
        <w:tc>
          <w:tcPr>
            <w:tcW w:w="837" w:type="dxa"/>
            <w:tcBorders>
              <w:top w:val="nil"/>
              <w:left w:val="nil"/>
              <w:bottom w:val="nil"/>
              <w:right w:val="nil"/>
            </w:tcBorders>
            <w:shd w:val="clear" w:color="auto" w:fill="auto"/>
            <w:noWrap/>
            <w:vAlign w:val="center"/>
            <w:hideMark/>
          </w:tcPr>
          <w:p w14:paraId="63E8A892" w14:textId="77777777" w:rsidR="00572F25" w:rsidRPr="00107CF4" w:rsidRDefault="00572F25" w:rsidP="00140544">
            <w:pPr>
              <w:spacing w:after="0"/>
              <w:rPr>
                <w:rFonts w:cs="Arial"/>
                <w:color w:val="000000"/>
                <w:sz w:val="18"/>
                <w:szCs w:val="18"/>
              </w:rPr>
            </w:pPr>
            <w:r w:rsidRPr="00107CF4">
              <w:rPr>
                <w:rFonts w:cs="Arial"/>
                <w:color w:val="000000"/>
                <w:sz w:val="18"/>
                <w:szCs w:val="18"/>
              </w:rPr>
              <w:t>0</w:t>
            </w:r>
          </w:p>
        </w:tc>
        <w:tc>
          <w:tcPr>
            <w:tcW w:w="837" w:type="dxa"/>
            <w:tcBorders>
              <w:top w:val="nil"/>
              <w:left w:val="nil"/>
              <w:bottom w:val="nil"/>
              <w:right w:val="nil"/>
            </w:tcBorders>
            <w:shd w:val="clear" w:color="auto" w:fill="auto"/>
            <w:noWrap/>
            <w:vAlign w:val="center"/>
            <w:hideMark/>
          </w:tcPr>
          <w:p w14:paraId="6F97C486" w14:textId="77777777" w:rsidR="00572F25" w:rsidRPr="00107CF4" w:rsidRDefault="00572F25" w:rsidP="00140544">
            <w:pPr>
              <w:spacing w:after="0"/>
              <w:jc w:val="right"/>
              <w:rPr>
                <w:rFonts w:cs="Arial"/>
                <w:color w:val="000000"/>
                <w:sz w:val="18"/>
                <w:szCs w:val="18"/>
              </w:rPr>
            </w:pPr>
            <w:r w:rsidRPr="00107CF4">
              <w:rPr>
                <w:rFonts w:cs="Arial"/>
                <w:color w:val="000000"/>
                <w:sz w:val="18"/>
                <w:szCs w:val="18"/>
              </w:rPr>
              <w:t>0</w:t>
            </w:r>
          </w:p>
        </w:tc>
        <w:tc>
          <w:tcPr>
            <w:tcW w:w="838" w:type="dxa"/>
            <w:tcBorders>
              <w:top w:val="nil"/>
              <w:left w:val="nil"/>
              <w:bottom w:val="nil"/>
              <w:right w:val="nil"/>
            </w:tcBorders>
            <w:shd w:val="clear" w:color="auto" w:fill="auto"/>
            <w:noWrap/>
            <w:vAlign w:val="center"/>
            <w:hideMark/>
          </w:tcPr>
          <w:p w14:paraId="2C5B4091" w14:textId="77777777" w:rsidR="00572F25" w:rsidRPr="00107CF4" w:rsidRDefault="00572F25" w:rsidP="00140544">
            <w:pPr>
              <w:spacing w:after="0"/>
              <w:rPr>
                <w:rFonts w:cs="Arial"/>
                <w:color w:val="000000"/>
                <w:sz w:val="18"/>
                <w:szCs w:val="18"/>
              </w:rPr>
            </w:pPr>
            <w:r w:rsidRPr="00107CF4">
              <w:rPr>
                <w:rFonts w:cs="Arial"/>
                <w:color w:val="000000"/>
                <w:sz w:val="18"/>
                <w:szCs w:val="18"/>
              </w:rPr>
              <w:t>0</w:t>
            </w:r>
          </w:p>
        </w:tc>
      </w:tr>
      <w:tr w:rsidR="00572F25" w:rsidRPr="00107CF4" w14:paraId="131C4580" w14:textId="77777777" w:rsidTr="00140544">
        <w:trPr>
          <w:trHeight w:val="352"/>
        </w:trPr>
        <w:tc>
          <w:tcPr>
            <w:tcW w:w="2374" w:type="dxa"/>
            <w:tcBorders>
              <w:top w:val="nil"/>
              <w:left w:val="nil"/>
              <w:bottom w:val="nil"/>
              <w:right w:val="nil"/>
            </w:tcBorders>
            <w:shd w:val="clear" w:color="000000" w:fill="007D75"/>
            <w:noWrap/>
            <w:vAlign w:val="center"/>
            <w:hideMark/>
          </w:tcPr>
          <w:p w14:paraId="0865B676" w14:textId="77777777" w:rsidR="00572F25" w:rsidRPr="00107CF4" w:rsidRDefault="00572F25" w:rsidP="00140544">
            <w:pPr>
              <w:spacing w:after="0"/>
              <w:rPr>
                <w:rFonts w:cs="Arial"/>
                <w:color w:val="FFFFFF"/>
                <w:sz w:val="18"/>
                <w:szCs w:val="18"/>
              </w:rPr>
            </w:pPr>
            <w:r w:rsidRPr="00107CF4">
              <w:rPr>
                <w:rFonts w:cs="Arial"/>
                <w:color w:val="FFFFFF"/>
                <w:sz w:val="18"/>
                <w:szCs w:val="18"/>
              </w:rPr>
              <w:t>Total</w:t>
            </w:r>
          </w:p>
        </w:tc>
        <w:tc>
          <w:tcPr>
            <w:tcW w:w="1423" w:type="dxa"/>
            <w:tcBorders>
              <w:top w:val="nil"/>
              <w:left w:val="nil"/>
              <w:bottom w:val="nil"/>
              <w:right w:val="nil"/>
            </w:tcBorders>
            <w:shd w:val="clear" w:color="000000" w:fill="007D75"/>
            <w:noWrap/>
            <w:vAlign w:val="center"/>
            <w:hideMark/>
          </w:tcPr>
          <w:p w14:paraId="41157182" w14:textId="77777777" w:rsidR="00572F25" w:rsidRPr="00107CF4" w:rsidRDefault="00572F25" w:rsidP="00140544">
            <w:pPr>
              <w:spacing w:after="0"/>
              <w:jc w:val="center"/>
              <w:rPr>
                <w:rFonts w:cs="Arial"/>
                <w:color w:val="FFFFFF"/>
                <w:sz w:val="18"/>
                <w:szCs w:val="18"/>
              </w:rPr>
            </w:pPr>
            <w:r w:rsidRPr="00107CF4">
              <w:rPr>
                <w:rFonts w:cs="Arial"/>
                <w:color w:val="FFFFFF"/>
                <w:sz w:val="18"/>
                <w:szCs w:val="18"/>
              </w:rPr>
              <w:t>4,585</w:t>
            </w:r>
          </w:p>
        </w:tc>
        <w:tc>
          <w:tcPr>
            <w:tcW w:w="1173" w:type="dxa"/>
            <w:tcBorders>
              <w:top w:val="nil"/>
              <w:left w:val="nil"/>
              <w:bottom w:val="nil"/>
              <w:right w:val="nil"/>
            </w:tcBorders>
            <w:shd w:val="clear" w:color="000000" w:fill="007D75"/>
            <w:vAlign w:val="center"/>
            <w:hideMark/>
          </w:tcPr>
          <w:p w14:paraId="6EB05B3F" w14:textId="77777777" w:rsidR="00572F25" w:rsidRPr="00107CF4" w:rsidRDefault="00572F25" w:rsidP="00140544">
            <w:pPr>
              <w:spacing w:after="0"/>
              <w:jc w:val="center"/>
              <w:rPr>
                <w:rFonts w:cs="Arial"/>
                <w:color w:val="FFFFFF"/>
                <w:sz w:val="18"/>
                <w:szCs w:val="18"/>
              </w:rPr>
            </w:pPr>
            <w:r w:rsidRPr="00107CF4">
              <w:rPr>
                <w:rFonts w:cs="Arial"/>
                <w:color w:val="FFFFFF"/>
                <w:sz w:val="18"/>
                <w:szCs w:val="18"/>
              </w:rPr>
              <w:t>1-49</w:t>
            </w:r>
          </w:p>
        </w:tc>
        <w:tc>
          <w:tcPr>
            <w:tcW w:w="1173" w:type="dxa"/>
            <w:tcBorders>
              <w:top w:val="nil"/>
              <w:left w:val="nil"/>
              <w:bottom w:val="nil"/>
              <w:right w:val="nil"/>
            </w:tcBorders>
            <w:shd w:val="clear" w:color="000000" w:fill="007D75"/>
            <w:noWrap/>
            <w:vAlign w:val="center"/>
            <w:hideMark/>
          </w:tcPr>
          <w:p w14:paraId="7EA9639D" w14:textId="77777777" w:rsidR="00572F25" w:rsidRPr="00107CF4" w:rsidRDefault="00572F25" w:rsidP="00140544">
            <w:pPr>
              <w:spacing w:after="0"/>
              <w:jc w:val="center"/>
              <w:rPr>
                <w:rFonts w:cs="Arial"/>
                <w:color w:val="FFFFFF"/>
                <w:sz w:val="18"/>
                <w:szCs w:val="18"/>
              </w:rPr>
            </w:pPr>
            <w:r w:rsidRPr="00107CF4">
              <w:rPr>
                <w:rFonts w:cs="Arial"/>
                <w:color w:val="FFFFFF"/>
                <w:sz w:val="18"/>
                <w:szCs w:val="18"/>
              </w:rPr>
              <w:t>1</w:t>
            </w:r>
          </w:p>
        </w:tc>
        <w:tc>
          <w:tcPr>
            <w:tcW w:w="837" w:type="dxa"/>
            <w:tcBorders>
              <w:top w:val="nil"/>
              <w:left w:val="nil"/>
              <w:bottom w:val="nil"/>
              <w:right w:val="nil"/>
            </w:tcBorders>
            <w:shd w:val="clear" w:color="000000" w:fill="007D75"/>
            <w:noWrap/>
            <w:vAlign w:val="center"/>
            <w:hideMark/>
          </w:tcPr>
          <w:p w14:paraId="435F753F" w14:textId="77777777" w:rsidR="00572F25" w:rsidRPr="00107CF4" w:rsidRDefault="00572F25" w:rsidP="00140544">
            <w:pPr>
              <w:spacing w:after="0"/>
              <w:jc w:val="right"/>
              <w:rPr>
                <w:rFonts w:cs="Arial"/>
                <w:color w:val="FFFFFF"/>
                <w:sz w:val="18"/>
                <w:szCs w:val="18"/>
              </w:rPr>
            </w:pPr>
            <w:r w:rsidRPr="00107CF4">
              <w:rPr>
                <w:rFonts w:cs="Arial"/>
                <w:color w:val="FFFFFF"/>
                <w:sz w:val="18"/>
                <w:szCs w:val="18"/>
              </w:rPr>
              <w:t>3,161</w:t>
            </w:r>
          </w:p>
        </w:tc>
        <w:tc>
          <w:tcPr>
            <w:tcW w:w="837" w:type="dxa"/>
            <w:tcBorders>
              <w:top w:val="nil"/>
              <w:left w:val="nil"/>
              <w:bottom w:val="nil"/>
              <w:right w:val="nil"/>
            </w:tcBorders>
            <w:shd w:val="clear" w:color="000000" w:fill="007D75"/>
            <w:noWrap/>
            <w:vAlign w:val="center"/>
            <w:hideMark/>
          </w:tcPr>
          <w:p w14:paraId="4021CB6D" w14:textId="77777777" w:rsidR="00572F25" w:rsidRPr="00107CF4" w:rsidRDefault="00572F25" w:rsidP="00140544">
            <w:pPr>
              <w:spacing w:after="0"/>
              <w:rPr>
                <w:rFonts w:cs="Arial"/>
                <w:color w:val="FFFFFF"/>
                <w:sz w:val="18"/>
                <w:szCs w:val="18"/>
              </w:rPr>
            </w:pPr>
            <w:r w:rsidRPr="00107CF4">
              <w:rPr>
                <w:rFonts w:cs="Arial"/>
                <w:color w:val="FFFFFF"/>
                <w:sz w:val="18"/>
                <w:szCs w:val="18"/>
              </w:rPr>
              <w:t>68.9</w:t>
            </w:r>
          </w:p>
        </w:tc>
        <w:tc>
          <w:tcPr>
            <w:tcW w:w="837" w:type="dxa"/>
            <w:tcBorders>
              <w:top w:val="nil"/>
              <w:left w:val="nil"/>
              <w:bottom w:val="nil"/>
              <w:right w:val="nil"/>
            </w:tcBorders>
            <w:shd w:val="clear" w:color="000000" w:fill="007D75"/>
            <w:noWrap/>
            <w:vAlign w:val="center"/>
            <w:hideMark/>
          </w:tcPr>
          <w:p w14:paraId="6B85F0C2" w14:textId="77777777" w:rsidR="00572F25" w:rsidRPr="00107CF4" w:rsidRDefault="00572F25" w:rsidP="00140544">
            <w:pPr>
              <w:spacing w:after="0"/>
              <w:jc w:val="right"/>
              <w:rPr>
                <w:rFonts w:cs="Arial"/>
                <w:color w:val="FFFFFF"/>
                <w:sz w:val="18"/>
                <w:szCs w:val="18"/>
              </w:rPr>
            </w:pPr>
            <w:r w:rsidRPr="00107CF4">
              <w:rPr>
                <w:rFonts w:cs="Arial"/>
                <w:color w:val="FFFFFF"/>
                <w:sz w:val="18"/>
                <w:szCs w:val="18"/>
              </w:rPr>
              <w:t>1,944</w:t>
            </w:r>
          </w:p>
        </w:tc>
        <w:tc>
          <w:tcPr>
            <w:tcW w:w="838" w:type="dxa"/>
            <w:tcBorders>
              <w:top w:val="nil"/>
              <w:left w:val="nil"/>
              <w:bottom w:val="nil"/>
              <w:right w:val="nil"/>
            </w:tcBorders>
            <w:shd w:val="clear" w:color="000000" w:fill="007D75"/>
            <w:noWrap/>
            <w:vAlign w:val="center"/>
            <w:hideMark/>
          </w:tcPr>
          <w:p w14:paraId="0C722C5B" w14:textId="77777777" w:rsidR="00572F25" w:rsidRPr="00107CF4" w:rsidRDefault="00572F25" w:rsidP="00140544">
            <w:pPr>
              <w:spacing w:after="0"/>
              <w:rPr>
                <w:rFonts w:cs="Arial"/>
                <w:color w:val="FFFFFF"/>
                <w:sz w:val="18"/>
                <w:szCs w:val="18"/>
              </w:rPr>
            </w:pPr>
            <w:r w:rsidRPr="00107CF4">
              <w:rPr>
                <w:rFonts w:cs="Arial"/>
                <w:color w:val="FFFFFF"/>
                <w:sz w:val="18"/>
                <w:szCs w:val="18"/>
              </w:rPr>
              <w:t>42.4</w:t>
            </w:r>
          </w:p>
        </w:tc>
      </w:tr>
    </w:tbl>
    <w:p w14:paraId="3EA2F9F2" w14:textId="77777777" w:rsidR="00572F25" w:rsidRDefault="00572F25" w:rsidP="00572F25"/>
    <w:p w14:paraId="0D5B8678" w14:textId="77777777" w:rsidR="00572F25" w:rsidRDefault="00572F25" w:rsidP="00572F25">
      <w:pPr>
        <w:pStyle w:val="Heading2"/>
        <w:ind w:left="576" w:hanging="576"/>
      </w:pPr>
      <w:r>
        <w:br w:type="page"/>
      </w:r>
      <w:bookmarkStart w:id="145" w:name="_Toc126664218"/>
      <w:r>
        <w:lastRenderedPageBreak/>
        <w:t>Prescribing by facility funding type</w:t>
      </w:r>
      <w:bookmarkEnd w:id="145"/>
    </w:p>
    <w:p w14:paraId="0B425D00" w14:textId="77777777" w:rsidR="00572F25" w:rsidRPr="002E1055" w:rsidRDefault="00572F25" w:rsidP="00977AD6">
      <w:pPr>
        <w:pStyle w:val="Heading3"/>
      </w:pPr>
      <w:r w:rsidRPr="002E1055">
        <w:t xml:space="preserve">Procedural </w:t>
      </w:r>
    </w:p>
    <w:p w14:paraId="0BF66D58" w14:textId="77777777" w:rsidR="00572F25" w:rsidRDefault="00572F25" w:rsidP="00572F25">
      <w:r w:rsidRPr="00C877CA">
        <w:rPr>
          <w:rFonts w:cs="Arial"/>
        </w:rPr>
        <w:t xml:space="preserve">The rate of prescribing for procedural antimicrobials was significantly higher in private facilities than public facilities (81.6% and 68.4% respectively). </w:t>
      </w:r>
      <w:r>
        <w:rPr>
          <w:rFonts w:cs="Arial"/>
        </w:rPr>
        <w:t>However,</w:t>
      </w:r>
      <w:r w:rsidRPr="00C877CA">
        <w:rPr>
          <w:rFonts w:cs="Arial"/>
        </w:rPr>
        <w:t xml:space="preserve"> this was not reflected in rates of inappropriate procedural antimicrobial </w:t>
      </w:r>
      <w:r w:rsidRPr="009F6156">
        <w:t>prescribing</w:t>
      </w:r>
      <w:r w:rsidRPr="00C877CA">
        <w:rPr>
          <w:rFonts w:cs="Arial"/>
        </w:rPr>
        <w:t xml:space="preserve"> between private and public facilities, with 27.7% and 29.2%</w:t>
      </w:r>
      <w:r>
        <w:rPr>
          <w:rFonts w:cs="Arial"/>
        </w:rPr>
        <w:t xml:space="preserve"> respectively</w:t>
      </w:r>
      <w:r w:rsidRPr="00C877CA">
        <w:rPr>
          <w:rFonts w:cs="Arial"/>
        </w:rPr>
        <w:t xml:space="preserve"> being deemed inappropriate (Table A</w:t>
      </w:r>
      <w:r>
        <w:rPr>
          <w:rFonts w:cs="Arial"/>
        </w:rPr>
        <w:t>3</w:t>
      </w:r>
      <w:r w:rsidRPr="00C877CA">
        <w:rPr>
          <w:rFonts w:cs="Arial"/>
        </w:rPr>
        <w:t>.4).</w:t>
      </w:r>
    </w:p>
    <w:p w14:paraId="07CD801F" w14:textId="77777777" w:rsidR="00572F25" w:rsidRPr="00C27AA2" w:rsidRDefault="00572F25" w:rsidP="00572F25">
      <w:pPr>
        <w:pStyle w:val="FigureTitle"/>
        <w:ind w:left="1440" w:hanging="1440"/>
      </w:pPr>
      <w:r w:rsidRPr="00320657">
        <w:t xml:space="preserve">Table </w:t>
      </w:r>
      <w:r>
        <w:t>A3</w:t>
      </w:r>
      <w:r w:rsidRPr="00320657">
        <w:t>.4:</w:t>
      </w:r>
      <w:r w:rsidRPr="00320657">
        <w:tab/>
        <w:t xml:space="preserve">Appropriateness of procedural antimicrobial prescribing, by funding type, Surgical </w:t>
      </w:r>
      <w:r>
        <w:t>NAPS</w:t>
      </w:r>
      <w:r w:rsidRPr="00320657">
        <w:t xml:space="preserve"> contributor facilities, 20</w:t>
      </w:r>
      <w:r>
        <w:t>21</w:t>
      </w:r>
    </w:p>
    <w:tbl>
      <w:tblPr>
        <w:tblW w:w="9351" w:type="dxa"/>
        <w:tblLayout w:type="fixed"/>
        <w:tblLook w:val="04A0" w:firstRow="1" w:lastRow="0" w:firstColumn="1" w:lastColumn="0" w:noHBand="0" w:noVBand="1"/>
      </w:tblPr>
      <w:tblGrid>
        <w:gridCol w:w="1567"/>
        <w:gridCol w:w="1210"/>
        <w:gridCol w:w="1460"/>
        <w:gridCol w:w="1316"/>
        <w:gridCol w:w="1315"/>
        <w:gridCol w:w="1241"/>
        <w:gridCol w:w="1242"/>
      </w:tblGrid>
      <w:tr w:rsidR="00572F25" w:rsidRPr="00C877CA" w14:paraId="4D7458BA" w14:textId="77777777" w:rsidTr="00140544">
        <w:trPr>
          <w:trHeight w:val="753"/>
        </w:trPr>
        <w:tc>
          <w:tcPr>
            <w:tcW w:w="1567" w:type="dxa"/>
            <w:vMerge w:val="restart"/>
            <w:tcBorders>
              <w:top w:val="single" w:sz="8" w:space="0" w:color="BCBEC0"/>
              <w:left w:val="nil"/>
              <w:bottom w:val="nil"/>
              <w:right w:val="nil"/>
            </w:tcBorders>
            <w:shd w:val="clear" w:color="000000" w:fill="E8B092"/>
            <w:noWrap/>
            <w:vAlign w:val="center"/>
            <w:hideMark/>
          </w:tcPr>
          <w:p w14:paraId="71B8CCBF" w14:textId="77777777" w:rsidR="00572F25" w:rsidRPr="00E1658A" w:rsidRDefault="00572F25" w:rsidP="00140544">
            <w:pPr>
              <w:spacing w:after="0"/>
              <w:rPr>
                <w:rFonts w:cs="Arial"/>
                <w:color w:val="auto"/>
                <w:sz w:val="18"/>
                <w:szCs w:val="18"/>
              </w:rPr>
            </w:pPr>
            <w:r w:rsidRPr="00E1658A">
              <w:rPr>
                <w:rFonts w:cs="Arial"/>
                <w:color w:val="auto"/>
                <w:sz w:val="18"/>
                <w:szCs w:val="18"/>
              </w:rPr>
              <w:t>Funding type</w:t>
            </w:r>
          </w:p>
        </w:tc>
        <w:tc>
          <w:tcPr>
            <w:tcW w:w="1210" w:type="dxa"/>
            <w:tcBorders>
              <w:top w:val="single" w:sz="8" w:space="0" w:color="BCBEC0"/>
              <w:left w:val="nil"/>
              <w:bottom w:val="nil"/>
              <w:right w:val="nil"/>
            </w:tcBorders>
            <w:shd w:val="clear" w:color="000000" w:fill="E8B092"/>
            <w:noWrap/>
            <w:vAlign w:val="center"/>
            <w:hideMark/>
          </w:tcPr>
          <w:p w14:paraId="5993B106" w14:textId="77777777" w:rsidR="00572F25" w:rsidRPr="00E1658A" w:rsidRDefault="00572F25" w:rsidP="00140544">
            <w:pPr>
              <w:spacing w:after="0"/>
              <w:jc w:val="center"/>
              <w:rPr>
                <w:rFonts w:cs="Arial"/>
                <w:color w:val="auto"/>
                <w:sz w:val="18"/>
                <w:szCs w:val="18"/>
              </w:rPr>
            </w:pPr>
            <w:r w:rsidRPr="00E1658A">
              <w:rPr>
                <w:rFonts w:cs="Arial"/>
                <w:color w:val="auto"/>
                <w:sz w:val="18"/>
                <w:szCs w:val="18"/>
              </w:rPr>
              <w:t>Surgical episodes</w:t>
            </w:r>
          </w:p>
        </w:tc>
        <w:tc>
          <w:tcPr>
            <w:tcW w:w="2776" w:type="dxa"/>
            <w:gridSpan w:val="2"/>
            <w:tcBorders>
              <w:top w:val="single" w:sz="8" w:space="0" w:color="BCBEC0"/>
              <w:left w:val="nil"/>
              <w:right w:val="nil"/>
            </w:tcBorders>
            <w:shd w:val="clear" w:color="000000" w:fill="E8B092"/>
            <w:noWrap/>
            <w:vAlign w:val="center"/>
            <w:hideMark/>
          </w:tcPr>
          <w:p w14:paraId="11FB13EA" w14:textId="77777777" w:rsidR="00572F25" w:rsidRPr="00E1658A" w:rsidRDefault="00572F25" w:rsidP="00140544">
            <w:pPr>
              <w:spacing w:after="0"/>
              <w:jc w:val="center"/>
              <w:rPr>
                <w:rFonts w:cs="Arial"/>
                <w:color w:val="auto"/>
                <w:sz w:val="18"/>
                <w:szCs w:val="18"/>
              </w:rPr>
            </w:pPr>
            <w:r w:rsidRPr="00E1658A">
              <w:rPr>
                <w:rFonts w:cs="Arial"/>
                <w:color w:val="auto"/>
                <w:sz w:val="18"/>
                <w:szCs w:val="18"/>
              </w:rPr>
              <w:t>At least one antimicrobial prescribed</w:t>
            </w:r>
          </w:p>
        </w:tc>
        <w:tc>
          <w:tcPr>
            <w:tcW w:w="1315" w:type="dxa"/>
            <w:tcBorders>
              <w:top w:val="single" w:sz="8" w:space="0" w:color="BCBEC0"/>
              <w:left w:val="nil"/>
              <w:right w:val="nil"/>
            </w:tcBorders>
            <w:shd w:val="clear" w:color="000000" w:fill="E8B092"/>
            <w:vAlign w:val="center"/>
            <w:hideMark/>
          </w:tcPr>
          <w:p w14:paraId="6837BE97" w14:textId="77777777" w:rsidR="00572F25" w:rsidRPr="00E1658A" w:rsidRDefault="00572F25" w:rsidP="00140544">
            <w:pPr>
              <w:spacing w:after="0"/>
              <w:jc w:val="center"/>
              <w:rPr>
                <w:rFonts w:cs="Arial"/>
                <w:color w:val="auto"/>
                <w:sz w:val="18"/>
                <w:szCs w:val="18"/>
              </w:rPr>
            </w:pPr>
            <w:r w:rsidRPr="00E1658A">
              <w:rPr>
                <w:rFonts w:cs="Arial"/>
                <w:color w:val="auto"/>
                <w:sz w:val="18"/>
                <w:szCs w:val="18"/>
              </w:rPr>
              <w:t>Total</w:t>
            </w:r>
          </w:p>
          <w:p w14:paraId="3D9784BE" w14:textId="77777777" w:rsidR="00572F25" w:rsidRPr="00E1658A" w:rsidRDefault="00572F25" w:rsidP="00140544">
            <w:pPr>
              <w:spacing w:after="0"/>
              <w:jc w:val="center"/>
              <w:rPr>
                <w:rFonts w:cs="Arial"/>
                <w:color w:val="auto"/>
                <w:sz w:val="18"/>
                <w:szCs w:val="18"/>
              </w:rPr>
            </w:pPr>
            <w:r w:rsidRPr="00E1658A">
              <w:rPr>
                <w:rFonts w:cs="Arial"/>
                <w:color w:val="auto"/>
                <w:sz w:val="18"/>
                <w:szCs w:val="18"/>
              </w:rPr>
              <w:t>doses</w:t>
            </w:r>
          </w:p>
        </w:tc>
        <w:tc>
          <w:tcPr>
            <w:tcW w:w="2483" w:type="dxa"/>
            <w:gridSpan w:val="2"/>
            <w:tcBorders>
              <w:top w:val="single" w:sz="8" w:space="0" w:color="BCBEC0"/>
              <w:left w:val="nil"/>
              <w:bottom w:val="nil"/>
              <w:right w:val="nil"/>
            </w:tcBorders>
            <w:shd w:val="clear" w:color="000000" w:fill="E8B092"/>
            <w:vAlign w:val="center"/>
            <w:hideMark/>
          </w:tcPr>
          <w:p w14:paraId="78CC3759" w14:textId="77777777" w:rsidR="00572F25" w:rsidRPr="00E1658A" w:rsidRDefault="00572F25" w:rsidP="00140544">
            <w:pPr>
              <w:spacing w:after="0"/>
              <w:jc w:val="center"/>
              <w:rPr>
                <w:rFonts w:cs="Arial"/>
                <w:color w:val="auto"/>
                <w:sz w:val="18"/>
                <w:szCs w:val="18"/>
              </w:rPr>
            </w:pPr>
            <w:r w:rsidRPr="00E1658A">
              <w:rPr>
                <w:rFonts w:cs="Arial"/>
                <w:color w:val="auto"/>
                <w:sz w:val="18"/>
                <w:szCs w:val="18"/>
              </w:rPr>
              <w:t>Inappropriate</w:t>
            </w:r>
          </w:p>
        </w:tc>
      </w:tr>
      <w:tr w:rsidR="00572F25" w:rsidRPr="00C877CA" w14:paraId="36C9A06F" w14:textId="77777777" w:rsidTr="00140544">
        <w:trPr>
          <w:trHeight w:val="72"/>
        </w:trPr>
        <w:tc>
          <w:tcPr>
            <w:tcW w:w="1567" w:type="dxa"/>
            <w:vMerge/>
            <w:tcBorders>
              <w:top w:val="single" w:sz="8" w:space="0" w:color="BCBEC0"/>
              <w:left w:val="nil"/>
              <w:bottom w:val="nil"/>
              <w:right w:val="nil"/>
            </w:tcBorders>
            <w:vAlign w:val="center"/>
            <w:hideMark/>
          </w:tcPr>
          <w:p w14:paraId="037CBA1B" w14:textId="77777777" w:rsidR="00572F25" w:rsidRPr="00E1658A" w:rsidRDefault="00572F25" w:rsidP="00140544">
            <w:pPr>
              <w:spacing w:after="0"/>
              <w:rPr>
                <w:rFonts w:cs="Arial"/>
                <w:color w:val="auto"/>
                <w:sz w:val="18"/>
                <w:szCs w:val="18"/>
              </w:rPr>
            </w:pPr>
          </w:p>
        </w:tc>
        <w:tc>
          <w:tcPr>
            <w:tcW w:w="1210" w:type="dxa"/>
            <w:tcBorders>
              <w:top w:val="nil"/>
              <w:left w:val="nil"/>
              <w:bottom w:val="nil"/>
              <w:right w:val="nil"/>
            </w:tcBorders>
            <w:shd w:val="clear" w:color="000000" w:fill="E8B092"/>
            <w:noWrap/>
            <w:vAlign w:val="center"/>
            <w:hideMark/>
          </w:tcPr>
          <w:p w14:paraId="62FC4BD0" w14:textId="77777777" w:rsidR="00572F25" w:rsidRPr="00E1658A" w:rsidRDefault="00572F25" w:rsidP="00140544">
            <w:pPr>
              <w:spacing w:after="0"/>
              <w:jc w:val="center"/>
              <w:rPr>
                <w:rFonts w:cs="Arial"/>
                <w:color w:val="auto"/>
                <w:sz w:val="18"/>
                <w:szCs w:val="18"/>
              </w:rPr>
            </w:pPr>
            <w:r w:rsidRPr="00E1658A">
              <w:rPr>
                <w:rFonts w:cs="Arial"/>
                <w:color w:val="auto"/>
                <w:sz w:val="18"/>
                <w:szCs w:val="18"/>
              </w:rPr>
              <w:t>(n)</w:t>
            </w:r>
          </w:p>
        </w:tc>
        <w:tc>
          <w:tcPr>
            <w:tcW w:w="2776" w:type="dxa"/>
            <w:gridSpan w:val="2"/>
            <w:tcBorders>
              <w:top w:val="nil"/>
              <w:left w:val="nil"/>
              <w:bottom w:val="nil"/>
              <w:right w:val="nil"/>
            </w:tcBorders>
            <w:shd w:val="clear" w:color="000000" w:fill="E8B092"/>
            <w:noWrap/>
            <w:vAlign w:val="center"/>
            <w:hideMark/>
          </w:tcPr>
          <w:p w14:paraId="03F558A3" w14:textId="77777777" w:rsidR="00572F25" w:rsidRPr="00E1658A" w:rsidRDefault="00572F25" w:rsidP="00140544">
            <w:pPr>
              <w:spacing w:after="0"/>
              <w:jc w:val="center"/>
              <w:rPr>
                <w:rFonts w:cs="Arial"/>
                <w:color w:val="auto"/>
                <w:sz w:val="18"/>
                <w:szCs w:val="18"/>
              </w:rPr>
            </w:pPr>
            <w:r w:rsidRPr="00E1658A">
              <w:rPr>
                <w:rFonts w:cs="Arial"/>
                <w:color w:val="auto"/>
                <w:sz w:val="18"/>
                <w:szCs w:val="18"/>
              </w:rPr>
              <w:t>(n) (%)</w:t>
            </w:r>
          </w:p>
        </w:tc>
        <w:tc>
          <w:tcPr>
            <w:tcW w:w="1315" w:type="dxa"/>
            <w:tcBorders>
              <w:top w:val="nil"/>
              <w:left w:val="nil"/>
              <w:bottom w:val="nil"/>
              <w:right w:val="nil"/>
            </w:tcBorders>
            <w:shd w:val="clear" w:color="000000" w:fill="E8B092"/>
            <w:vAlign w:val="center"/>
            <w:hideMark/>
          </w:tcPr>
          <w:p w14:paraId="7656122B" w14:textId="77777777" w:rsidR="00572F25" w:rsidRPr="00E1658A" w:rsidRDefault="00572F25" w:rsidP="00140544">
            <w:pPr>
              <w:spacing w:after="0"/>
              <w:jc w:val="center"/>
              <w:rPr>
                <w:rFonts w:cs="Arial"/>
                <w:color w:val="auto"/>
                <w:sz w:val="18"/>
                <w:szCs w:val="18"/>
              </w:rPr>
            </w:pPr>
            <w:r w:rsidRPr="00E1658A">
              <w:rPr>
                <w:rFonts w:cs="Arial"/>
                <w:color w:val="auto"/>
                <w:sz w:val="18"/>
                <w:szCs w:val="18"/>
              </w:rPr>
              <w:t>(n)</w:t>
            </w:r>
          </w:p>
        </w:tc>
        <w:tc>
          <w:tcPr>
            <w:tcW w:w="2483" w:type="dxa"/>
            <w:gridSpan w:val="2"/>
            <w:tcBorders>
              <w:top w:val="nil"/>
              <w:left w:val="nil"/>
              <w:bottom w:val="nil"/>
              <w:right w:val="nil"/>
            </w:tcBorders>
            <w:shd w:val="clear" w:color="000000" w:fill="E8B092"/>
            <w:vAlign w:val="center"/>
            <w:hideMark/>
          </w:tcPr>
          <w:p w14:paraId="5F03FB39" w14:textId="77777777" w:rsidR="00572F25" w:rsidRPr="00E1658A" w:rsidRDefault="00572F25" w:rsidP="00140544">
            <w:pPr>
              <w:spacing w:after="0"/>
              <w:jc w:val="center"/>
              <w:rPr>
                <w:rFonts w:cs="Arial"/>
                <w:color w:val="auto"/>
                <w:sz w:val="18"/>
                <w:szCs w:val="18"/>
              </w:rPr>
            </w:pPr>
            <w:r w:rsidRPr="00E1658A">
              <w:rPr>
                <w:rFonts w:cs="Arial"/>
                <w:color w:val="auto"/>
                <w:sz w:val="18"/>
                <w:szCs w:val="18"/>
              </w:rPr>
              <w:t>(n) (%)</w:t>
            </w:r>
          </w:p>
        </w:tc>
      </w:tr>
      <w:tr w:rsidR="00572F25" w:rsidRPr="00C877CA" w14:paraId="5DCB579A" w14:textId="77777777" w:rsidTr="00140544">
        <w:trPr>
          <w:trHeight w:val="364"/>
        </w:trPr>
        <w:tc>
          <w:tcPr>
            <w:tcW w:w="1567" w:type="dxa"/>
            <w:tcBorders>
              <w:top w:val="nil"/>
              <w:left w:val="nil"/>
              <w:bottom w:val="nil"/>
              <w:right w:val="nil"/>
            </w:tcBorders>
            <w:shd w:val="clear" w:color="000000" w:fill="FFFFFF"/>
            <w:noWrap/>
            <w:vAlign w:val="center"/>
            <w:hideMark/>
          </w:tcPr>
          <w:p w14:paraId="701C9D49" w14:textId="77777777" w:rsidR="00572F25" w:rsidRPr="00C877CA" w:rsidRDefault="00572F25" w:rsidP="00140544">
            <w:pPr>
              <w:spacing w:after="0"/>
              <w:rPr>
                <w:rFonts w:cs="Arial"/>
                <w:color w:val="000000"/>
                <w:sz w:val="18"/>
                <w:szCs w:val="18"/>
              </w:rPr>
            </w:pPr>
            <w:r w:rsidRPr="00C877CA">
              <w:rPr>
                <w:rFonts w:cs="Arial"/>
                <w:color w:val="000000"/>
                <w:sz w:val="18"/>
                <w:szCs w:val="18"/>
              </w:rPr>
              <w:t>Public facilities</w:t>
            </w:r>
          </w:p>
        </w:tc>
        <w:tc>
          <w:tcPr>
            <w:tcW w:w="1210" w:type="dxa"/>
            <w:tcBorders>
              <w:top w:val="nil"/>
              <w:left w:val="nil"/>
              <w:bottom w:val="nil"/>
              <w:right w:val="nil"/>
            </w:tcBorders>
            <w:shd w:val="clear" w:color="000000" w:fill="FFFFFF"/>
            <w:noWrap/>
            <w:vAlign w:val="center"/>
            <w:hideMark/>
          </w:tcPr>
          <w:p w14:paraId="14CAE6FE" w14:textId="77777777" w:rsidR="00572F25" w:rsidRPr="00C877CA" w:rsidRDefault="00572F25" w:rsidP="00140544">
            <w:pPr>
              <w:spacing w:after="0"/>
              <w:jc w:val="center"/>
              <w:rPr>
                <w:rFonts w:cs="Arial"/>
                <w:color w:val="000000"/>
                <w:sz w:val="18"/>
                <w:szCs w:val="18"/>
              </w:rPr>
            </w:pPr>
            <w:r w:rsidRPr="00C877CA">
              <w:rPr>
                <w:rFonts w:cs="Arial"/>
                <w:color w:val="000000"/>
                <w:sz w:val="18"/>
                <w:szCs w:val="18"/>
              </w:rPr>
              <w:t>4,538</w:t>
            </w:r>
          </w:p>
        </w:tc>
        <w:tc>
          <w:tcPr>
            <w:tcW w:w="1460" w:type="dxa"/>
            <w:tcBorders>
              <w:top w:val="nil"/>
              <w:left w:val="nil"/>
              <w:bottom w:val="nil"/>
              <w:right w:val="nil"/>
            </w:tcBorders>
            <w:shd w:val="clear" w:color="000000" w:fill="FFFFFF"/>
            <w:noWrap/>
            <w:vAlign w:val="center"/>
            <w:hideMark/>
          </w:tcPr>
          <w:p w14:paraId="470C6049" w14:textId="77777777" w:rsidR="00572F25" w:rsidRPr="00C877CA" w:rsidRDefault="00572F25" w:rsidP="00140544">
            <w:pPr>
              <w:spacing w:after="0"/>
              <w:jc w:val="right"/>
              <w:rPr>
                <w:rFonts w:cs="Arial"/>
                <w:color w:val="000000"/>
                <w:sz w:val="18"/>
                <w:szCs w:val="18"/>
              </w:rPr>
            </w:pPr>
            <w:r w:rsidRPr="00C877CA">
              <w:rPr>
                <w:rFonts w:cs="Arial"/>
                <w:color w:val="000000"/>
                <w:sz w:val="18"/>
                <w:szCs w:val="18"/>
              </w:rPr>
              <w:t>3,102</w:t>
            </w:r>
          </w:p>
        </w:tc>
        <w:tc>
          <w:tcPr>
            <w:tcW w:w="1315" w:type="dxa"/>
            <w:tcBorders>
              <w:top w:val="nil"/>
              <w:left w:val="nil"/>
              <w:bottom w:val="nil"/>
              <w:right w:val="nil"/>
            </w:tcBorders>
            <w:shd w:val="clear" w:color="000000" w:fill="FFFFFF"/>
            <w:noWrap/>
            <w:vAlign w:val="center"/>
            <w:hideMark/>
          </w:tcPr>
          <w:p w14:paraId="40D6AB55" w14:textId="77777777" w:rsidR="00572F25" w:rsidRPr="00C877CA" w:rsidRDefault="00572F25" w:rsidP="00140544">
            <w:pPr>
              <w:spacing w:after="0"/>
              <w:rPr>
                <w:rFonts w:cs="Arial"/>
                <w:color w:val="000000"/>
                <w:sz w:val="18"/>
                <w:szCs w:val="18"/>
              </w:rPr>
            </w:pPr>
            <w:r w:rsidRPr="00C877CA">
              <w:rPr>
                <w:rFonts w:cs="Arial"/>
                <w:color w:val="000000"/>
                <w:sz w:val="18"/>
                <w:szCs w:val="18"/>
              </w:rPr>
              <w:t>68.4</w:t>
            </w:r>
          </w:p>
        </w:tc>
        <w:tc>
          <w:tcPr>
            <w:tcW w:w="1315" w:type="dxa"/>
            <w:tcBorders>
              <w:top w:val="nil"/>
              <w:left w:val="nil"/>
              <w:bottom w:val="nil"/>
              <w:right w:val="nil"/>
            </w:tcBorders>
            <w:shd w:val="clear" w:color="000000" w:fill="FFFFFF"/>
            <w:noWrap/>
            <w:vAlign w:val="center"/>
            <w:hideMark/>
          </w:tcPr>
          <w:p w14:paraId="0677BB6B" w14:textId="77777777" w:rsidR="00572F25" w:rsidRPr="00C877CA" w:rsidRDefault="00572F25" w:rsidP="00140544">
            <w:pPr>
              <w:spacing w:after="0"/>
              <w:jc w:val="center"/>
              <w:rPr>
                <w:rFonts w:cs="Arial"/>
                <w:color w:val="000000"/>
                <w:sz w:val="18"/>
                <w:szCs w:val="18"/>
              </w:rPr>
            </w:pPr>
            <w:r w:rsidRPr="00C877CA">
              <w:rPr>
                <w:rFonts w:cs="Arial"/>
                <w:color w:val="000000"/>
                <w:sz w:val="18"/>
                <w:szCs w:val="18"/>
              </w:rPr>
              <w:t>3,700</w:t>
            </w:r>
          </w:p>
        </w:tc>
        <w:tc>
          <w:tcPr>
            <w:tcW w:w="1241" w:type="dxa"/>
            <w:tcBorders>
              <w:top w:val="nil"/>
              <w:left w:val="nil"/>
              <w:bottom w:val="nil"/>
              <w:right w:val="nil"/>
            </w:tcBorders>
            <w:shd w:val="clear" w:color="000000" w:fill="FFFFFF"/>
            <w:noWrap/>
            <w:vAlign w:val="center"/>
            <w:hideMark/>
          </w:tcPr>
          <w:p w14:paraId="3A5D9BB0" w14:textId="77777777" w:rsidR="00572F25" w:rsidRPr="00C877CA" w:rsidRDefault="00572F25" w:rsidP="00140544">
            <w:pPr>
              <w:spacing w:after="0"/>
              <w:jc w:val="right"/>
              <w:rPr>
                <w:rFonts w:cs="Arial"/>
                <w:color w:val="000000"/>
                <w:sz w:val="18"/>
                <w:szCs w:val="18"/>
              </w:rPr>
            </w:pPr>
            <w:r w:rsidRPr="00C877CA">
              <w:rPr>
                <w:rFonts w:cs="Arial"/>
                <w:color w:val="000000"/>
                <w:sz w:val="18"/>
                <w:szCs w:val="18"/>
              </w:rPr>
              <w:t>1</w:t>
            </w:r>
            <w:r>
              <w:rPr>
                <w:rFonts w:cs="Arial"/>
                <w:color w:val="000000"/>
                <w:sz w:val="18"/>
                <w:szCs w:val="18"/>
              </w:rPr>
              <w:t>,</w:t>
            </w:r>
            <w:r w:rsidRPr="00C877CA">
              <w:rPr>
                <w:rFonts w:cs="Arial"/>
                <w:color w:val="000000"/>
                <w:sz w:val="18"/>
                <w:szCs w:val="18"/>
              </w:rPr>
              <w:t>082</w:t>
            </w:r>
          </w:p>
        </w:tc>
        <w:tc>
          <w:tcPr>
            <w:tcW w:w="1242" w:type="dxa"/>
            <w:tcBorders>
              <w:top w:val="nil"/>
              <w:left w:val="nil"/>
              <w:bottom w:val="nil"/>
              <w:right w:val="nil"/>
            </w:tcBorders>
            <w:shd w:val="clear" w:color="000000" w:fill="FFFFFF"/>
            <w:noWrap/>
            <w:vAlign w:val="center"/>
            <w:hideMark/>
          </w:tcPr>
          <w:p w14:paraId="342A8209" w14:textId="77777777" w:rsidR="00572F25" w:rsidRPr="00C877CA" w:rsidRDefault="00572F25" w:rsidP="00140544">
            <w:pPr>
              <w:spacing w:after="0"/>
              <w:rPr>
                <w:rFonts w:cs="Arial"/>
                <w:color w:val="000000"/>
                <w:sz w:val="18"/>
                <w:szCs w:val="18"/>
              </w:rPr>
            </w:pPr>
            <w:r w:rsidRPr="00C877CA">
              <w:rPr>
                <w:rFonts w:cs="Arial"/>
                <w:color w:val="000000"/>
                <w:sz w:val="18"/>
                <w:szCs w:val="18"/>
              </w:rPr>
              <w:t>29.2</w:t>
            </w:r>
          </w:p>
        </w:tc>
      </w:tr>
      <w:tr w:rsidR="00572F25" w:rsidRPr="00C877CA" w14:paraId="18413A6E" w14:textId="77777777" w:rsidTr="00140544">
        <w:trPr>
          <w:trHeight w:val="470"/>
        </w:trPr>
        <w:tc>
          <w:tcPr>
            <w:tcW w:w="1567" w:type="dxa"/>
            <w:tcBorders>
              <w:top w:val="nil"/>
              <w:left w:val="nil"/>
              <w:bottom w:val="nil"/>
              <w:right w:val="nil"/>
            </w:tcBorders>
            <w:shd w:val="clear" w:color="000000" w:fill="F1F1F2"/>
            <w:noWrap/>
            <w:vAlign w:val="center"/>
            <w:hideMark/>
          </w:tcPr>
          <w:p w14:paraId="5CECA1F5" w14:textId="77777777" w:rsidR="00572F25" w:rsidRPr="00C877CA" w:rsidRDefault="00572F25" w:rsidP="00140544">
            <w:pPr>
              <w:spacing w:after="0"/>
              <w:rPr>
                <w:rFonts w:cs="Arial"/>
                <w:color w:val="000000"/>
                <w:sz w:val="18"/>
                <w:szCs w:val="18"/>
              </w:rPr>
            </w:pPr>
            <w:r w:rsidRPr="00C877CA">
              <w:rPr>
                <w:rFonts w:cs="Arial"/>
                <w:color w:val="000000"/>
                <w:sz w:val="18"/>
                <w:szCs w:val="18"/>
              </w:rPr>
              <w:t>Private facilities</w:t>
            </w:r>
          </w:p>
        </w:tc>
        <w:tc>
          <w:tcPr>
            <w:tcW w:w="1210" w:type="dxa"/>
            <w:tcBorders>
              <w:top w:val="nil"/>
              <w:left w:val="nil"/>
              <w:bottom w:val="nil"/>
              <w:right w:val="nil"/>
            </w:tcBorders>
            <w:shd w:val="clear" w:color="000000" w:fill="F1F1F2"/>
            <w:noWrap/>
            <w:vAlign w:val="center"/>
            <w:hideMark/>
          </w:tcPr>
          <w:p w14:paraId="7D0E2D3C" w14:textId="77777777" w:rsidR="00572F25" w:rsidRPr="00C877CA" w:rsidRDefault="00572F25" w:rsidP="00140544">
            <w:pPr>
              <w:spacing w:after="0"/>
              <w:jc w:val="center"/>
              <w:rPr>
                <w:rFonts w:cs="Arial"/>
                <w:color w:val="000000"/>
                <w:sz w:val="18"/>
                <w:szCs w:val="18"/>
              </w:rPr>
            </w:pPr>
            <w:r w:rsidRPr="00C877CA">
              <w:rPr>
                <w:rFonts w:cs="Arial"/>
                <w:color w:val="000000"/>
                <w:sz w:val="18"/>
                <w:szCs w:val="18"/>
              </w:rPr>
              <w:t>6,389</w:t>
            </w:r>
          </w:p>
        </w:tc>
        <w:tc>
          <w:tcPr>
            <w:tcW w:w="1460" w:type="dxa"/>
            <w:tcBorders>
              <w:top w:val="nil"/>
              <w:left w:val="nil"/>
              <w:bottom w:val="nil"/>
              <w:right w:val="nil"/>
            </w:tcBorders>
            <w:shd w:val="clear" w:color="000000" w:fill="F1F1F2"/>
            <w:noWrap/>
            <w:vAlign w:val="center"/>
            <w:hideMark/>
          </w:tcPr>
          <w:p w14:paraId="23EA52F5" w14:textId="77777777" w:rsidR="00572F25" w:rsidRPr="00C877CA" w:rsidRDefault="00572F25" w:rsidP="00140544">
            <w:pPr>
              <w:spacing w:after="0"/>
              <w:jc w:val="right"/>
              <w:rPr>
                <w:rFonts w:cs="Arial"/>
                <w:color w:val="000000"/>
                <w:sz w:val="18"/>
                <w:szCs w:val="18"/>
              </w:rPr>
            </w:pPr>
            <w:r w:rsidRPr="00C877CA">
              <w:rPr>
                <w:rFonts w:cs="Arial"/>
                <w:color w:val="000000"/>
                <w:sz w:val="18"/>
                <w:szCs w:val="18"/>
              </w:rPr>
              <w:t>5,215</w:t>
            </w:r>
          </w:p>
        </w:tc>
        <w:tc>
          <w:tcPr>
            <w:tcW w:w="1315" w:type="dxa"/>
            <w:tcBorders>
              <w:top w:val="nil"/>
              <w:left w:val="nil"/>
              <w:bottom w:val="nil"/>
              <w:right w:val="nil"/>
            </w:tcBorders>
            <w:shd w:val="clear" w:color="000000" w:fill="EDEDED"/>
            <w:noWrap/>
            <w:vAlign w:val="center"/>
            <w:hideMark/>
          </w:tcPr>
          <w:p w14:paraId="6F7D33BA" w14:textId="77777777" w:rsidR="00572F25" w:rsidRPr="00C877CA" w:rsidRDefault="00572F25" w:rsidP="00140544">
            <w:pPr>
              <w:spacing w:after="0"/>
              <w:rPr>
                <w:rFonts w:cs="Arial"/>
                <w:color w:val="000000"/>
                <w:sz w:val="18"/>
                <w:szCs w:val="18"/>
              </w:rPr>
            </w:pPr>
            <w:r w:rsidRPr="00C877CA">
              <w:rPr>
                <w:rFonts w:cs="Arial"/>
                <w:color w:val="000000"/>
                <w:sz w:val="18"/>
                <w:szCs w:val="18"/>
              </w:rPr>
              <w:t>81.6</w:t>
            </w:r>
          </w:p>
        </w:tc>
        <w:tc>
          <w:tcPr>
            <w:tcW w:w="1315" w:type="dxa"/>
            <w:tcBorders>
              <w:top w:val="nil"/>
              <w:left w:val="nil"/>
              <w:bottom w:val="nil"/>
              <w:right w:val="nil"/>
            </w:tcBorders>
            <w:shd w:val="clear" w:color="000000" w:fill="F1F1F2"/>
            <w:noWrap/>
            <w:vAlign w:val="center"/>
            <w:hideMark/>
          </w:tcPr>
          <w:p w14:paraId="313665A6" w14:textId="77777777" w:rsidR="00572F25" w:rsidRPr="00C877CA" w:rsidRDefault="00572F25" w:rsidP="00140544">
            <w:pPr>
              <w:spacing w:after="0"/>
              <w:jc w:val="center"/>
              <w:rPr>
                <w:rFonts w:cs="Arial"/>
                <w:color w:val="000000"/>
                <w:sz w:val="18"/>
                <w:szCs w:val="18"/>
              </w:rPr>
            </w:pPr>
            <w:r w:rsidRPr="00C877CA">
              <w:rPr>
                <w:rFonts w:cs="Arial"/>
                <w:color w:val="000000"/>
                <w:sz w:val="18"/>
                <w:szCs w:val="18"/>
              </w:rPr>
              <w:t>5,899</w:t>
            </w:r>
          </w:p>
        </w:tc>
        <w:tc>
          <w:tcPr>
            <w:tcW w:w="1241" w:type="dxa"/>
            <w:tcBorders>
              <w:top w:val="nil"/>
              <w:left w:val="nil"/>
              <w:bottom w:val="nil"/>
              <w:right w:val="nil"/>
            </w:tcBorders>
            <w:shd w:val="clear" w:color="000000" w:fill="F1F1F2"/>
            <w:noWrap/>
            <w:vAlign w:val="center"/>
            <w:hideMark/>
          </w:tcPr>
          <w:p w14:paraId="0EE66D8B" w14:textId="77777777" w:rsidR="00572F25" w:rsidRPr="00C877CA" w:rsidRDefault="00572F25" w:rsidP="00140544">
            <w:pPr>
              <w:spacing w:after="0"/>
              <w:jc w:val="right"/>
              <w:rPr>
                <w:rFonts w:cs="Arial"/>
                <w:color w:val="000000"/>
                <w:sz w:val="18"/>
                <w:szCs w:val="18"/>
              </w:rPr>
            </w:pPr>
            <w:r w:rsidRPr="00C877CA">
              <w:rPr>
                <w:rFonts w:cs="Arial"/>
                <w:color w:val="000000"/>
                <w:sz w:val="18"/>
                <w:szCs w:val="18"/>
              </w:rPr>
              <w:t>1,635</w:t>
            </w:r>
          </w:p>
        </w:tc>
        <w:tc>
          <w:tcPr>
            <w:tcW w:w="1242" w:type="dxa"/>
            <w:tcBorders>
              <w:top w:val="nil"/>
              <w:left w:val="nil"/>
              <w:bottom w:val="nil"/>
              <w:right w:val="nil"/>
            </w:tcBorders>
            <w:shd w:val="clear" w:color="000000" w:fill="F1F1F2"/>
            <w:noWrap/>
            <w:vAlign w:val="center"/>
            <w:hideMark/>
          </w:tcPr>
          <w:p w14:paraId="390537FA" w14:textId="77777777" w:rsidR="00572F25" w:rsidRPr="00C877CA" w:rsidRDefault="00572F25" w:rsidP="00140544">
            <w:pPr>
              <w:spacing w:after="0"/>
              <w:rPr>
                <w:rFonts w:cs="Arial"/>
                <w:color w:val="000000"/>
                <w:sz w:val="18"/>
                <w:szCs w:val="18"/>
              </w:rPr>
            </w:pPr>
            <w:r w:rsidRPr="00C877CA">
              <w:rPr>
                <w:rFonts w:cs="Arial"/>
                <w:color w:val="000000"/>
                <w:sz w:val="18"/>
                <w:szCs w:val="18"/>
              </w:rPr>
              <w:t>27.7</w:t>
            </w:r>
          </w:p>
        </w:tc>
      </w:tr>
      <w:tr w:rsidR="00572F25" w:rsidRPr="00C877CA" w14:paraId="283C7C5C" w14:textId="77777777" w:rsidTr="00140544">
        <w:trPr>
          <w:trHeight w:val="382"/>
        </w:trPr>
        <w:tc>
          <w:tcPr>
            <w:tcW w:w="1567" w:type="dxa"/>
            <w:tcBorders>
              <w:top w:val="double" w:sz="6" w:space="0" w:color="BCBEC0"/>
              <w:left w:val="nil"/>
              <w:bottom w:val="nil"/>
              <w:right w:val="nil"/>
            </w:tcBorders>
            <w:shd w:val="clear" w:color="000000" w:fill="E8B092"/>
            <w:noWrap/>
            <w:vAlign w:val="center"/>
            <w:hideMark/>
          </w:tcPr>
          <w:p w14:paraId="196B41D0" w14:textId="77777777" w:rsidR="00572F25" w:rsidRPr="00E1658A" w:rsidRDefault="00572F25" w:rsidP="00140544">
            <w:pPr>
              <w:spacing w:after="0"/>
              <w:rPr>
                <w:rFonts w:cs="Arial"/>
                <w:color w:val="auto"/>
                <w:sz w:val="18"/>
                <w:szCs w:val="18"/>
              </w:rPr>
            </w:pPr>
            <w:r w:rsidRPr="00E1658A">
              <w:rPr>
                <w:rFonts w:cs="Arial"/>
                <w:color w:val="auto"/>
                <w:sz w:val="18"/>
                <w:szCs w:val="18"/>
              </w:rPr>
              <w:t>Total</w:t>
            </w:r>
          </w:p>
        </w:tc>
        <w:tc>
          <w:tcPr>
            <w:tcW w:w="1210" w:type="dxa"/>
            <w:tcBorders>
              <w:top w:val="double" w:sz="6" w:space="0" w:color="BCBEC0"/>
              <w:left w:val="nil"/>
              <w:bottom w:val="nil"/>
              <w:right w:val="nil"/>
            </w:tcBorders>
            <w:shd w:val="clear" w:color="000000" w:fill="E8B092"/>
            <w:noWrap/>
            <w:vAlign w:val="center"/>
            <w:hideMark/>
          </w:tcPr>
          <w:p w14:paraId="42C896B6" w14:textId="77777777" w:rsidR="00572F25" w:rsidRPr="00E1658A" w:rsidRDefault="00572F25" w:rsidP="00140544">
            <w:pPr>
              <w:spacing w:after="0"/>
              <w:jc w:val="center"/>
              <w:rPr>
                <w:rFonts w:cs="Arial"/>
                <w:color w:val="auto"/>
                <w:sz w:val="18"/>
                <w:szCs w:val="18"/>
              </w:rPr>
            </w:pPr>
            <w:r w:rsidRPr="00E1658A">
              <w:rPr>
                <w:rFonts w:cs="Arial"/>
                <w:color w:val="auto"/>
                <w:sz w:val="18"/>
                <w:szCs w:val="18"/>
              </w:rPr>
              <w:t>10,927</w:t>
            </w:r>
          </w:p>
        </w:tc>
        <w:tc>
          <w:tcPr>
            <w:tcW w:w="1460" w:type="dxa"/>
            <w:tcBorders>
              <w:top w:val="double" w:sz="6" w:space="0" w:color="BCBEC0"/>
              <w:left w:val="nil"/>
              <w:bottom w:val="nil"/>
              <w:right w:val="nil"/>
            </w:tcBorders>
            <w:shd w:val="clear" w:color="000000" w:fill="E8B092"/>
            <w:noWrap/>
            <w:vAlign w:val="center"/>
            <w:hideMark/>
          </w:tcPr>
          <w:p w14:paraId="244AAF44" w14:textId="77777777" w:rsidR="00572F25" w:rsidRPr="00E1658A" w:rsidRDefault="00572F25" w:rsidP="00140544">
            <w:pPr>
              <w:spacing w:after="0"/>
              <w:jc w:val="right"/>
              <w:rPr>
                <w:rFonts w:cs="Arial"/>
                <w:color w:val="auto"/>
                <w:sz w:val="18"/>
                <w:szCs w:val="18"/>
              </w:rPr>
            </w:pPr>
            <w:r w:rsidRPr="00E1658A">
              <w:rPr>
                <w:rFonts w:cs="Arial"/>
                <w:color w:val="auto"/>
                <w:sz w:val="18"/>
                <w:szCs w:val="18"/>
              </w:rPr>
              <w:t>8,317</w:t>
            </w:r>
          </w:p>
        </w:tc>
        <w:tc>
          <w:tcPr>
            <w:tcW w:w="1315" w:type="dxa"/>
            <w:tcBorders>
              <w:top w:val="double" w:sz="6" w:space="0" w:color="BCBEC0"/>
              <w:left w:val="nil"/>
              <w:bottom w:val="nil"/>
              <w:right w:val="nil"/>
            </w:tcBorders>
            <w:shd w:val="clear" w:color="000000" w:fill="E8B092"/>
            <w:noWrap/>
            <w:vAlign w:val="center"/>
            <w:hideMark/>
          </w:tcPr>
          <w:p w14:paraId="603293CD" w14:textId="77777777" w:rsidR="00572F25" w:rsidRPr="00E1658A" w:rsidRDefault="00572F25" w:rsidP="00140544">
            <w:pPr>
              <w:spacing w:after="0"/>
              <w:rPr>
                <w:rFonts w:cs="Arial"/>
                <w:color w:val="auto"/>
                <w:sz w:val="18"/>
                <w:szCs w:val="18"/>
              </w:rPr>
            </w:pPr>
            <w:r w:rsidRPr="00E1658A">
              <w:rPr>
                <w:rFonts w:cs="Arial"/>
                <w:color w:val="auto"/>
                <w:sz w:val="18"/>
                <w:szCs w:val="18"/>
              </w:rPr>
              <w:t>76.1</w:t>
            </w:r>
          </w:p>
        </w:tc>
        <w:tc>
          <w:tcPr>
            <w:tcW w:w="1315" w:type="dxa"/>
            <w:tcBorders>
              <w:top w:val="double" w:sz="6" w:space="0" w:color="BCBEC0"/>
              <w:left w:val="nil"/>
              <w:bottom w:val="nil"/>
              <w:right w:val="nil"/>
            </w:tcBorders>
            <w:shd w:val="clear" w:color="000000" w:fill="E8B092"/>
            <w:noWrap/>
            <w:vAlign w:val="center"/>
            <w:hideMark/>
          </w:tcPr>
          <w:p w14:paraId="0F5CFFFC" w14:textId="77777777" w:rsidR="00572F25" w:rsidRPr="00E1658A" w:rsidRDefault="00572F25" w:rsidP="00140544">
            <w:pPr>
              <w:spacing w:after="0"/>
              <w:jc w:val="center"/>
              <w:rPr>
                <w:rFonts w:cs="Arial"/>
                <w:color w:val="auto"/>
                <w:sz w:val="18"/>
                <w:szCs w:val="18"/>
              </w:rPr>
            </w:pPr>
            <w:r w:rsidRPr="00E1658A">
              <w:rPr>
                <w:rFonts w:cs="Arial"/>
                <w:color w:val="auto"/>
                <w:sz w:val="18"/>
                <w:szCs w:val="18"/>
              </w:rPr>
              <w:t>9,599</w:t>
            </w:r>
          </w:p>
        </w:tc>
        <w:tc>
          <w:tcPr>
            <w:tcW w:w="1241" w:type="dxa"/>
            <w:tcBorders>
              <w:top w:val="double" w:sz="6" w:space="0" w:color="BCBEC0"/>
              <w:left w:val="nil"/>
              <w:bottom w:val="nil"/>
              <w:right w:val="nil"/>
            </w:tcBorders>
            <w:shd w:val="clear" w:color="000000" w:fill="E8B092"/>
            <w:vAlign w:val="center"/>
            <w:hideMark/>
          </w:tcPr>
          <w:p w14:paraId="7DD51839" w14:textId="77777777" w:rsidR="00572F25" w:rsidRPr="00E1658A" w:rsidRDefault="00572F25" w:rsidP="00140544">
            <w:pPr>
              <w:spacing w:after="0"/>
              <w:jc w:val="right"/>
              <w:rPr>
                <w:rFonts w:cs="Arial"/>
                <w:color w:val="auto"/>
                <w:sz w:val="18"/>
                <w:szCs w:val="18"/>
              </w:rPr>
            </w:pPr>
            <w:r w:rsidRPr="00E1658A">
              <w:rPr>
                <w:rFonts w:cs="Arial"/>
                <w:color w:val="auto"/>
                <w:sz w:val="18"/>
                <w:szCs w:val="18"/>
              </w:rPr>
              <w:t>2,717</w:t>
            </w:r>
          </w:p>
        </w:tc>
        <w:tc>
          <w:tcPr>
            <w:tcW w:w="1242" w:type="dxa"/>
            <w:tcBorders>
              <w:top w:val="double" w:sz="6" w:space="0" w:color="BCBEC0"/>
              <w:left w:val="nil"/>
              <w:bottom w:val="nil"/>
              <w:right w:val="nil"/>
            </w:tcBorders>
            <w:shd w:val="clear" w:color="000000" w:fill="E8B092"/>
            <w:noWrap/>
            <w:vAlign w:val="center"/>
            <w:hideMark/>
          </w:tcPr>
          <w:p w14:paraId="730F2CF4" w14:textId="77777777" w:rsidR="00572F25" w:rsidRPr="00E1658A" w:rsidRDefault="00572F25" w:rsidP="00140544">
            <w:pPr>
              <w:spacing w:after="0"/>
              <w:rPr>
                <w:rFonts w:cs="Arial"/>
                <w:color w:val="auto"/>
                <w:sz w:val="18"/>
                <w:szCs w:val="18"/>
              </w:rPr>
            </w:pPr>
            <w:r w:rsidRPr="00E1658A">
              <w:rPr>
                <w:rFonts w:cs="Arial"/>
                <w:color w:val="auto"/>
                <w:sz w:val="18"/>
                <w:szCs w:val="18"/>
              </w:rPr>
              <w:t>28.3</w:t>
            </w:r>
          </w:p>
        </w:tc>
      </w:tr>
    </w:tbl>
    <w:p w14:paraId="337BA8AB" w14:textId="77777777" w:rsidR="00572F25" w:rsidRPr="00EB0905" w:rsidRDefault="00572F25" w:rsidP="00977AD6">
      <w:pPr>
        <w:pStyle w:val="Heading3"/>
      </w:pPr>
      <w:r>
        <w:t>Post-pr</w:t>
      </w:r>
      <w:r w:rsidRPr="002E1055">
        <w:t xml:space="preserve">ocedural </w:t>
      </w:r>
    </w:p>
    <w:p w14:paraId="2A027A65" w14:textId="77777777" w:rsidR="00572F25" w:rsidRPr="0093552D" w:rsidRDefault="00572F25" w:rsidP="00572F25">
      <w:pPr>
        <w:rPr>
          <w:rFonts w:cs="Arial"/>
        </w:rPr>
      </w:pPr>
      <w:r w:rsidRPr="00924753">
        <w:rPr>
          <w:rFonts w:cs="Arial"/>
        </w:rPr>
        <w:t>The rate of prescribing at least one post</w:t>
      </w:r>
      <w:r>
        <w:rPr>
          <w:rFonts w:cs="Arial"/>
        </w:rPr>
        <w:t>-</w:t>
      </w:r>
      <w:r w:rsidRPr="00924753">
        <w:rPr>
          <w:rFonts w:cs="Arial"/>
        </w:rPr>
        <w:t xml:space="preserve">procedural antimicrobial was almost double in private facilities than public </w:t>
      </w:r>
      <w:r w:rsidRPr="00921BCD">
        <w:t>facilities</w:t>
      </w:r>
      <w:r w:rsidRPr="00924753">
        <w:rPr>
          <w:rFonts w:cs="Arial"/>
        </w:rPr>
        <w:t xml:space="preserve"> (</w:t>
      </w:r>
      <w:r w:rsidRPr="00924753">
        <w:rPr>
          <w:rFonts w:cs="Arial"/>
          <w:color w:val="000000"/>
        </w:rPr>
        <w:t>46.3</w:t>
      </w:r>
      <w:r w:rsidRPr="00924753">
        <w:rPr>
          <w:rFonts w:cs="Arial"/>
        </w:rPr>
        <w:t xml:space="preserve">% and 25.2% respectively). </w:t>
      </w:r>
      <w:r>
        <w:rPr>
          <w:rFonts w:cs="Arial"/>
        </w:rPr>
        <w:t>However,</w:t>
      </w:r>
      <w:r w:rsidRPr="00924753">
        <w:rPr>
          <w:rFonts w:cs="Arial"/>
        </w:rPr>
        <w:t xml:space="preserve"> a slightly higher proportion of prescriptions were deemed inappropriate in public facilities (62.9%) compared to private facilities (58.5%) (Table A3.5).</w:t>
      </w:r>
      <w:r w:rsidRPr="0093552D">
        <w:rPr>
          <w:rFonts w:cs="Arial"/>
        </w:rPr>
        <w:t xml:space="preserve"> </w:t>
      </w:r>
    </w:p>
    <w:p w14:paraId="3C1E391A" w14:textId="77777777" w:rsidR="00572F25" w:rsidRDefault="00572F25" w:rsidP="00572F25">
      <w:pPr>
        <w:pStyle w:val="Captions"/>
      </w:pPr>
      <w:r w:rsidRPr="00966ABA">
        <w:t>Table A</w:t>
      </w:r>
      <w:r>
        <w:t>3</w:t>
      </w:r>
      <w:r w:rsidRPr="00966ABA">
        <w:t>.5:</w:t>
      </w:r>
      <w:r w:rsidRPr="00966ABA">
        <w:tab/>
      </w:r>
      <w:proofErr w:type="gramStart"/>
      <w:r w:rsidRPr="00966ABA">
        <w:t>Post</w:t>
      </w:r>
      <w:r>
        <w:t>-</w:t>
      </w:r>
      <w:r w:rsidRPr="002E004E">
        <w:t>procedural</w:t>
      </w:r>
      <w:proofErr w:type="gramEnd"/>
      <w:r w:rsidRPr="00966ABA">
        <w:t xml:space="preserve"> prophylactic antimicrobials by funding type, Surgical </w:t>
      </w:r>
      <w:r>
        <w:t>NAPS</w:t>
      </w:r>
      <w:r w:rsidRPr="00966ABA">
        <w:t xml:space="preserve"> contributor facilities, 20</w:t>
      </w:r>
      <w:r>
        <w:t>21</w:t>
      </w:r>
    </w:p>
    <w:tbl>
      <w:tblPr>
        <w:tblW w:w="9297" w:type="dxa"/>
        <w:tblLayout w:type="fixed"/>
        <w:tblLook w:val="04A0" w:firstRow="1" w:lastRow="0" w:firstColumn="1" w:lastColumn="0" w:noHBand="0" w:noVBand="1"/>
      </w:tblPr>
      <w:tblGrid>
        <w:gridCol w:w="1716"/>
        <w:gridCol w:w="1614"/>
        <w:gridCol w:w="1481"/>
        <w:gridCol w:w="1482"/>
        <w:gridCol w:w="948"/>
        <w:gridCol w:w="1027"/>
        <w:gridCol w:w="1029"/>
      </w:tblGrid>
      <w:tr w:rsidR="00572F25" w:rsidRPr="008C6F68" w14:paraId="2BE3480E" w14:textId="77777777" w:rsidTr="00140544">
        <w:trPr>
          <w:trHeight w:val="710"/>
        </w:trPr>
        <w:tc>
          <w:tcPr>
            <w:tcW w:w="1716" w:type="dxa"/>
            <w:vMerge w:val="restart"/>
            <w:tcBorders>
              <w:top w:val="single" w:sz="8" w:space="0" w:color="BCBEC0"/>
              <w:left w:val="nil"/>
              <w:bottom w:val="nil"/>
              <w:right w:val="nil"/>
            </w:tcBorders>
            <w:shd w:val="clear" w:color="000000" w:fill="6DB2AD"/>
            <w:noWrap/>
            <w:vAlign w:val="center"/>
            <w:hideMark/>
          </w:tcPr>
          <w:p w14:paraId="6E816E10" w14:textId="77777777" w:rsidR="00572F25" w:rsidRPr="00E1658A" w:rsidRDefault="00572F25" w:rsidP="00140544">
            <w:pPr>
              <w:spacing w:after="0"/>
              <w:rPr>
                <w:rFonts w:cs="Arial"/>
                <w:color w:val="auto"/>
                <w:sz w:val="18"/>
                <w:szCs w:val="18"/>
              </w:rPr>
            </w:pPr>
            <w:r w:rsidRPr="00E1658A">
              <w:rPr>
                <w:rFonts w:cs="Arial"/>
                <w:color w:val="auto"/>
                <w:sz w:val="18"/>
                <w:szCs w:val="18"/>
              </w:rPr>
              <w:t>Funding type</w:t>
            </w:r>
          </w:p>
        </w:tc>
        <w:tc>
          <w:tcPr>
            <w:tcW w:w="1614" w:type="dxa"/>
            <w:tcBorders>
              <w:top w:val="single" w:sz="8" w:space="0" w:color="BCBEC0"/>
              <w:left w:val="nil"/>
              <w:bottom w:val="nil"/>
              <w:right w:val="nil"/>
            </w:tcBorders>
            <w:shd w:val="clear" w:color="000000" w:fill="6DB2AD"/>
            <w:noWrap/>
            <w:vAlign w:val="center"/>
            <w:hideMark/>
          </w:tcPr>
          <w:p w14:paraId="766850EC" w14:textId="77777777" w:rsidR="00572F25" w:rsidRPr="00E1658A" w:rsidRDefault="00572F25" w:rsidP="00140544">
            <w:pPr>
              <w:spacing w:after="0"/>
              <w:jc w:val="center"/>
              <w:rPr>
                <w:rFonts w:cs="Arial"/>
                <w:color w:val="auto"/>
                <w:sz w:val="18"/>
                <w:szCs w:val="18"/>
              </w:rPr>
            </w:pPr>
            <w:r w:rsidRPr="00E1658A">
              <w:rPr>
                <w:rFonts w:cs="Arial"/>
                <w:color w:val="auto"/>
                <w:sz w:val="18"/>
                <w:szCs w:val="18"/>
              </w:rPr>
              <w:t>Surgical episodes</w:t>
            </w:r>
          </w:p>
        </w:tc>
        <w:tc>
          <w:tcPr>
            <w:tcW w:w="2963" w:type="dxa"/>
            <w:gridSpan w:val="2"/>
            <w:tcBorders>
              <w:top w:val="single" w:sz="8" w:space="0" w:color="BCBEC0"/>
              <w:left w:val="nil"/>
              <w:right w:val="nil"/>
            </w:tcBorders>
            <w:shd w:val="clear" w:color="000000" w:fill="6DB2AD"/>
            <w:noWrap/>
            <w:vAlign w:val="center"/>
            <w:hideMark/>
          </w:tcPr>
          <w:p w14:paraId="1AF56A58" w14:textId="77777777" w:rsidR="00572F25" w:rsidRPr="00E1658A" w:rsidRDefault="00572F25" w:rsidP="00140544">
            <w:pPr>
              <w:spacing w:after="0"/>
              <w:jc w:val="center"/>
              <w:rPr>
                <w:rFonts w:cs="Arial"/>
                <w:color w:val="auto"/>
                <w:sz w:val="18"/>
                <w:szCs w:val="18"/>
              </w:rPr>
            </w:pPr>
            <w:r w:rsidRPr="00E1658A">
              <w:rPr>
                <w:rFonts w:cs="Arial"/>
                <w:color w:val="auto"/>
                <w:sz w:val="18"/>
                <w:szCs w:val="18"/>
              </w:rPr>
              <w:t>At least one prophylactic</w:t>
            </w:r>
          </w:p>
          <w:p w14:paraId="53FD6824" w14:textId="77777777" w:rsidR="00572F25" w:rsidRPr="00E1658A" w:rsidRDefault="00572F25" w:rsidP="00140544">
            <w:pPr>
              <w:spacing w:after="0"/>
              <w:jc w:val="center"/>
              <w:rPr>
                <w:rFonts w:cs="Arial"/>
                <w:color w:val="auto"/>
                <w:sz w:val="18"/>
                <w:szCs w:val="18"/>
              </w:rPr>
            </w:pPr>
            <w:r w:rsidRPr="00E1658A">
              <w:rPr>
                <w:rFonts w:cs="Arial"/>
                <w:color w:val="auto"/>
                <w:sz w:val="18"/>
                <w:szCs w:val="18"/>
              </w:rPr>
              <w:t>antimicrobial prescribed</w:t>
            </w:r>
          </w:p>
        </w:tc>
        <w:tc>
          <w:tcPr>
            <w:tcW w:w="948" w:type="dxa"/>
            <w:tcBorders>
              <w:top w:val="single" w:sz="8" w:space="0" w:color="BCBEC0"/>
              <w:left w:val="nil"/>
              <w:right w:val="nil"/>
            </w:tcBorders>
            <w:shd w:val="clear" w:color="000000" w:fill="6DB2AD"/>
            <w:vAlign w:val="center"/>
            <w:hideMark/>
          </w:tcPr>
          <w:p w14:paraId="3B91136E" w14:textId="77777777" w:rsidR="00572F25" w:rsidRPr="00E1658A" w:rsidRDefault="00572F25" w:rsidP="00140544">
            <w:pPr>
              <w:spacing w:after="0"/>
              <w:jc w:val="center"/>
              <w:rPr>
                <w:rFonts w:cs="Arial"/>
                <w:color w:val="auto"/>
                <w:sz w:val="18"/>
                <w:szCs w:val="18"/>
              </w:rPr>
            </w:pPr>
            <w:r w:rsidRPr="00E1658A">
              <w:rPr>
                <w:rFonts w:cs="Arial"/>
                <w:color w:val="auto"/>
                <w:sz w:val="18"/>
                <w:szCs w:val="18"/>
              </w:rPr>
              <w:t>Total</w:t>
            </w:r>
          </w:p>
          <w:p w14:paraId="47A34172" w14:textId="77777777" w:rsidR="00572F25" w:rsidRPr="00E1658A" w:rsidRDefault="00572F25" w:rsidP="00140544">
            <w:pPr>
              <w:spacing w:after="0"/>
              <w:jc w:val="center"/>
              <w:rPr>
                <w:rFonts w:cs="Arial"/>
                <w:color w:val="auto"/>
                <w:sz w:val="18"/>
                <w:szCs w:val="18"/>
              </w:rPr>
            </w:pPr>
            <w:r w:rsidRPr="00E1658A">
              <w:rPr>
                <w:rFonts w:cs="Arial"/>
                <w:color w:val="auto"/>
                <w:sz w:val="18"/>
                <w:szCs w:val="18"/>
              </w:rPr>
              <w:t>doses</w:t>
            </w:r>
          </w:p>
        </w:tc>
        <w:tc>
          <w:tcPr>
            <w:tcW w:w="2056" w:type="dxa"/>
            <w:gridSpan w:val="2"/>
            <w:tcBorders>
              <w:top w:val="single" w:sz="8" w:space="0" w:color="BCBEC0"/>
              <w:left w:val="nil"/>
              <w:bottom w:val="nil"/>
              <w:right w:val="nil"/>
            </w:tcBorders>
            <w:shd w:val="clear" w:color="000000" w:fill="6DB2AD"/>
            <w:vAlign w:val="center"/>
            <w:hideMark/>
          </w:tcPr>
          <w:p w14:paraId="5D128E20" w14:textId="77777777" w:rsidR="00572F25" w:rsidRPr="00E1658A" w:rsidRDefault="00572F25" w:rsidP="00140544">
            <w:pPr>
              <w:spacing w:after="0"/>
              <w:jc w:val="center"/>
              <w:rPr>
                <w:rFonts w:cs="Arial"/>
                <w:color w:val="auto"/>
                <w:sz w:val="18"/>
                <w:szCs w:val="18"/>
              </w:rPr>
            </w:pPr>
            <w:r w:rsidRPr="00E1658A">
              <w:rPr>
                <w:rFonts w:cs="Arial"/>
                <w:color w:val="auto"/>
                <w:sz w:val="18"/>
                <w:szCs w:val="18"/>
              </w:rPr>
              <w:t>Inappropriate</w:t>
            </w:r>
          </w:p>
        </w:tc>
      </w:tr>
      <w:tr w:rsidR="00572F25" w:rsidRPr="008C6F68" w14:paraId="13C880B0" w14:textId="77777777" w:rsidTr="00140544">
        <w:trPr>
          <w:trHeight w:val="343"/>
        </w:trPr>
        <w:tc>
          <w:tcPr>
            <w:tcW w:w="1716" w:type="dxa"/>
            <w:vMerge/>
            <w:tcBorders>
              <w:top w:val="single" w:sz="8" w:space="0" w:color="BCBEC0"/>
              <w:left w:val="nil"/>
              <w:bottom w:val="nil"/>
              <w:right w:val="nil"/>
            </w:tcBorders>
            <w:vAlign w:val="center"/>
            <w:hideMark/>
          </w:tcPr>
          <w:p w14:paraId="4950002D" w14:textId="77777777" w:rsidR="00572F25" w:rsidRPr="00E1658A" w:rsidRDefault="00572F25" w:rsidP="00140544">
            <w:pPr>
              <w:spacing w:after="0"/>
              <w:rPr>
                <w:rFonts w:cs="Arial"/>
                <w:color w:val="auto"/>
                <w:sz w:val="18"/>
                <w:szCs w:val="18"/>
              </w:rPr>
            </w:pPr>
          </w:p>
        </w:tc>
        <w:tc>
          <w:tcPr>
            <w:tcW w:w="1614" w:type="dxa"/>
            <w:tcBorders>
              <w:top w:val="nil"/>
              <w:left w:val="nil"/>
              <w:bottom w:val="nil"/>
              <w:right w:val="nil"/>
            </w:tcBorders>
            <w:shd w:val="clear" w:color="000000" w:fill="6DB2AD"/>
            <w:noWrap/>
            <w:vAlign w:val="center"/>
            <w:hideMark/>
          </w:tcPr>
          <w:p w14:paraId="1D2395F1" w14:textId="77777777" w:rsidR="00572F25" w:rsidRPr="00E1658A" w:rsidRDefault="00572F25" w:rsidP="00140544">
            <w:pPr>
              <w:spacing w:after="0"/>
              <w:jc w:val="center"/>
              <w:rPr>
                <w:rFonts w:cs="Arial"/>
                <w:color w:val="auto"/>
                <w:sz w:val="18"/>
                <w:szCs w:val="18"/>
              </w:rPr>
            </w:pPr>
            <w:r w:rsidRPr="00E1658A">
              <w:rPr>
                <w:rFonts w:cs="Arial"/>
                <w:color w:val="auto"/>
                <w:sz w:val="18"/>
                <w:szCs w:val="18"/>
              </w:rPr>
              <w:t>(n)</w:t>
            </w:r>
          </w:p>
        </w:tc>
        <w:tc>
          <w:tcPr>
            <w:tcW w:w="2963" w:type="dxa"/>
            <w:gridSpan w:val="2"/>
            <w:tcBorders>
              <w:top w:val="nil"/>
              <w:left w:val="nil"/>
              <w:bottom w:val="nil"/>
              <w:right w:val="nil"/>
            </w:tcBorders>
            <w:shd w:val="clear" w:color="000000" w:fill="6DB2AD"/>
            <w:noWrap/>
            <w:vAlign w:val="center"/>
            <w:hideMark/>
          </w:tcPr>
          <w:p w14:paraId="793BFEFC" w14:textId="77777777" w:rsidR="00572F25" w:rsidRPr="00E1658A" w:rsidRDefault="00572F25" w:rsidP="00140544">
            <w:pPr>
              <w:spacing w:after="0"/>
              <w:jc w:val="center"/>
              <w:rPr>
                <w:rFonts w:cs="Arial"/>
                <w:color w:val="auto"/>
                <w:sz w:val="18"/>
                <w:szCs w:val="18"/>
              </w:rPr>
            </w:pPr>
            <w:r w:rsidRPr="00E1658A">
              <w:rPr>
                <w:rFonts w:cs="Arial"/>
                <w:color w:val="auto"/>
                <w:sz w:val="18"/>
                <w:szCs w:val="18"/>
              </w:rPr>
              <w:t>(n) (%)</w:t>
            </w:r>
          </w:p>
        </w:tc>
        <w:tc>
          <w:tcPr>
            <w:tcW w:w="948" w:type="dxa"/>
            <w:tcBorders>
              <w:top w:val="nil"/>
              <w:left w:val="nil"/>
              <w:bottom w:val="nil"/>
              <w:right w:val="nil"/>
            </w:tcBorders>
            <w:shd w:val="clear" w:color="000000" w:fill="6DB2AD"/>
            <w:vAlign w:val="center"/>
            <w:hideMark/>
          </w:tcPr>
          <w:p w14:paraId="0DB211D8" w14:textId="77777777" w:rsidR="00572F25" w:rsidRPr="00E1658A" w:rsidRDefault="00572F25" w:rsidP="00140544">
            <w:pPr>
              <w:spacing w:after="0"/>
              <w:jc w:val="center"/>
              <w:rPr>
                <w:rFonts w:cs="Arial"/>
                <w:color w:val="auto"/>
                <w:sz w:val="18"/>
                <w:szCs w:val="18"/>
              </w:rPr>
            </w:pPr>
            <w:r w:rsidRPr="00E1658A">
              <w:rPr>
                <w:rFonts w:cs="Arial"/>
                <w:color w:val="auto"/>
                <w:sz w:val="18"/>
                <w:szCs w:val="18"/>
              </w:rPr>
              <w:t>(n)</w:t>
            </w:r>
          </w:p>
        </w:tc>
        <w:tc>
          <w:tcPr>
            <w:tcW w:w="2056" w:type="dxa"/>
            <w:gridSpan w:val="2"/>
            <w:tcBorders>
              <w:top w:val="nil"/>
              <w:left w:val="nil"/>
              <w:bottom w:val="nil"/>
              <w:right w:val="nil"/>
            </w:tcBorders>
            <w:shd w:val="clear" w:color="000000" w:fill="6DB2AD"/>
            <w:vAlign w:val="center"/>
            <w:hideMark/>
          </w:tcPr>
          <w:p w14:paraId="03634E89" w14:textId="77777777" w:rsidR="00572F25" w:rsidRPr="00E1658A" w:rsidRDefault="00572F25" w:rsidP="00140544">
            <w:pPr>
              <w:spacing w:after="0"/>
              <w:jc w:val="center"/>
              <w:rPr>
                <w:rFonts w:cs="Arial"/>
                <w:color w:val="auto"/>
                <w:sz w:val="18"/>
                <w:szCs w:val="18"/>
              </w:rPr>
            </w:pPr>
            <w:r w:rsidRPr="00E1658A">
              <w:rPr>
                <w:rFonts w:cs="Arial"/>
                <w:color w:val="auto"/>
                <w:sz w:val="18"/>
                <w:szCs w:val="18"/>
              </w:rPr>
              <w:t>(n) (%)</w:t>
            </w:r>
          </w:p>
        </w:tc>
      </w:tr>
      <w:tr w:rsidR="00572F25" w:rsidRPr="008C6F68" w14:paraId="1FB64D9E" w14:textId="77777777" w:rsidTr="00140544">
        <w:trPr>
          <w:trHeight w:val="343"/>
        </w:trPr>
        <w:tc>
          <w:tcPr>
            <w:tcW w:w="1716" w:type="dxa"/>
            <w:tcBorders>
              <w:top w:val="nil"/>
              <w:left w:val="nil"/>
              <w:bottom w:val="nil"/>
              <w:right w:val="nil"/>
            </w:tcBorders>
            <w:shd w:val="clear" w:color="000000" w:fill="FFFFFF"/>
            <w:noWrap/>
            <w:vAlign w:val="center"/>
            <w:hideMark/>
          </w:tcPr>
          <w:p w14:paraId="0DFDAC25" w14:textId="77777777" w:rsidR="00572F25" w:rsidRPr="00EB0905" w:rsidRDefault="00572F25" w:rsidP="00140544">
            <w:pPr>
              <w:spacing w:after="0"/>
              <w:rPr>
                <w:rFonts w:cs="Arial"/>
                <w:color w:val="000000"/>
                <w:sz w:val="18"/>
                <w:szCs w:val="18"/>
              </w:rPr>
            </w:pPr>
            <w:r w:rsidRPr="00EB0905">
              <w:rPr>
                <w:rFonts w:cs="Arial"/>
                <w:color w:val="000000"/>
                <w:sz w:val="18"/>
                <w:szCs w:val="18"/>
              </w:rPr>
              <w:t>Public facilities</w:t>
            </w:r>
          </w:p>
        </w:tc>
        <w:tc>
          <w:tcPr>
            <w:tcW w:w="1614" w:type="dxa"/>
            <w:tcBorders>
              <w:top w:val="nil"/>
              <w:left w:val="nil"/>
              <w:bottom w:val="nil"/>
              <w:right w:val="nil"/>
            </w:tcBorders>
            <w:shd w:val="clear" w:color="000000" w:fill="FFFFFF"/>
            <w:noWrap/>
            <w:vAlign w:val="center"/>
            <w:hideMark/>
          </w:tcPr>
          <w:p w14:paraId="57C1B080" w14:textId="77777777" w:rsidR="00572F25" w:rsidRPr="00EB0905" w:rsidRDefault="00572F25" w:rsidP="00140544">
            <w:pPr>
              <w:spacing w:after="0"/>
              <w:jc w:val="center"/>
              <w:rPr>
                <w:rFonts w:cs="Arial"/>
                <w:color w:val="000000"/>
                <w:sz w:val="18"/>
                <w:szCs w:val="18"/>
              </w:rPr>
            </w:pPr>
            <w:r w:rsidRPr="00EB0905">
              <w:rPr>
                <w:rFonts w:cs="Arial"/>
                <w:color w:val="000000"/>
                <w:sz w:val="18"/>
                <w:szCs w:val="18"/>
              </w:rPr>
              <w:t>4,446</w:t>
            </w:r>
          </w:p>
        </w:tc>
        <w:tc>
          <w:tcPr>
            <w:tcW w:w="1481" w:type="dxa"/>
            <w:tcBorders>
              <w:top w:val="nil"/>
              <w:left w:val="nil"/>
              <w:bottom w:val="nil"/>
              <w:right w:val="nil"/>
            </w:tcBorders>
            <w:shd w:val="clear" w:color="000000" w:fill="FFFFFF"/>
            <w:noWrap/>
            <w:vAlign w:val="center"/>
            <w:hideMark/>
          </w:tcPr>
          <w:p w14:paraId="3C9D0D05" w14:textId="77777777" w:rsidR="00572F25" w:rsidRPr="00EB0905" w:rsidRDefault="00572F25" w:rsidP="00140544">
            <w:pPr>
              <w:spacing w:after="0"/>
              <w:jc w:val="right"/>
              <w:rPr>
                <w:rFonts w:cs="Arial"/>
                <w:color w:val="000000"/>
                <w:sz w:val="18"/>
                <w:szCs w:val="18"/>
              </w:rPr>
            </w:pPr>
            <w:r w:rsidRPr="00EB0905">
              <w:rPr>
                <w:rFonts w:cs="Arial"/>
                <w:color w:val="000000"/>
                <w:sz w:val="18"/>
                <w:szCs w:val="18"/>
              </w:rPr>
              <w:t>1,119</w:t>
            </w:r>
          </w:p>
        </w:tc>
        <w:tc>
          <w:tcPr>
            <w:tcW w:w="1481" w:type="dxa"/>
            <w:tcBorders>
              <w:top w:val="nil"/>
              <w:left w:val="nil"/>
              <w:bottom w:val="nil"/>
              <w:right w:val="nil"/>
            </w:tcBorders>
            <w:shd w:val="clear" w:color="000000" w:fill="FFFFFF"/>
            <w:noWrap/>
            <w:vAlign w:val="center"/>
            <w:hideMark/>
          </w:tcPr>
          <w:p w14:paraId="70094F95" w14:textId="77777777" w:rsidR="00572F25" w:rsidRPr="00EB0905" w:rsidRDefault="00572F25" w:rsidP="00140544">
            <w:pPr>
              <w:spacing w:after="0"/>
              <w:rPr>
                <w:rFonts w:cs="Arial"/>
                <w:color w:val="000000"/>
                <w:sz w:val="18"/>
                <w:szCs w:val="18"/>
              </w:rPr>
            </w:pPr>
            <w:r w:rsidRPr="00EB0905">
              <w:rPr>
                <w:rFonts w:cs="Arial"/>
                <w:color w:val="000000"/>
                <w:sz w:val="18"/>
                <w:szCs w:val="18"/>
              </w:rPr>
              <w:t>25.2</w:t>
            </w:r>
          </w:p>
        </w:tc>
        <w:tc>
          <w:tcPr>
            <w:tcW w:w="948" w:type="dxa"/>
            <w:tcBorders>
              <w:top w:val="nil"/>
              <w:left w:val="nil"/>
              <w:bottom w:val="nil"/>
              <w:right w:val="nil"/>
            </w:tcBorders>
            <w:shd w:val="clear" w:color="000000" w:fill="FFFFFF"/>
            <w:noWrap/>
            <w:vAlign w:val="center"/>
            <w:hideMark/>
          </w:tcPr>
          <w:p w14:paraId="303EEE02" w14:textId="77777777" w:rsidR="00572F25" w:rsidRPr="00EB0905" w:rsidRDefault="00572F25" w:rsidP="00140544">
            <w:pPr>
              <w:spacing w:after="0"/>
              <w:jc w:val="center"/>
              <w:rPr>
                <w:rFonts w:cs="Arial"/>
                <w:color w:val="000000"/>
                <w:sz w:val="18"/>
                <w:szCs w:val="18"/>
              </w:rPr>
            </w:pPr>
            <w:r w:rsidRPr="00EB0905">
              <w:rPr>
                <w:rFonts w:cs="Arial"/>
                <w:color w:val="000000"/>
                <w:sz w:val="18"/>
                <w:szCs w:val="18"/>
              </w:rPr>
              <w:t>1,323</w:t>
            </w:r>
          </w:p>
        </w:tc>
        <w:tc>
          <w:tcPr>
            <w:tcW w:w="1027" w:type="dxa"/>
            <w:tcBorders>
              <w:top w:val="nil"/>
              <w:left w:val="nil"/>
              <w:bottom w:val="nil"/>
              <w:right w:val="nil"/>
            </w:tcBorders>
            <w:shd w:val="clear" w:color="000000" w:fill="FFFFFF"/>
            <w:noWrap/>
            <w:vAlign w:val="center"/>
            <w:hideMark/>
          </w:tcPr>
          <w:p w14:paraId="793D8556" w14:textId="77777777" w:rsidR="00572F25" w:rsidRPr="00EB0905" w:rsidRDefault="00572F25" w:rsidP="00140544">
            <w:pPr>
              <w:spacing w:after="0"/>
              <w:jc w:val="right"/>
              <w:rPr>
                <w:rFonts w:cs="Arial"/>
                <w:color w:val="000000"/>
                <w:sz w:val="18"/>
                <w:szCs w:val="18"/>
              </w:rPr>
            </w:pPr>
            <w:r w:rsidRPr="00EB0905">
              <w:rPr>
                <w:rFonts w:cs="Arial"/>
                <w:color w:val="000000"/>
                <w:sz w:val="18"/>
                <w:szCs w:val="18"/>
              </w:rPr>
              <w:t>832</w:t>
            </w:r>
          </w:p>
        </w:tc>
        <w:tc>
          <w:tcPr>
            <w:tcW w:w="1028" w:type="dxa"/>
            <w:tcBorders>
              <w:top w:val="nil"/>
              <w:left w:val="nil"/>
              <w:bottom w:val="nil"/>
              <w:right w:val="nil"/>
            </w:tcBorders>
            <w:shd w:val="clear" w:color="000000" w:fill="FFFFFF"/>
            <w:noWrap/>
            <w:vAlign w:val="center"/>
            <w:hideMark/>
          </w:tcPr>
          <w:p w14:paraId="48312070" w14:textId="77777777" w:rsidR="00572F25" w:rsidRPr="00EB0905" w:rsidRDefault="00572F25" w:rsidP="00140544">
            <w:pPr>
              <w:spacing w:after="0"/>
              <w:rPr>
                <w:rFonts w:cs="Arial"/>
                <w:color w:val="000000"/>
                <w:sz w:val="18"/>
                <w:szCs w:val="18"/>
              </w:rPr>
            </w:pPr>
            <w:r w:rsidRPr="00EB0905">
              <w:rPr>
                <w:rFonts w:cs="Arial"/>
                <w:color w:val="000000"/>
                <w:sz w:val="18"/>
                <w:szCs w:val="18"/>
              </w:rPr>
              <w:t>62.9</w:t>
            </w:r>
          </w:p>
        </w:tc>
      </w:tr>
      <w:tr w:rsidR="00572F25" w:rsidRPr="008C6F68" w14:paraId="37733D47" w14:textId="77777777" w:rsidTr="005E0457">
        <w:trPr>
          <w:trHeight w:val="361"/>
        </w:trPr>
        <w:tc>
          <w:tcPr>
            <w:tcW w:w="1716" w:type="dxa"/>
            <w:tcBorders>
              <w:top w:val="nil"/>
              <w:left w:val="nil"/>
              <w:bottom w:val="nil"/>
              <w:right w:val="nil"/>
            </w:tcBorders>
            <w:shd w:val="clear" w:color="auto" w:fill="auto"/>
            <w:noWrap/>
            <w:vAlign w:val="center"/>
            <w:hideMark/>
          </w:tcPr>
          <w:p w14:paraId="2FCC7393" w14:textId="77777777" w:rsidR="00572F25" w:rsidRPr="005E0457" w:rsidRDefault="00572F25" w:rsidP="00140544">
            <w:pPr>
              <w:spacing w:after="0"/>
              <w:rPr>
                <w:rFonts w:cs="Arial"/>
                <w:color w:val="000000"/>
                <w:sz w:val="18"/>
                <w:szCs w:val="18"/>
              </w:rPr>
            </w:pPr>
            <w:r w:rsidRPr="005E0457">
              <w:rPr>
                <w:rFonts w:cs="Arial"/>
                <w:color w:val="000000"/>
                <w:sz w:val="18"/>
                <w:szCs w:val="18"/>
              </w:rPr>
              <w:t>Private facilities</w:t>
            </w:r>
          </w:p>
        </w:tc>
        <w:tc>
          <w:tcPr>
            <w:tcW w:w="1614" w:type="dxa"/>
            <w:tcBorders>
              <w:top w:val="nil"/>
              <w:left w:val="nil"/>
              <w:bottom w:val="nil"/>
              <w:right w:val="nil"/>
            </w:tcBorders>
            <w:shd w:val="clear" w:color="auto" w:fill="auto"/>
            <w:noWrap/>
            <w:vAlign w:val="center"/>
            <w:hideMark/>
          </w:tcPr>
          <w:p w14:paraId="517AABB0" w14:textId="77777777" w:rsidR="00572F25" w:rsidRPr="005E0457" w:rsidRDefault="00572F25" w:rsidP="00140544">
            <w:pPr>
              <w:spacing w:after="0"/>
              <w:jc w:val="center"/>
              <w:rPr>
                <w:rFonts w:cs="Arial"/>
                <w:color w:val="000000"/>
                <w:sz w:val="18"/>
                <w:szCs w:val="18"/>
              </w:rPr>
            </w:pPr>
            <w:r w:rsidRPr="005E0457">
              <w:rPr>
                <w:rFonts w:cs="Arial"/>
                <w:color w:val="000000"/>
                <w:sz w:val="18"/>
                <w:szCs w:val="18"/>
              </w:rPr>
              <w:t>6,171</w:t>
            </w:r>
          </w:p>
        </w:tc>
        <w:tc>
          <w:tcPr>
            <w:tcW w:w="1481" w:type="dxa"/>
            <w:tcBorders>
              <w:top w:val="nil"/>
              <w:left w:val="nil"/>
              <w:bottom w:val="nil"/>
              <w:right w:val="nil"/>
            </w:tcBorders>
            <w:shd w:val="clear" w:color="auto" w:fill="auto"/>
            <w:noWrap/>
            <w:vAlign w:val="center"/>
            <w:hideMark/>
          </w:tcPr>
          <w:p w14:paraId="6A195E3E" w14:textId="77777777" w:rsidR="00572F25" w:rsidRPr="005E0457" w:rsidRDefault="00572F25" w:rsidP="00140544">
            <w:pPr>
              <w:spacing w:after="0"/>
              <w:jc w:val="right"/>
              <w:rPr>
                <w:rFonts w:cs="Arial"/>
                <w:color w:val="000000"/>
                <w:sz w:val="18"/>
                <w:szCs w:val="18"/>
              </w:rPr>
            </w:pPr>
            <w:r w:rsidRPr="005E0457">
              <w:rPr>
                <w:rFonts w:cs="Arial"/>
                <w:color w:val="000000"/>
                <w:sz w:val="18"/>
                <w:szCs w:val="18"/>
              </w:rPr>
              <w:t>2,859</w:t>
            </w:r>
          </w:p>
        </w:tc>
        <w:tc>
          <w:tcPr>
            <w:tcW w:w="1481" w:type="dxa"/>
            <w:tcBorders>
              <w:top w:val="nil"/>
              <w:left w:val="nil"/>
              <w:bottom w:val="nil"/>
              <w:right w:val="nil"/>
            </w:tcBorders>
            <w:shd w:val="clear" w:color="auto" w:fill="auto"/>
            <w:noWrap/>
            <w:vAlign w:val="center"/>
            <w:hideMark/>
          </w:tcPr>
          <w:p w14:paraId="6A417286" w14:textId="77777777" w:rsidR="00572F25" w:rsidRPr="005E0457" w:rsidRDefault="00572F25" w:rsidP="00140544">
            <w:pPr>
              <w:spacing w:after="0"/>
              <w:rPr>
                <w:rFonts w:cs="Arial"/>
                <w:color w:val="000000"/>
                <w:sz w:val="18"/>
                <w:szCs w:val="18"/>
              </w:rPr>
            </w:pPr>
            <w:r w:rsidRPr="005E0457">
              <w:rPr>
                <w:rFonts w:cs="Arial"/>
                <w:color w:val="000000"/>
                <w:sz w:val="18"/>
                <w:szCs w:val="18"/>
              </w:rPr>
              <w:t>46.3</w:t>
            </w:r>
          </w:p>
        </w:tc>
        <w:tc>
          <w:tcPr>
            <w:tcW w:w="948" w:type="dxa"/>
            <w:tcBorders>
              <w:top w:val="nil"/>
              <w:left w:val="nil"/>
              <w:bottom w:val="nil"/>
              <w:right w:val="nil"/>
            </w:tcBorders>
            <w:shd w:val="clear" w:color="auto" w:fill="auto"/>
            <w:noWrap/>
            <w:vAlign w:val="center"/>
            <w:hideMark/>
          </w:tcPr>
          <w:p w14:paraId="6BD35E23" w14:textId="77777777" w:rsidR="00572F25" w:rsidRPr="005E0457" w:rsidRDefault="00572F25" w:rsidP="00140544">
            <w:pPr>
              <w:spacing w:after="0"/>
              <w:jc w:val="center"/>
              <w:rPr>
                <w:rFonts w:cs="Arial"/>
                <w:color w:val="000000"/>
                <w:sz w:val="18"/>
                <w:szCs w:val="18"/>
              </w:rPr>
            </w:pPr>
            <w:r w:rsidRPr="005E0457">
              <w:rPr>
                <w:rFonts w:cs="Arial"/>
                <w:color w:val="000000"/>
                <w:sz w:val="18"/>
                <w:szCs w:val="18"/>
              </w:rPr>
              <w:t>3,262</w:t>
            </w:r>
          </w:p>
        </w:tc>
        <w:tc>
          <w:tcPr>
            <w:tcW w:w="1027" w:type="dxa"/>
            <w:tcBorders>
              <w:top w:val="nil"/>
              <w:left w:val="nil"/>
              <w:bottom w:val="nil"/>
              <w:right w:val="nil"/>
            </w:tcBorders>
            <w:shd w:val="clear" w:color="auto" w:fill="auto"/>
            <w:noWrap/>
            <w:vAlign w:val="center"/>
            <w:hideMark/>
          </w:tcPr>
          <w:p w14:paraId="26CF4E4A" w14:textId="77777777" w:rsidR="00572F25" w:rsidRPr="005E0457" w:rsidRDefault="00572F25" w:rsidP="00140544">
            <w:pPr>
              <w:spacing w:after="0"/>
              <w:jc w:val="right"/>
              <w:rPr>
                <w:rFonts w:cs="Arial"/>
                <w:color w:val="000000"/>
                <w:sz w:val="18"/>
                <w:szCs w:val="18"/>
              </w:rPr>
            </w:pPr>
            <w:r w:rsidRPr="005E0457">
              <w:rPr>
                <w:rFonts w:cs="Arial"/>
                <w:color w:val="000000"/>
                <w:sz w:val="18"/>
                <w:szCs w:val="18"/>
              </w:rPr>
              <w:t>1,907</w:t>
            </w:r>
          </w:p>
        </w:tc>
        <w:tc>
          <w:tcPr>
            <w:tcW w:w="1028" w:type="dxa"/>
            <w:tcBorders>
              <w:top w:val="nil"/>
              <w:left w:val="nil"/>
              <w:bottom w:val="nil"/>
              <w:right w:val="nil"/>
            </w:tcBorders>
            <w:shd w:val="clear" w:color="auto" w:fill="auto"/>
            <w:noWrap/>
            <w:vAlign w:val="center"/>
            <w:hideMark/>
          </w:tcPr>
          <w:p w14:paraId="79FB442C" w14:textId="77777777" w:rsidR="00572F25" w:rsidRPr="005E0457" w:rsidRDefault="00572F25" w:rsidP="00140544">
            <w:pPr>
              <w:spacing w:after="0"/>
              <w:rPr>
                <w:rFonts w:cs="Arial"/>
                <w:color w:val="000000"/>
                <w:sz w:val="18"/>
                <w:szCs w:val="18"/>
              </w:rPr>
            </w:pPr>
            <w:r w:rsidRPr="005E0457">
              <w:rPr>
                <w:rFonts w:cs="Arial"/>
                <w:color w:val="000000"/>
                <w:sz w:val="18"/>
                <w:szCs w:val="18"/>
              </w:rPr>
              <w:t>58.5</w:t>
            </w:r>
          </w:p>
        </w:tc>
      </w:tr>
      <w:tr w:rsidR="00572F25" w:rsidRPr="008C6F68" w14:paraId="724F8CEB" w14:textId="77777777" w:rsidTr="00140544">
        <w:trPr>
          <w:trHeight w:val="361"/>
        </w:trPr>
        <w:tc>
          <w:tcPr>
            <w:tcW w:w="1716" w:type="dxa"/>
            <w:tcBorders>
              <w:top w:val="double" w:sz="6" w:space="0" w:color="BCBEC0"/>
              <w:left w:val="nil"/>
              <w:bottom w:val="nil"/>
              <w:right w:val="nil"/>
            </w:tcBorders>
            <w:shd w:val="clear" w:color="000000" w:fill="6DB2AD"/>
            <w:noWrap/>
            <w:vAlign w:val="center"/>
            <w:hideMark/>
          </w:tcPr>
          <w:p w14:paraId="5B0298D8" w14:textId="77777777" w:rsidR="00572F25" w:rsidRPr="00774C15" w:rsidRDefault="00572F25" w:rsidP="00140544">
            <w:pPr>
              <w:spacing w:after="0"/>
              <w:rPr>
                <w:rFonts w:cs="Arial"/>
                <w:color w:val="auto"/>
                <w:sz w:val="18"/>
                <w:szCs w:val="18"/>
              </w:rPr>
            </w:pPr>
            <w:r w:rsidRPr="00774C15">
              <w:rPr>
                <w:rFonts w:cs="Arial"/>
                <w:color w:val="auto"/>
                <w:sz w:val="18"/>
                <w:szCs w:val="18"/>
              </w:rPr>
              <w:t>Total</w:t>
            </w:r>
          </w:p>
        </w:tc>
        <w:tc>
          <w:tcPr>
            <w:tcW w:w="1614" w:type="dxa"/>
            <w:tcBorders>
              <w:top w:val="double" w:sz="6" w:space="0" w:color="BCBEC0"/>
              <w:left w:val="nil"/>
              <w:bottom w:val="nil"/>
              <w:right w:val="nil"/>
            </w:tcBorders>
            <w:shd w:val="clear" w:color="000000" w:fill="6DB2AD"/>
            <w:noWrap/>
            <w:vAlign w:val="center"/>
            <w:hideMark/>
          </w:tcPr>
          <w:p w14:paraId="0DAE7E53" w14:textId="77777777" w:rsidR="00572F25" w:rsidRPr="00774C15" w:rsidRDefault="00572F25" w:rsidP="00140544">
            <w:pPr>
              <w:spacing w:after="0"/>
              <w:jc w:val="center"/>
              <w:rPr>
                <w:rFonts w:cs="Arial"/>
                <w:color w:val="auto"/>
                <w:sz w:val="18"/>
                <w:szCs w:val="18"/>
              </w:rPr>
            </w:pPr>
            <w:r w:rsidRPr="00774C15">
              <w:rPr>
                <w:rFonts w:cs="Arial"/>
                <w:color w:val="auto"/>
                <w:sz w:val="18"/>
                <w:szCs w:val="18"/>
              </w:rPr>
              <w:t>10,617</w:t>
            </w:r>
          </w:p>
        </w:tc>
        <w:tc>
          <w:tcPr>
            <w:tcW w:w="1481" w:type="dxa"/>
            <w:tcBorders>
              <w:top w:val="double" w:sz="6" w:space="0" w:color="BCBEC0"/>
              <w:left w:val="nil"/>
              <w:bottom w:val="nil"/>
              <w:right w:val="nil"/>
            </w:tcBorders>
            <w:shd w:val="clear" w:color="000000" w:fill="6DB2AD"/>
            <w:noWrap/>
            <w:vAlign w:val="center"/>
            <w:hideMark/>
          </w:tcPr>
          <w:p w14:paraId="7A30E02F" w14:textId="77777777" w:rsidR="00572F25" w:rsidRPr="00774C15" w:rsidRDefault="00572F25" w:rsidP="00140544">
            <w:pPr>
              <w:spacing w:after="0"/>
              <w:jc w:val="right"/>
              <w:rPr>
                <w:rFonts w:cs="Arial"/>
                <w:color w:val="auto"/>
                <w:sz w:val="18"/>
                <w:szCs w:val="18"/>
              </w:rPr>
            </w:pPr>
            <w:r w:rsidRPr="00774C15">
              <w:rPr>
                <w:rFonts w:cs="Arial"/>
                <w:color w:val="auto"/>
                <w:sz w:val="18"/>
                <w:szCs w:val="18"/>
              </w:rPr>
              <w:t>3,978</w:t>
            </w:r>
          </w:p>
        </w:tc>
        <w:tc>
          <w:tcPr>
            <w:tcW w:w="1481" w:type="dxa"/>
            <w:tcBorders>
              <w:top w:val="double" w:sz="6" w:space="0" w:color="BCBEC0"/>
              <w:left w:val="nil"/>
              <w:bottom w:val="nil"/>
              <w:right w:val="nil"/>
            </w:tcBorders>
            <w:shd w:val="clear" w:color="000000" w:fill="6DB2AD"/>
            <w:noWrap/>
            <w:vAlign w:val="center"/>
            <w:hideMark/>
          </w:tcPr>
          <w:p w14:paraId="40156775" w14:textId="77777777" w:rsidR="00572F25" w:rsidRPr="00774C15" w:rsidRDefault="00572F25" w:rsidP="00140544">
            <w:pPr>
              <w:spacing w:after="0"/>
              <w:rPr>
                <w:rFonts w:cs="Arial"/>
                <w:color w:val="auto"/>
                <w:sz w:val="18"/>
                <w:szCs w:val="18"/>
              </w:rPr>
            </w:pPr>
            <w:r w:rsidRPr="00774C15">
              <w:rPr>
                <w:rFonts w:cs="Arial"/>
                <w:color w:val="auto"/>
                <w:sz w:val="18"/>
                <w:szCs w:val="18"/>
              </w:rPr>
              <w:t>37.5</w:t>
            </w:r>
          </w:p>
        </w:tc>
        <w:tc>
          <w:tcPr>
            <w:tcW w:w="948" w:type="dxa"/>
            <w:tcBorders>
              <w:top w:val="double" w:sz="6" w:space="0" w:color="BCBEC0"/>
              <w:left w:val="nil"/>
              <w:bottom w:val="nil"/>
              <w:right w:val="nil"/>
            </w:tcBorders>
            <w:shd w:val="clear" w:color="000000" w:fill="6DB2AD"/>
            <w:noWrap/>
            <w:vAlign w:val="center"/>
            <w:hideMark/>
          </w:tcPr>
          <w:p w14:paraId="102EBB10" w14:textId="77777777" w:rsidR="00572F25" w:rsidRPr="00774C15" w:rsidRDefault="00572F25" w:rsidP="00140544">
            <w:pPr>
              <w:spacing w:after="0"/>
              <w:jc w:val="center"/>
              <w:rPr>
                <w:rFonts w:cs="Arial"/>
                <w:color w:val="auto"/>
                <w:sz w:val="18"/>
                <w:szCs w:val="18"/>
              </w:rPr>
            </w:pPr>
            <w:r w:rsidRPr="00774C15">
              <w:rPr>
                <w:rFonts w:cs="Arial"/>
                <w:color w:val="auto"/>
                <w:sz w:val="18"/>
                <w:szCs w:val="18"/>
              </w:rPr>
              <w:t>4,585</w:t>
            </w:r>
          </w:p>
        </w:tc>
        <w:tc>
          <w:tcPr>
            <w:tcW w:w="1027" w:type="dxa"/>
            <w:tcBorders>
              <w:top w:val="double" w:sz="6" w:space="0" w:color="BCBEC0"/>
              <w:left w:val="nil"/>
              <w:bottom w:val="nil"/>
              <w:right w:val="nil"/>
            </w:tcBorders>
            <w:shd w:val="clear" w:color="000000" w:fill="6DB2AD"/>
            <w:vAlign w:val="center"/>
            <w:hideMark/>
          </w:tcPr>
          <w:p w14:paraId="6BCB1A32" w14:textId="77777777" w:rsidR="00572F25" w:rsidRPr="00774C15" w:rsidRDefault="00572F25" w:rsidP="00140544">
            <w:pPr>
              <w:spacing w:after="0"/>
              <w:jc w:val="right"/>
              <w:rPr>
                <w:rFonts w:cs="Arial"/>
                <w:color w:val="auto"/>
                <w:sz w:val="18"/>
                <w:szCs w:val="18"/>
              </w:rPr>
            </w:pPr>
            <w:r w:rsidRPr="00774C15">
              <w:rPr>
                <w:rFonts w:cs="Arial"/>
                <w:color w:val="auto"/>
                <w:sz w:val="18"/>
                <w:szCs w:val="18"/>
              </w:rPr>
              <w:t>2,739</w:t>
            </w:r>
          </w:p>
        </w:tc>
        <w:tc>
          <w:tcPr>
            <w:tcW w:w="1028" w:type="dxa"/>
            <w:tcBorders>
              <w:top w:val="double" w:sz="6" w:space="0" w:color="BCBEC0"/>
              <w:left w:val="nil"/>
              <w:bottom w:val="nil"/>
              <w:right w:val="nil"/>
            </w:tcBorders>
            <w:shd w:val="clear" w:color="000000" w:fill="6DB2AD"/>
            <w:noWrap/>
            <w:vAlign w:val="center"/>
            <w:hideMark/>
          </w:tcPr>
          <w:p w14:paraId="69B8D1A5" w14:textId="77777777" w:rsidR="00572F25" w:rsidRPr="00774C15" w:rsidRDefault="00572F25" w:rsidP="00140544">
            <w:pPr>
              <w:spacing w:after="0"/>
              <w:rPr>
                <w:rFonts w:cs="Arial"/>
                <w:color w:val="auto"/>
                <w:sz w:val="18"/>
                <w:szCs w:val="18"/>
              </w:rPr>
            </w:pPr>
            <w:r w:rsidRPr="00774C15">
              <w:rPr>
                <w:rFonts w:cs="Arial"/>
                <w:color w:val="auto"/>
                <w:sz w:val="18"/>
                <w:szCs w:val="18"/>
              </w:rPr>
              <w:t>59.7</w:t>
            </w:r>
          </w:p>
        </w:tc>
      </w:tr>
    </w:tbl>
    <w:p w14:paraId="70DDF560" w14:textId="77777777" w:rsidR="00572F25" w:rsidRPr="00921BCD" w:rsidRDefault="00572F25" w:rsidP="00572F25"/>
    <w:p w14:paraId="0E1B5432" w14:textId="77777777" w:rsidR="00572F25" w:rsidRDefault="00572F25" w:rsidP="00572F25">
      <w:pPr>
        <w:rPr>
          <w:rFonts w:cs="Arial"/>
        </w:rPr>
      </w:pPr>
      <w:r w:rsidRPr="00006393">
        <w:rPr>
          <w:rFonts w:cs="Arial"/>
        </w:rPr>
        <w:t xml:space="preserve">The range for the duration of surgical prophylaxis prescribing differed between public and private facilities due to an outlier of one prescription at a public facility for 49 days. </w:t>
      </w:r>
      <w:r>
        <w:rPr>
          <w:rFonts w:cs="Arial"/>
        </w:rPr>
        <w:t>T</w:t>
      </w:r>
      <w:r w:rsidRPr="00006393">
        <w:rPr>
          <w:rFonts w:cs="Arial"/>
        </w:rPr>
        <w:t>he corresponding median duration of prescribing was higher for private compared to public facilities</w:t>
      </w:r>
      <w:r>
        <w:rPr>
          <w:rFonts w:cs="Arial"/>
        </w:rPr>
        <w:t>:</w:t>
      </w:r>
      <w:r w:rsidRPr="00006393">
        <w:rPr>
          <w:rFonts w:cs="Arial"/>
        </w:rPr>
        <w:t xml:space="preserve"> </w:t>
      </w:r>
      <w:r>
        <w:rPr>
          <w:rFonts w:cs="Arial"/>
        </w:rPr>
        <w:t>2 days</w:t>
      </w:r>
      <w:r w:rsidRPr="00006393">
        <w:rPr>
          <w:rFonts w:cs="Arial"/>
        </w:rPr>
        <w:t xml:space="preserve"> and </w:t>
      </w:r>
      <w:r>
        <w:rPr>
          <w:rFonts w:cs="Arial"/>
        </w:rPr>
        <w:t>1 </w:t>
      </w:r>
      <w:r w:rsidRPr="00006393">
        <w:rPr>
          <w:rFonts w:cs="Arial"/>
        </w:rPr>
        <w:t xml:space="preserve">day </w:t>
      </w:r>
      <w:r w:rsidRPr="00EB0905">
        <w:rPr>
          <w:rFonts w:cs="Arial"/>
        </w:rPr>
        <w:t xml:space="preserve">respectively (Table A3.6). Similarly, the proportion of surgical prophylaxis prescribed for </w:t>
      </w:r>
      <w:r w:rsidRPr="00921BCD">
        <w:t>greater</w:t>
      </w:r>
      <w:r w:rsidRPr="00EB0905">
        <w:rPr>
          <w:rFonts w:cs="Arial"/>
        </w:rPr>
        <w:t xml:space="preserve"> than 24 hours was </w:t>
      </w:r>
      <w:r>
        <w:rPr>
          <w:rFonts w:cs="Arial"/>
        </w:rPr>
        <w:t>higher</w:t>
      </w:r>
      <w:r w:rsidRPr="00EB0905">
        <w:rPr>
          <w:rFonts w:cs="Arial"/>
        </w:rPr>
        <w:t xml:space="preserve"> in private facilities (71.9%) compared to public facilities (61.8%</w:t>
      </w:r>
      <w:r>
        <w:rPr>
          <w:rFonts w:cs="Arial"/>
        </w:rPr>
        <w:t>)</w:t>
      </w:r>
      <w:r w:rsidRPr="00EB0905">
        <w:rPr>
          <w:rFonts w:cs="Arial"/>
        </w:rPr>
        <w:t>.</w:t>
      </w:r>
      <w:r w:rsidRPr="00C74995">
        <w:rPr>
          <w:rFonts w:cs="Arial"/>
        </w:rPr>
        <w:t xml:space="preserve"> </w:t>
      </w:r>
    </w:p>
    <w:p w14:paraId="4979C06E" w14:textId="77777777" w:rsidR="00572F25" w:rsidRDefault="00572F25" w:rsidP="00572F25">
      <w:pPr>
        <w:pStyle w:val="Captions"/>
      </w:pPr>
      <w:r w:rsidRPr="00D37690">
        <w:lastRenderedPageBreak/>
        <w:t>Table A</w:t>
      </w:r>
      <w:r>
        <w:t>3</w:t>
      </w:r>
      <w:r w:rsidRPr="00D37690">
        <w:t>.6:</w:t>
      </w:r>
      <w:r w:rsidRPr="00D37690">
        <w:tab/>
        <w:t xml:space="preserve">Duration of surgical prophylaxis and percentage prescribed for greater than 24 and 48 hours, by funding type, Surgical </w:t>
      </w:r>
      <w:r>
        <w:t>NAPS</w:t>
      </w:r>
      <w:r w:rsidRPr="00D37690">
        <w:t xml:space="preserve"> contributor facilities, </w:t>
      </w:r>
      <w:proofErr w:type="gramStart"/>
      <w:r w:rsidRPr="00D37690">
        <w:t>20</w:t>
      </w:r>
      <w:r>
        <w:t>21</w:t>
      </w:r>
      <w:proofErr w:type="gramEnd"/>
    </w:p>
    <w:tbl>
      <w:tblPr>
        <w:tblW w:w="9514" w:type="dxa"/>
        <w:tblLayout w:type="fixed"/>
        <w:tblLook w:val="04A0" w:firstRow="1" w:lastRow="0" w:firstColumn="1" w:lastColumn="0" w:noHBand="0" w:noVBand="1"/>
      </w:tblPr>
      <w:tblGrid>
        <w:gridCol w:w="1611"/>
        <w:gridCol w:w="1611"/>
        <w:gridCol w:w="1170"/>
        <w:gridCol w:w="1610"/>
        <w:gridCol w:w="841"/>
        <w:gridCol w:w="842"/>
        <w:gridCol w:w="914"/>
        <w:gridCol w:w="915"/>
      </w:tblGrid>
      <w:tr w:rsidR="00572F25" w:rsidRPr="00DE0961" w14:paraId="0B1DA375" w14:textId="77777777" w:rsidTr="00140544">
        <w:trPr>
          <w:trHeight w:val="350"/>
          <w:tblHeader/>
        </w:trPr>
        <w:tc>
          <w:tcPr>
            <w:tcW w:w="1611" w:type="dxa"/>
            <w:vMerge w:val="restart"/>
            <w:tcBorders>
              <w:top w:val="nil"/>
              <w:left w:val="nil"/>
              <w:bottom w:val="nil"/>
              <w:right w:val="nil"/>
            </w:tcBorders>
            <w:shd w:val="clear" w:color="000000" w:fill="007D75"/>
            <w:noWrap/>
            <w:vAlign w:val="center"/>
            <w:hideMark/>
          </w:tcPr>
          <w:p w14:paraId="5ED813A0" w14:textId="77777777" w:rsidR="00572F25" w:rsidRPr="00DE0961" w:rsidRDefault="00572F25" w:rsidP="00140544">
            <w:pPr>
              <w:spacing w:after="0"/>
              <w:rPr>
                <w:rFonts w:cs="Arial"/>
                <w:color w:val="FFFFFF"/>
                <w:sz w:val="20"/>
                <w:szCs w:val="20"/>
              </w:rPr>
            </w:pPr>
            <w:r w:rsidRPr="00DE0961">
              <w:rPr>
                <w:rFonts w:cs="Arial"/>
                <w:color w:val="FFFFFF"/>
                <w:sz w:val="20"/>
                <w:szCs w:val="20"/>
              </w:rPr>
              <w:t>Funding type</w:t>
            </w:r>
          </w:p>
        </w:tc>
        <w:tc>
          <w:tcPr>
            <w:tcW w:w="1611" w:type="dxa"/>
            <w:vMerge w:val="restart"/>
            <w:tcBorders>
              <w:top w:val="nil"/>
              <w:left w:val="nil"/>
              <w:right w:val="nil"/>
            </w:tcBorders>
            <w:shd w:val="clear" w:color="000000" w:fill="007D75"/>
            <w:noWrap/>
            <w:vAlign w:val="center"/>
            <w:hideMark/>
          </w:tcPr>
          <w:p w14:paraId="2275CEE6" w14:textId="77777777" w:rsidR="00572F25" w:rsidRPr="00DE0961" w:rsidRDefault="00572F25" w:rsidP="00140544">
            <w:pPr>
              <w:spacing w:after="0"/>
              <w:jc w:val="center"/>
              <w:rPr>
                <w:rFonts w:cs="Arial"/>
                <w:color w:val="FFFFFF"/>
                <w:sz w:val="20"/>
                <w:szCs w:val="20"/>
              </w:rPr>
            </w:pPr>
          </w:p>
          <w:p w14:paraId="1C8F0501" w14:textId="77777777" w:rsidR="00572F25" w:rsidRPr="00DE0961" w:rsidRDefault="00572F25" w:rsidP="00140544">
            <w:pPr>
              <w:spacing w:after="0"/>
              <w:jc w:val="center"/>
              <w:rPr>
                <w:rFonts w:cs="Arial"/>
                <w:color w:val="FFFFFF"/>
                <w:sz w:val="20"/>
                <w:szCs w:val="20"/>
              </w:rPr>
            </w:pPr>
            <w:r w:rsidRPr="00DE0961">
              <w:rPr>
                <w:rFonts w:cs="Arial"/>
                <w:color w:val="FFFFFF"/>
                <w:sz w:val="20"/>
                <w:szCs w:val="20"/>
              </w:rPr>
              <w:t xml:space="preserve">Antimicrobial </w:t>
            </w:r>
            <w:r>
              <w:rPr>
                <w:rFonts w:cs="Arial"/>
                <w:color w:val="FFFFFF"/>
                <w:sz w:val="20"/>
                <w:szCs w:val="20"/>
              </w:rPr>
              <w:t>p</w:t>
            </w:r>
            <w:r w:rsidRPr="00DE0961">
              <w:rPr>
                <w:rFonts w:cs="Arial"/>
                <w:color w:val="FFFFFF"/>
                <w:sz w:val="20"/>
                <w:szCs w:val="20"/>
              </w:rPr>
              <w:t>rescriptions</w:t>
            </w:r>
          </w:p>
        </w:tc>
        <w:tc>
          <w:tcPr>
            <w:tcW w:w="1170" w:type="dxa"/>
            <w:vMerge w:val="restart"/>
            <w:tcBorders>
              <w:top w:val="nil"/>
              <w:left w:val="nil"/>
              <w:bottom w:val="nil"/>
              <w:right w:val="nil"/>
            </w:tcBorders>
            <w:shd w:val="clear" w:color="000000" w:fill="007D75"/>
            <w:vAlign w:val="center"/>
            <w:hideMark/>
          </w:tcPr>
          <w:p w14:paraId="35BFBABA" w14:textId="77777777" w:rsidR="00572F25" w:rsidRPr="00DE0961" w:rsidRDefault="00572F25" w:rsidP="00140544">
            <w:pPr>
              <w:spacing w:after="0"/>
              <w:jc w:val="center"/>
              <w:rPr>
                <w:rFonts w:cs="Arial"/>
                <w:color w:val="FFFFFF"/>
                <w:sz w:val="20"/>
                <w:szCs w:val="20"/>
              </w:rPr>
            </w:pPr>
            <w:r w:rsidRPr="00DE0961">
              <w:rPr>
                <w:rFonts w:cs="Arial"/>
                <w:color w:val="FFFFFF"/>
                <w:sz w:val="20"/>
                <w:szCs w:val="20"/>
              </w:rPr>
              <w:t>Duration range</w:t>
            </w:r>
          </w:p>
        </w:tc>
        <w:tc>
          <w:tcPr>
            <w:tcW w:w="1610" w:type="dxa"/>
            <w:vMerge w:val="restart"/>
            <w:tcBorders>
              <w:top w:val="nil"/>
              <w:left w:val="nil"/>
              <w:bottom w:val="nil"/>
              <w:right w:val="nil"/>
            </w:tcBorders>
            <w:shd w:val="clear" w:color="000000" w:fill="007D75"/>
            <w:vAlign w:val="center"/>
            <w:hideMark/>
          </w:tcPr>
          <w:p w14:paraId="176B305D" w14:textId="77777777" w:rsidR="00572F25" w:rsidRPr="00DE0961" w:rsidRDefault="00572F25" w:rsidP="00140544">
            <w:pPr>
              <w:spacing w:after="0"/>
              <w:jc w:val="center"/>
              <w:rPr>
                <w:rFonts w:cs="Arial"/>
                <w:color w:val="FFFFFF"/>
                <w:sz w:val="20"/>
                <w:szCs w:val="20"/>
              </w:rPr>
            </w:pPr>
            <w:r w:rsidRPr="00DE0961">
              <w:rPr>
                <w:rFonts w:cs="Arial"/>
                <w:color w:val="FFFFFF"/>
                <w:sz w:val="20"/>
                <w:szCs w:val="20"/>
              </w:rPr>
              <w:t>Duration median</w:t>
            </w:r>
          </w:p>
        </w:tc>
        <w:tc>
          <w:tcPr>
            <w:tcW w:w="1683" w:type="dxa"/>
            <w:gridSpan w:val="2"/>
            <w:tcBorders>
              <w:top w:val="nil"/>
              <w:left w:val="nil"/>
              <w:bottom w:val="nil"/>
              <w:right w:val="nil"/>
            </w:tcBorders>
            <w:shd w:val="clear" w:color="000000" w:fill="007D75"/>
            <w:vAlign w:val="center"/>
            <w:hideMark/>
          </w:tcPr>
          <w:p w14:paraId="062B1B82" w14:textId="77777777" w:rsidR="00572F25" w:rsidRPr="00DE0961" w:rsidRDefault="00572F25" w:rsidP="00140544">
            <w:pPr>
              <w:spacing w:after="0"/>
              <w:jc w:val="center"/>
              <w:rPr>
                <w:rFonts w:cs="Arial"/>
                <w:color w:val="FFFFFF"/>
                <w:sz w:val="20"/>
                <w:szCs w:val="20"/>
              </w:rPr>
            </w:pPr>
            <w:r w:rsidRPr="00DE0961">
              <w:rPr>
                <w:rFonts w:cs="Arial"/>
                <w:color w:val="FFFFFF"/>
                <w:sz w:val="20"/>
                <w:szCs w:val="20"/>
              </w:rPr>
              <w:t>Duration</w:t>
            </w:r>
          </w:p>
        </w:tc>
        <w:tc>
          <w:tcPr>
            <w:tcW w:w="1829" w:type="dxa"/>
            <w:gridSpan w:val="2"/>
            <w:tcBorders>
              <w:top w:val="nil"/>
              <w:left w:val="nil"/>
              <w:bottom w:val="nil"/>
              <w:right w:val="nil"/>
            </w:tcBorders>
            <w:shd w:val="clear" w:color="000000" w:fill="007D75"/>
            <w:vAlign w:val="center"/>
            <w:hideMark/>
          </w:tcPr>
          <w:p w14:paraId="3ECAF4C9" w14:textId="77777777" w:rsidR="00572F25" w:rsidRPr="00DE0961" w:rsidRDefault="00572F25" w:rsidP="00140544">
            <w:pPr>
              <w:spacing w:after="0"/>
              <w:jc w:val="center"/>
              <w:rPr>
                <w:rFonts w:cs="Arial"/>
                <w:color w:val="FFFFFF"/>
                <w:sz w:val="20"/>
                <w:szCs w:val="20"/>
              </w:rPr>
            </w:pPr>
            <w:r w:rsidRPr="00DE0961">
              <w:rPr>
                <w:rFonts w:cs="Arial"/>
                <w:color w:val="FFFFFF"/>
                <w:sz w:val="20"/>
                <w:szCs w:val="20"/>
              </w:rPr>
              <w:t>Duration</w:t>
            </w:r>
          </w:p>
        </w:tc>
      </w:tr>
      <w:tr w:rsidR="00572F25" w:rsidRPr="00DE0961" w14:paraId="4C6FCA93" w14:textId="77777777" w:rsidTr="00140544">
        <w:trPr>
          <w:trHeight w:val="350"/>
          <w:tblHeader/>
        </w:trPr>
        <w:tc>
          <w:tcPr>
            <w:tcW w:w="1611" w:type="dxa"/>
            <w:vMerge/>
            <w:tcBorders>
              <w:top w:val="nil"/>
              <w:left w:val="nil"/>
              <w:bottom w:val="nil"/>
              <w:right w:val="nil"/>
            </w:tcBorders>
            <w:vAlign w:val="center"/>
            <w:hideMark/>
          </w:tcPr>
          <w:p w14:paraId="0B146A37" w14:textId="77777777" w:rsidR="00572F25" w:rsidRPr="00DE0961" w:rsidRDefault="00572F25" w:rsidP="00140544">
            <w:pPr>
              <w:spacing w:after="0"/>
              <w:rPr>
                <w:rFonts w:cs="Arial"/>
                <w:color w:val="FFFFFF"/>
                <w:sz w:val="20"/>
                <w:szCs w:val="20"/>
              </w:rPr>
            </w:pPr>
          </w:p>
        </w:tc>
        <w:tc>
          <w:tcPr>
            <w:tcW w:w="1611" w:type="dxa"/>
            <w:vMerge/>
            <w:tcBorders>
              <w:left w:val="nil"/>
              <w:bottom w:val="nil"/>
              <w:right w:val="nil"/>
            </w:tcBorders>
            <w:shd w:val="clear" w:color="000000" w:fill="007D75"/>
            <w:noWrap/>
            <w:vAlign w:val="center"/>
            <w:hideMark/>
          </w:tcPr>
          <w:p w14:paraId="293B87FD" w14:textId="77777777" w:rsidR="00572F25" w:rsidRPr="00DE0961" w:rsidRDefault="00572F25" w:rsidP="00140544">
            <w:pPr>
              <w:spacing w:after="0"/>
              <w:jc w:val="center"/>
              <w:rPr>
                <w:rFonts w:cs="Arial"/>
                <w:color w:val="FFFFFF"/>
                <w:sz w:val="20"/>
                <w:szCs w:val="20"/>
              </w:rPr>
            </w:pPr>
          </w:p>
        </w:tc>
        <w:tc>
          <w:tcPr>
            <w:tcW w:w="1170" w:type="dxa"/>
            <w:vMerge/>
            <w:tcBorders>
              <w:top w:val="nil"/>
              <w:left w:val="nil"/>
              <w:bottom w:val="nil"/>
              <w:right w:val="nil"/>
            </w:tcBorders>
            <w:vAlign w:val="center"/>
            <w:hideMark/>
          </w:tcPr>
          <w:p w14:paraId="6BDCBDBD" w14:textId="77777777" w:rsidR="00572F25" w:rsidRPr="00DE0961" w:rsidRDefault="00572F25" w:rsidP="00140544">
            <w:pPr>
              <w:spacing w:after="0"/>
              <w:rPr>
                <w:rFonts w:cs="Arial"/>
                <w:color w:val="FFFFFF"/>
                <w:sz w:val="20"/>
                <w:szCs w:val="20"/>
              </w:rPr>
            </w:pPr>
          </w:p>
        </w:tc>
        <w:tc>
          <w:tcPr>
            <w:tcW w:w="1610" w:type="dxa"/>
            <w:vMerge/>
            <w:tcBorders>
              <w:top w:val="nil"/>
              <w:left w:val="nil"/>
              <w:bottom w:val="nil"/>
              <w:right w:val="nil"/>
            </w:tcBorders>
            <w:vAlign w:val="center"/>
            <w:hideMark/>
          </w:tcPr>
          <w:p w14:paraId="0E67EAC8" w14:textId="77777777" w:rsidR="00572F25" w:rsidRPr="00DE0961" w:rsidRDefault="00572F25" w:rsidP="00140544">
            <w:pPr>
              <w:spacing w:after="0"/>
              <w:rPr>
                <w:rFonts w:cs="Arial"/>
                <w:color w:val="FFFFFF"/>
                <w:sz w:val="20"/>
                <w:szCs w:val="20"/>
              </w:rPr>
            </w:pPr>
          </w:p>
        </w:tc>
        <w:tc>
          <w:tcPr>
            <w:tcW w:w="1683" w:type="dxa"/>
            <w:gridSpan w:val="2"/>
            <w:tcBorders>
              <w:top w:val="nil"/>
              <w:left w:val="nil"/>
              <w:bottom w:val="nil"/>
              <w:right w:val="nil"/>
            </w:tcBorders>
            <w:shd w:val="clear" w:color="000000" w:fill="007D75"/>
            <w:vAlign w:val="center"/>
            <w:hideMark/>
          </w:tcPr>
          <w:p w14:paraId="43A6BC85" w14:textId="77777777" w:rsidR="00572F25" w:rsidRPr="00DE0961" w:rsidRDefault="00572F25" w:rsidP="00140544">
            <w:pPr>
              <w:spacing w:after="0"/>
              <w:jc w:val="center"/>
              <w:rPr>
                <w:rFonts w:cs="Arial"/>
                <w:color w:val="FFFFFF"/>
                <w:sz w:val="20"/>
                <w:szCs w:val="20"/>
              </w:rPr>
            </w:pPr>
            <w:r w:rsidRPr="00DE0961">
              <w:rPr>
                <w:rFonts w:cs="Arial"/>
                <w:color w:val="FFFFFF"/>
                <w:sz w:val="20"/>
                <w:szCs w:val="20"/>
              </w:rPr>
              <w:t>&gt;24 hours</w:t>
            </w:r>
          </w:p>
        </w:tc>
        <w:tc>
          <w:tcPr>
            <w:tcW w:w="1829" w:type="dxa"/>
            <w:gridSpan w:val="2"/>
            <w:tcBorders>
              <w:top w:val="nil"/>
              <w:left w:val="nil"/>
              <w:bottom w:val="nil"/>
              <w:right w:val="nil"/>
            </w:tcBorders>
            <w:shd w:val="clear" w:color="000000" w:fill="007D75"/>
            <w:vAlign w:val="center"/>
            <w:hideMark/>
          </w:tcPr>
          <w:p w14:paraId="6E9B0731" w14:textId="77777777" w:rsidR="00572F25" w:rsidRPr="00DE0961" w:rsidRDefault="00572F25" w:rsidP="00140544">
            <w:pPr>
              <w:spacing w:after="0"/>
              <w:jc w:val="center"/>
              <w:rPr>
                <w:rFonts w:cs="Arial"/>
                <w:color w:val="FFFFFF"/>
                <w:sz w:val="20"/>
                <w:szCs w:val="20"/>
              </w:rPr>
            </w:pPr>
            <w:r w:rsidRPr="00DE0961">
              <w:rPr>
                <w:rFonts w:cs="Arial"/>
                <w:color w:val="FFFFFF"/>
                <w:sz w:val="20"/>
                <w:szCs w:val="20"/>
              </w:rPr>
              <w:t>&gt;48 hours</w:t>
            </w:r>
          </w:p>
        </w:tc>
      </w:tr>
      <w:tr w:rsidR="00572F25" w:rsidRPr="00DE0961" w14:paraId="34C9A6B6" w14:textId="77777777" w:rsidTr="00140544">
        <w:trPr>
          <w:trHeight w:val="350"/>
          <w:tblHeader/>
        </w:trPr>
        <w:tc>
          <w:tcPr>
            <w:tcW w:w="1611" w:type="dxa"/>
            <w:vMerge/>
            <w:tcBorders>
              <w:top w:val="nil"/>
              <w:left w:val="nil"/>
              <w:bottom w:val="nil"/>
              <w:right w:val="nil"/>
            </w:tcBorders>
            <w:vAlign w:val="center"/>
            <w:hideMark/>
          </w:tcPr>
          <w:p w14:paraId="77BB5944" w14:textId="77777777" w:rsidR="00572F25" w:rsidRPr="00DE0961" w:rsidRDefault="00572F25" w:rsidP="00140544">
            <w:pPr>
              <w:spacing w:after="0"/>
              <w:rPr>
                <w:rFonts w:cs="Arial"/>
                <w:color w:val="FFFFFF"/>
                <w:sz w:val="20"/>
                <w:szCs w:val="20"/>
              </w:rPr>
            </w:pPr>
          </w:p>
        </w:tc>
        <w:tc>
          <w:tcPr>
            <w:tcW w:w="1611" w:type="dxa"/>
            <w:tcBorders>
              <w:top w:val="nil"/>
              <w:left w:val="nil"/>
              <w:bottom w:val="nil"/>
              <w:right w:val="nil"/>
            </w:tcBorders>
            <w:shd w:val="clear" w:color="000000" w:fill="007D75"/>
            <w:noWrap/>
            <w:vAlign w:val="center"/>
            <w:hideMark/>
          </w:tcPr>
          <w:p w14:paraId="695C8D2C" w14:textId="77777777" w:rsidR="00572F25" w:rsidRPr="00DE0961" w:rsidRDefault="00572F25" w:rsidP="00140544">
            <w:pPr>
              <w:spacing w:after="0"/>
              <w:jc w:val="center"/>
              <w:rPr>
                <w:rFonts w:cs="Arial"/>
                <w:color w:val="FFFFFF"/>
                <w:sz w:val="20"/>
                <w:szCs w:val="20"/>
              </w:rPr>
            </w:pPr>
            <w:r w:rsidRPr="00DE0961">
              <w:rPr>
                <w:rFonts w:cs="Arial"/>
                <w:color w:val="FFFFFF"/>
                <w:sz w:val="20"/>
                <w:szCs w:val="20"/>
              </w:rPr>
              <w:t>(n)</w:t>
            </w:r>
          </w:p>
        </w:tc>
        <w:tc>
          <w:tcPr>
            <w:tcW w:w="1170" w:type="dxa"/>
            <w:tcBorders>
              <w:top w:val="nil"/>
              <w:left w:val="nil"/>
              <w:bottom w:val="nil"/>
              <w:right w:val="nil"/>
            </w:tcBorders>
            <w:shd w:val="clear" w:color="000000" w:fill="007D75"/>
            <w:vAlign w:val="center"/>
            <w:hideMark/>
          </w:tcPr>
          <w:p w14:paraId="1EA0BA69" w14:textId="77777777" w:rsidR="00572F25" w:rsidRPr="00DE0961" w:rsidRDefault="00572F25" w:rsidP="00140544">
            <w:pPr>
              <w:spacing w:after="0"/>
              <w:jc w:val="center"/>
              <w:rPr>
                <w:rFonts w:cs="Arial"/>
                <w:color w:val="FFFFFF"/>
                <w:sz w:val="20"/>
                <w:szCs w:val="20"/>
              </w:rPr>
            </w:pPr>
            <w:r w:rsidRPr="00DE0961">
              <w:rPr>
                <w:rFonts w:cs="Arial"/>
                <w:color w:val="FFFFFF"/>
                <w:sz w:val="20"/>
                <w:szCs w:val="20"/>
              </w:rPr>
              <w:t>(days)</w:t>
            </w:r>
          </w:p>
        </w:tc>
        <w:tc>
          <w:tcPr>
            <w:tcW w:w="1610" w:type="dxa"/>
            <w:tcBorders>
              <w:top w:val="nil"/>
              <w:left w:val="nil"/>
              <w:bottom w:val="nil"/>
              <w:right w:val="nil"/>
            </w:tcBorders>
            <w:shd w:val="clear" w:color="000000" w:fill="007D75"/>
            <w:vAlign w:val="center"/>
            <w:hideMark/>
          </w:tcPr>
          <w:p w14:paraId="171C176D" w14:textId="77777777" w:rsidR="00572F25" w:rsidRPr="00DE0961" w:rsidRDefault="00572F25" w:rsidP="00140544">
            <w:pPr>
              <w:spacing w:after="0"/>
              <w:ind w:left="-64" w:firstLine="64"/>
              <w:jc w:val="center"/>
              <w:rPr>
                <w:rFonts w:cs="Arial"/>
                <w:color w:val="FFFFFF"/>
                <w:sz w:val="20"/>
                <w:szCs w:val="20"/>
              </w:rPr>
            </w:pPr>
            <w:r w:rsidRPr="00DE0961">
              <w:rPr>
                <w:rFonts w:cs="Arial"/>
                <w:color w:val="FFFFFF"/>
                <w:sz w:val="20"/>
                <w:szCs w:val="20"/>
              </w:rPr>
              <w:t>(days)</w:t>
            </w:r>
          </w:p>
        </w:tc>
        <w:tc>
          <w:tcPr>
            <w:tcW w:w="1683" w:type="dxa"/>
            <w:gridSpan w:val="2"/>
            <w:tcBorders>
              <w:top w:val="nil"/>
              <w:left w:val="nil"/>
              <w:bottom w:val="nil"/>
              <w:right w:val="nil"/>
            </w:tcBorders>
            <w:shd w:val="clear" w:color="000000" w:fill="007D75"/>
            <w:vAlign w:val="center"/>
            <w:hideMark/>
          </w:tcPr>
          <w:p w14:paraId="2BBB7CCD" w14:textId="77777777" w:rsidR="00572F25" w:rsidRPr="00DE0961" w:rsidRDefault="00572F25" w:rsidP="00140544">
            <w:pPr>
              <w:spacing w:after="0"/>
              <w:jc w:val="center"/>
              <w:rPr>
                <w:rFonts w:cs="Arial"/>
                <w:color w:val="FFFFFF"/>
                <w:sz w:val="20"/>
                <w:szCs w:val="20"/>
              </w:rPr>
            </w:pPr>
            <w:r w:rsidRPr="00DE0961">
              <w:rPr>
                <w:rFonts w:cs="Arial"/>
                <w:color w:val="FFFFFF"/>
                <w:sz w:val="20"/>
                <w:szCs w:val="20"/>
              </w:rPr>
              <w:t>(n) (%)</w:t>
            </w:r>
          </w:p>
        </w:tc>
        <w:tc>
          <w:tcPr>
            <w:tcW w:w="1829" w:type="dxa"/>
            <w:gridSpan w:val="2"/>
            <w:tcBorders>
              <w:top w:val="nil"/>
              <w:left w:val="nil"/>
              <w:bottom w:val="nil"/>
              <w:right w:val="nil"/>
            </w:tcBorders>
            <w:shd w:val="clear" w:color="000000" w:fill="007D75"/>
            <w:vAlign w:val="center"/>
            <w:hideMark/>
          </w:tcPr>
          <w:p w14:paraId="52AF93E5" w14:textId="77777777" w:rsidR="00572F25" w:rsidRPr="00DE0961" w:rsidRDefault="00572F25" w:rsidP="00140544">
            <w:pPr>
              <w:spacing w:after="0"/>
              <w:jc w:val="center"/>
              <w:rPr>
                <w:rFonts w:cs="Arial"/>
                <w:color w:val="FFFFFF"/>
                <w:sz w:val="20"/>
                <w:szCs w:val="20"/>
              </w:rPr>
            </w:pPr>
            <w:r w:rsidRPr="00DE0961">
              <w:rPr>
                <w:rFonts w:cs="Arial"/>
                <w:color w:val="FFFFFF"/>
                <w:sz w:val="20"/>
                <w:szCs w:val="20"/>
              </w:rPr>
              <w:t>(n) (%)</w:t>
            </w:r>
          </w:p>
        </w:tc>
      </w:tr>
      <w:tr w:rsidR="00572F25" w:rsidRPr="00DE0961" w14:paraId="67287633" w14:textId="77777777" w:rsidTr="00140544">
        <w:trPr>
          <w:trHeight w:val="350"/>
        </w:trPr>
        <w:tc>
          <w:tcPr>
            <w:tcW w:w="1611" w:type="dxa"/>
            <w:tcBorders>
              <w:top w:val="nil"/>
              <w:left w:val="nil"/>
              <w:bottom w:val="nil"/>
              <w:right w:val="nil"/>
            </w:tcBorders>
            <w:shd w:val="clear" w:color="000000" w:fill="FFFFFF"/>
            <w:noWrap/>
            <w:vAlign w:val="center"/>
            <w:hideMark/>
          </w:tcPr>
          <w:p w14:paraId="370D6AE3" w14:textId="77777777" w:rsidR="00572F25" w:rsidRPr="00DE0961" w:rsidRDefault="00572F25" w:rsidP="00140544">
            <w:pPr>
              <w:spacing w:after="0"/>
              <w:rPr>
                <w:rFonts w:cs="Arial"/>
                <w:color w:val="000000"/>
                <w:sz w:val="18"/>
                <w:szCs w:val="18"/>
              </w:rPr>
            </w:pPr>
            <w:r w:rsidRPr="00DE0961">
              <w:rPr>
                <w:rFonts w:cs="Arial"/>
                <w:color w:val="000000"/>
                <w:sz w:val="18"/>
                <w:szCs w:val="18"/>
              </w:rPr>
              <w:t>Public facilities</w:t>
            </w:r>
          </w:p>
        </w:tc>
        <w:tc>
          <w:tcPr>
            <w:tcW w:w="1611" w:type="dxa"/>
            <w:tcBorders>
              <w:top w:val="nil"/>
              <w:left w:val="nil"/>
              <w:bottom w:val="nil"/>
              <w:right w:val="nil"/>
            </w:tcBorders>
            <w:shd w:val="clear" w:color="auto" w:fill="auto"/>
            <w:noWrap/>
            <w:vAlign w:val="center"/>
            <w:hideMark/>
          </w:tcPr>
          <w:p w14:paraId="18CA46FB" w14:textId="77777777" w:rsidR="00572F25" w:rsidRPr="00DE0961" w:rsidRDefault="00572F25" w:rsidP="00140544">
            <w:pPr>
              <w:spacing w:after="0"/>
              <w:jc w:val="center"/>
              <w:rPr>
                <w:rFonts w:cs="Arial"/>
                <w:color w:val="000000"/>
                <w:sz w:val="18"/>
                <w:szCs w:val="18"/>
              </w:rPr>
            </w:pPr>
            <w:r w:rsidRPr="00DE0961">
              <w:rPr>
                <w:rFonts w:cs="Arial"/>
                <w:color w:val="000000"/>
                <w:sz w:val="18"/>
                <w:szCs w:val="18"/>
              </w:rPr>
              <w:t>1,323</w:t>
            </w:r>
          </w:p>
        </w:tc>
        <w:tc>
          <w:tcPr>
            <w:tcW w:w="1170" w:type="dxa"/>
            <w:tcBorders>
              <w:top w:val="nil"/>
              <w:left w:val="nil"/>
              <w:bottom w:val="nil"/>
              <w:right w:val="nil"/>
            </w:tcBorders>
            <w:shd w:val="clear" w:color="000000" w:fill="FFFFFF"/>
            <w:vAlign w:val="center"/>
            <w:hideMark/>
          </w:tcPr>
          <w:p w14:paraId="2311CDB9" w14:textId="77777777" w:rsidR="00572F25" w:rsidRPr="00DE0961" w:rsidRDefault="00572F25" w:rsidP="00140544">
            <w:pPr>
              <w:spacing w:after="0"/>
              <w:jc w:val="center"/>
              <w:rPr>
                <w:rFonts w:cs="Arial"/>
                <w:color w:val="000000"/>
                <w:sz w:val="18"/>
                <w:szCs w:val="18"/>
              </w:rPr>
            </w:pPr>
            <w:r w:rsidRPr="00DE0961">
              <w:rPr>
                <w:rFonts w:cs="Arial"/>
                <w:color w:val="000000"/>
                <w:sz w:val="18"/>
                <w:szCs w:val="18"/>
              </w:rPr>
              <w:t>1</w:t>
            </w:r>
            <w:r>
              <w:rPr>
                <w:rFonts w:cs="Arial"/>
                <w:color w:val="000000"/>
                <w:sz w:val="18"/>
                <w:szCs w:val="18"/>
              </w:rPr>
              <w:t>–</w:t>
            </w:r>
            <w:r w:rsidRPr="00DE0961">
              <w:rPr>
                <w:rFonts w:cs="Arial"/>
                <w:color w:val="000000"/>
                <w:sz w:val="18"/>
                <w:szCs w:val="18"/>
              </w:rPr>
              <w:t>49</w:t>
            </w:r>
          </w:p>
        </w:tc>
        <w:tc>
          <w:tcPr>
            <w:tcW w:w="1610" w:type="dxa"/>
            <w:tcBorders>
              <w:top w:val="nil"/>
              <w:left w:val="nil"/>
              <w:bottom w:val="nil"/>
              <w:right w:val="nil"/>
            </w:tcBorders>
            <w:shd w:val="clear" w:color="000000" w:fill="FFFFFF"/>
            <w:noWrap/>
            <w:vAlign w:val="center"/>
            <w:hideMark/>
          </w:tcPr>
          <w:p w14:paraId="7D0DF112" w14:textId="77777777" w:rsidR="00572F25" w:rsidRPr="00DE0961" w:rsidRDefault="00572F25" w:rsidP="00140544">
            <w:pPr>
              <w:spacing w:after="0"/>
              <w:jc w:val="center"/>
              <w:rPr>
                <w:rFonts w:cs="Arial"/>
                <w:color w:val="000000"/>
                <w:sz w:val="18"/>
                <w:szCs w:val="18"/>
              </w:rPr>
            </w:pPr>
            <w:r w:rsidRPr="00DE0961">
              <w:rPr>
                <w:rFonts w:cs="Arial"/>
                <w:color w:val="000000"/>
                <w:sz w:val="18"/>
                <w:szCs w:val="18"/>
              </w:rPr>
              <w:t>1</w:t>
            </w:r>
          </w:p>
        </w:tc>
        <w:tc>
          <w:tcPr>
            <w:tcW w:w="841" w:type="dxa"/>
            <w:tcBorders>
              <w:top w:val="nil"/>
              <w:left w:val="nil"/>
              <w:bottom w:val="nil"/>
              <w:right w:val="nil"/>
            </w:tcBorders>
            <w:shd w:val="clear" w:color="auto" w:fill="auto"/>
            <w:noWrap/>
            <w:vAlign w:val="center"/>
            <w:hideMark/>
          </w:tcPr>
          <w:p w14:paraId="1AE62897" w14:textId="77777777" w:rsidR="00572F25" w:rsidRPr="00DE0961" w:rsidRDefault="00572F25" w:rsidP="00140544">
            <w:pPr>
              <w:spacing w:after="0"/>
              <w:jc w:val="right"/>
              <w:rPr>
                <w:rFonts w:cs="Arial"/>
                <w:color w:val="000000"/>
                <w:sz w:val="18"/>
                <w:szCs w:val="18"/>
              </w:rPr>
            </w:pPr>
            <w:r w:rsidRPr="00DE0961">
              <w:rPr>
                <w:rFonts w:cs="Arial"/>
                <w:color w:val="000000"/>
                <w:sz w:val="18"/>
                <w:szCs w:val="18"/>
              </w:rPr>
              <w:t>817</w:t>
            </w:r>
          </w:p>
        </w:tc>
        <w:tc>
          <w:tcPr>
            <w:tcW w:w="842" w:type="dxa"/>
            <w:tcBorders>
              <w:top w:val="nil"/>
              <w:left w:val="nil"/>
              <w:bottom w:val="nil"/>
              <w:right w:val="nil"/>
            </w:tcBorders>
            <w:shd w:val="clear" w:color="000000" w:fill="FFFFFF"/>
            <w:noWrap/>
            <w:vAlign w:val="center"/>
            <w:hideMark/>
          </w:tcPr>
          <w:p w14:paraId="0AAFF5CF" w14:textId="77777777" w:rsidR="00572F25" w:rsidRPr="00DE0961" w:rsidRDefault="00572F25" w:rsidP="00140544">
            <w:pPr>
              <w:spacing w:after="0"/>
              <w:rPr>
                <w:rFonts w:cs="Arial"/>
                <w:color w:val="000000"/>
                <w:sz w:val="18"/>
                <w:szCs w:val="18"/>
              </w:rPr>
            </w:pPr>
            <w:r w:rsidRPr="00DE0961">
              <w:rPr>
                <w:rFonts w:cs="Arial"/>
                <w:color w:val="000000"/>
                <w:sz w:val="18"/>
                <w:szCs w:val="18"/>
              </w:rPr>
              <w:t>61.8</w:t>
            </w:r>
          </w:p>
        </w:tc>
        <w:tc>
          <w:tcPr>
            <w:tcW w:w="914" w:type="dxa"/>
            <w:tcBorders>
              <w:top w:val="nil"/>
              <w:left w:val="nil"/>
              <w:bottom w:val="nil"/>
              <w:right w:val="nil"/>
            </w:tcBorders>
            <w:shd w:val="clear" w:color="auto" w:fill="auto"/>
            <w:noWrap/>
            <w:vAlign w:val="center"/>
            <w:hideMark/>
          </w:tcPr>
          <w:p w14:paraId="1B75CE95" w14:textId="77777777" w:rsidR="00572F25" w:rsidRPr="00DE0961" w:rsidRDefault="00572F25" w:rsidP="00140544">
            <w:pPr>
              <w:spacing w:after="0"/>
              <w:jc w:val="right"/>
              <w:rPr>
                <w:rFonts w:cs="Arial"/>
                <w:color w:val="000000"/>
                <w:sz w:val="18"/>
                <w:szCs w:val="18"/>
              </w:rPr>
            </w:pPr>
            <w:r w:rsidRPr="00DE0961">
              <w:rPr>
                <w:rFonts w:cs="Arial"/>
                <w:color w:val="000000"/>
                <w:sz w:val="18"/>
                <w:szCs w:val="18"/>
              </w:rPr>
              <w:t>522</w:t>
            </w:r>
          </w:p>
        </w:tc>
        <w:tc>
          <w:tcPr>
            <w:tcW w:w="915" w:type="dxa"/>
            <w:tcBorders>
              <w:top w:val="nil"/>
              <w:left w:val="nil"/>
              <w:bottom w:val="nil"/>
              <w:right w:val="nil"/>
            </w:tcBorders>
            <w:shd w:val="clear" w:color="000000" w:fill="FFFFFF"/>
            <w:noWrap/>
            <w:vAlign w:val="center"/>
            <w:hideMark/>
          </w:tcPr>
          <w:p w14:paraId="1182EF71" w14:textId="77777777" w:rsidR="00572F25" w:rsidRPr="00DE0961" w:rsidRDefault="00572F25" w:rsidP="00140544">
            <w:pPr>
              <w:spacing w:after="0"/>
              <w:rPr>
                <w:rFonts w:cs="Arial"/>
                <w:color w:val="000000"/>
                <w:sz w:val="18"/>
                <w:szCs w:val="18"/>
              </w:rPr>
            </w:pPr>
            <w:r w:rsidRPr="00DE0961">
              <w:rPr>
                <w:rFonts w:cs="Arial"/>
                <w:color w:val="000000"/>
                <w:sz w:val="18"/>
                <w:szCs w:val="18"/>
              </w:rPr>
              <w:t>39.5</w:t>
            </w:r>
          </w:p>
        </w:tc>
      </w:tr>
      <w:tr w:rsidR="00572F25" w:rsidRPr="00DE0961" w14:paraId="19BB6014" w14:textId="77777777" w:rsidTr="00140544">
        <w:trPr>
          <w:trHeight w:val="350"/>
        </w:trPr>
        <w:tc>
          <w:tcPr>
            <w:tcW w:w="1611" w:type="dxa"/>
            <w:tcBorders>
              <w:top w:val="nil"/>
              <w:left w:val="nil"/>
              <w:bottom w:val="nil"/>
              <w:right w:val="nil"/>
            </w:tcBorders>
            <w:shd w:val="clear" w:color="000000" w:fill="F1F1F2"/>
            <w:noWrap/>
            <w:vAlign w:val="center"/>
            <w:hideMark/>
          </w:tcPr>
          <w:p w14:paraId="164B6C8E" w14:textId="77777777" w:rsidR="00572F25" w:rsidRPr="00DE0961" w:rsidRDefault="00572F25" w:rsidP="00140544">
            <w:pPr>
              <w:spacing w:after="0"/>
              <w:rPr>
                <w:rFonts w:cs="Arial"/>
                <w:color w:val="000000"/>
                <w:sz w:val="18"/>
                <w:szCs w:val="18"/>
              </w:rPr>
            </w:pPr>
            <w:r w:rsidRPr="00DE0961">
              <w:rPr>
                <w:rFonts w:cs="Arial"/>
                <w:color w:val="000000"/>
                <w:sz w:val="18"/>
                <w:szCs w:val="18"/>
              </w:rPr>
              <w:t>Private facilities</w:t>
            </w:r>
          </w:p>
        </w:tc>
        <w:tc>
          <w:tcPr>
            <w:tcW w:w="1611" w:type="dxa"/>
            <w:tcBorders>
              <w:top w:val="nil"/>
              <w:left w:val="nil"/>
              <w:bottom w:val="nil"/>
              <w:right w:val="nil"/>
            </w:tcBorders>
            <w:shd w:val="clear" w:color="000000" w:fill="F1F1F2"/>
            <w:noWrap/>
            <w:vAlign w:val="center"/>
            <w:hideMark/>
          </w:tcPr>
          <w:p w14:paraId="669037E2" w14:textId="77777777" w:rsidR="00572F25" w:rsidRPr="00DE0961" w:rsidRDefault="00572F25" w:rsidP="00140544">
            <w:pPr>
              <w:spacing w:after="0"/>
              <w:jc w:val="center"/>
              <w:rPr>
                <w:rFonts w:cs="Arial"/>
                <w:color w:val="000000"/>
                <w:sz w:val="18"/>
                <w:szCs w:val="18"/>
              </w:rPr>
            </w:pPr>
            <w:r w:rsidRPr="00DE0961">
              <w:rPr>
                <w:rFonts w:cs="Arial"/>
                <w:color w:val="000000"/>
                <w:sz w:val="18"/>
                <w:szCs w:val="18"/>
              </w:rPr>
              <w:t>3,262</w:t>
            </w:r>
          </w:p>
        </w:tc>
        <w:tc>
          <w:tcPr>
            <w:tcW w:w="1170" w:type="dxa"/>
            <w:tcBorders>
              <w:top w:val="nil"/>
              <w:left w:val="nil"/>
              <w:bottom w:val="nil"/>
              <w:right w:val="nil"/>
            </w:tcBorders>
            <w:shd w:val="clear" w:color="000000" w:fill="F1F1F2"/>
            <w:vAlign w:val="center"/>
            <w:hideMark/>
          </w:tcPr>
          <w:p w14:paraId="45BCD110" w14:textId="77777777" w:rsidR="00572F25" w:rsidRPr="00DE0961" w:rsidRDefault="00572F25" w:rsidP="00140544">
            <w:pPr>
              <w:spacing w:after="0"/>
              <w:jc w:val="center"/>
              <w:rPr>
                <w:rFonts w:cs="Arial"/>
                <w:color w:val="000000"/>
                <w:sz w:val="18"/>
                <w:szCs w:val="18"/>
              </w:rPr>
            </w:pPr>
            <w:r w:rsidRPr="00DE0961">
              <w:rPr>
                <w:rFonts w:cs="Arial"/>
                <w:color w:val="000000"/>
                <w:sz w:val="18"/>
                <w:szCs w:val="18"/>
              </w:rPr>
              <w:t>1</w:t>
            </w:r>
            <w:r>
              <w:rPr>
                <w:rFonts w:cs="Arial"/>
                <w:color w:val="000000"/>
                <w:sz w:val="18"/>
                <w:szCs w:val="18"/>
              </w:rPr>
              <w:t>–</w:t>
            </w:r>
            <w:r w:rsidRPr="00DE0961">
              <w:rPr>
                <w:rFonts w:cs="Arial"/>
                <w:color w:val="000000"/>
                <w:sz w:val="18"/>
                <w:szCs w:val="18"/>
              </w:rPr>
              <w:t>36</w:t>
            </w:r>
          </w:p>
        </w:tc>
        <w:tc>
          <w:tcPr>
            <w:tcW w:w="1610" w:type="dxa"/>
            <w:tcBorders>
              <w:top w:val="nil"/>
              <w:left w:val="nil"/>
              <w:bottom w:val="nil"/>
              <w:right w:val="nil"/>
            </w:tcBorders>
            <w:shd w:val="clear" w:color="000000" w:fill="F1F1F2"/>
            <w:noWrap/>
            <w:vAlign w:val="center"/>
            <w:hideMark/>
          </w:tcPr>
          <w:p w14:paraId="77AD253B" w14:textId="77777777" w:rsidR="00572F25" w:rsidRPr="00DE0961" w:rsidRDefault="00572F25" w:rsidP="00140544">
            <w:pPr>
              <w:spacing w:after="0"/>
              <w:jc w:val="center"/>
              <w:rPr>
                <w:rFonts w:cs="Arial"/>
                <w:color w:val="000000"/>
                <w:sz w:val="18"/>
                <w:szCs w:val="18"/>
              </w:rPr>
            </w:pPr>
            <w:r w:rsidRPr="00DE0961">
              <w:rPr>
                <w:rFonts w:cs="Arial"/>
                <w:color w:val="000000"/>
                <w:sz w:val="18"/>
                <w:szCs w:val="18"/>
              </w:rPr>
              <w:t>2</w:t>
            </w:r>
          </w:p>
        </w:tc>
        <w:tc>
          <w:tcPr>
            <w:tcW w:w="841" w:type="dxa"/>
            <w:tcBorders>
              <w:top w:val="nil"/>
              <w:left w:val="nil"/>
              <w:bottom w:val="nil"/>
              <w:right w:val="nil"/>
            </w:tcBorders>
            <w:shd w:val="clear" w:color="000000" w:fill="F1F1F2"/>
            <w:noWrap/>
            <w:vAlign w:val="center"/>
            <w:hideMark/>
          </w:tcPr>
          <w:p w14:paraId="487A4125" w14:textId="77777777" w:rsidR="00572F25" w:rsidRPr="00DE0961" w:rsidRDefault="00572F25" w:rsidP="00140544">
            <w:pPr>
              <w:spacing w:after="0"/>
              <w:jc w:val="right"/>
              <w:rPr>
                <w:rFonts w:cs="Arial"/>
                <w:color w:val="000000"/>
                <w:sz w:val="18"/>
                <w:szCs w:val="18"/>
              </w:rPr>
            </w:pPr>
            <w:r w:rsidRPr="00DE0961">
              <w:rPr>
                <w:rFonts w:cs="Arial"/>
                <w:color w:val="000000"/>
                <w:sz w:val="18"/>
                <w:szCs w:val="18"/>
              </w:rPr>
              <w:t>2,344</w:t>
            </w:r>
          </w:p>
        </w:tc>
        <w:tc>
          <w:tcPr>
            <w:tcW w:w="842" w:type="dxa"/>
            <w:tcBorders>
              <w:top w:val="nil"/>
              <w:left w:val="nil"/>
              <w:bottom w:val="nil"/>
              <w:right w:val="nil"/>
            </w:tcBorders>
            <w:shd w:val="clear" w:color="000000" w:fill="F1F1F2"/>
            <w:noWrap/>
            <w:vAlign w:val="center"/>
            <w:hideMark/>
          </w:tcPr>
          <w:p w14:paraId="1521F3E6" w14:textId="77777777" w:rsidR="00572F25" w:rsidRPr="00DE0961" w:rsidRDefault="00572F25" w:rsidP="00140544">
            <w:pPr>
              <w:spacing w:after="0"/>
              <w:rPr>
                <w:rFonts w:cs="Arial"/>
                <w:color w:val="000000"/>
                <w:sz w:val="18"/>
                <w:szCs w:val="18"/>
              </w:rPr>
            </w:pPr>
            <w:r w:rsidRPr="00DE0961">
              <w:rPr>
                <w:rFonts w:cs="Arial"/>
                <w:color w:val="000000"/>
                <w:sz w:val="18"/>
                <w:szCs w:val="18"/>
              </w:rPr>
              <w:t>71.9</w:t>
            </w:r>
          </w:p>
        </w:tc>
        <w:tc>
          <w:tcPr>
            <w:tcW w:w="914" w:type="dxa"/>
            <w:tcBorders>
              <w:top w:val="nil"/>
              <w:left w:val="nil"/>
              <w:bottom w:val="nil"/>
              <w:right w:val="nil"/>
            </w:tcBorders>
            <w:shd w:val="clear" w:color="000000" w:fill="F1F1F2"/>
            <w:noWrap/>
            <w:vAlign w:val="center"/>
            <w:hideMark/>
          </w:tcPr>
          <w:p w14:paraId="52966EA8" w14:textId="77777777" w:rsidR="00572F25" w:rsidRPr="00DE0961" w:rsidRDefault="00572F25" w:rsidP="00140544">
            <w:pPr>
              <w:spacing w:after="0"/>
              <w:jc w:val="right"/>
              <w:rPr>
                <w:rFonts w:cs="Arial"/>
                <w:color w:val="000000"/>
                <w:sz w:val="18"/>
                <w:szCs w:val="18"/>
              </w:rPr>
            </w:pPr>
            <w:r w:rsidRPr="00DE0961">
              <w:rPr>
                <w:rFonts w:cs="Arial"/>
                <w:color w:val="000000"/>
                <w:sz w:val="18"/>
                <w:szCs w:val="18"/>
              </w:rPr>
              <w:t>1,422</w:t>
            </w:r>
          </w:p>
        </w:tc>
        <w:tc>
          <w:tcPr>
            <w:tcW w:w="915" w:type="dxa"/>
            <w:tcBorders>
              <w:top w:val="nil"/>
              <w:left w:val="nil"/>
              <w:bottom w:val="nil"/>
              <w:right w:val="nil"/>
            </w:tcBorders>
            <w:shd w:val="clear" w:color="000000" w:fill="F1F1F2"/>
            <w:noWrap/>
            <w:vAlign w:val="center"/>
            <w:hideMark/>
          </w:tcPr>
          <w:p w14:paraId="70201465" w14:textId="77777777" w:rsidR="00572F25" w:rsidRPr="00DE0961" w:rsidRDefault="00572F25" w:rsidP="00140544">
            <w:pPr>
              <w:spacing w:after="0"/>
              <w:rPr>
                <w:rFonts w:cs="Arial"/>
                <w:color w:val="000000"/>
                <w:sz w:val="18"/>
                <w:szCs w:val="18"/>
              </w:rPr>
            </w:pPr>
            <w:r w:rsidRPr="00DE0961">
              <w:rPr>
                <w:rFonts w:cs="Arial"/>
                <w:color w:val="000000"/>
                <w:sz w:val="18"/>
                <w:szCs w:val="18"/>
              </w:rPr>
              <w:t>43.6</w:t>
            </w:r>
          </w:p>
        </w:tc>
      </w:tr>
      <w:tr w:rsidR="00572F25" w:rsidRPr="00DE0961" w14:paraId="21931E23" w14:textId="77777777" w:rsidTr="00140544">
        <w:trPr>
          <w:trHeight w:val="350"/>
        </w:trPr>
        <w:tc>
          <w:tcPr>
            <w:tcW w:w="1611" w:type="dxa"/>
            <w:tcBorders>
              <w:top w:val="nil"/>
              <w:left w:val="nil"/>
              <w:bottom w:val="nil"/>
              <w:right w:val="nil"/>
            </w:tcBorders>
            <w:shd w:val="clear" w:color="000000" w:fill="007D75"/>
            <w:noWrap/>
            <w:vAlign w:val="center"/>
            <w:hideMark/>
          </w:tcPr>
          <w:p w14:paraId="44619CA2" w14:textId="77777777" w:rsidR="00572F25" w:rsidRPr="00DE0961" w:rsidRDefault="00572F25" w:rsidP="00140544">
            <w:pPr>
              <w:spacing w:after="0"/>
              <w:rPr>
                <w:rFonts w:cs="Arial"/>
                <w:color w:val="FFFFFF"/>
                <w:sz w:val="18"/>
                <w:szCs w:val="18"/>
              </w:rPr>
            </w:pPr>
            <w:r w:rsidRPr="00DE0961">
              <w:rPr>
                <w:rFonts w:cs="Arial"/>
                <w:color w:val="FFFFFF"/>
                <w:sz w:val="18"/>
                <w:szCs w:val="18"/>
              </w:rPr>
              <w:t>Total</w:t>
            </w:r>
          </w:p>
        </w:tc>
        <w:tc>
          <w:tcPr>
            <w:tcW w:w="1611" w:type="dxa"/>
            <w:tcBorders>
              <w:top w:val="nil"/>
              <w:left w:val="nil"/>
              <w:bottom w:val="nil"/>
              <w:right w:val="nil"/>
            </w:tcBorders>
            <w:shd w:val="clear" w:color="000000" w:fill="007D75"/>
            <w:noWrap/>
            <w:vAlign w:val="center"/>
            <w:hideMark/>
          </w:tcPr>
          <w:p w14:paraId="6FC2C39F" w14:textId="77777777" w:rsidR="00572F25" w:rsidRPr="00DE0961" w:rsidRDefault="00572F25" w:rsidP="00140544">
            <w:pPr>
              <w:spacing w:after="0"/>
              <w:jc w:val="center"/>
              <w:rPr>
                <w:rFonts w:cs="Arial"/>
                <w:color w:val="FFFFFF"/>
                <w:sz w:val="18"/>
                <w:szCs w:val="18"/>
              </w:rPr>
            </w:pPr>
            <w:r w:rsidRPr="00DE0961">
              <w:rPr>
                <w:rFonts w:cs="Arial"/>
                <w:color w:val="FFFFFF"/>
                <w:sz w:val="18"/>
                <w:szCs w:val="18"/>
              </w:rPr>
              <w:t>4,585</w:t>
            </w:r>
          </w:p>
        </w:tc>
        <w:tc>
          <w:tcPr>
            <w:tcW w:w="1170" w:type="dxa"/>
            <w:tcBorders>
              <w:top w:val="nil"/>
              <w:left w:val="nil"/>
              <w:bottom w:val="nil"/>
              <w:right w:val="nil"/>
            </w:tcBorders>
            <w:shd w:val="clear" w:color="000000" w:fill="007D75"/>
            <w:vAlign w:val="center"/>
            <w:hideMark/>
          </w:tcPr>
          <w:p w14:paraId="1DD7A3A0" w14:textId="77777777" w:rsidR="00572F25" w:rsidRPr="00DE0961" w:rsidRDefault="00572F25" w:rsidP="00140544">
            <w:pPr>
              <w:spacing w:after="0"/>
              <w:jc w:val="center"/>
              <w:rPr>
                <w:rFonts w:cs="Arial"/>
                <w:color w:val="FFFFFF"/>
                <w:sz w:val="18"/>
                <w:szCs w:val="18"/>
              </w:rPr>
            </w:pPr>
            <w:r w:rsidRPr="00DE0961">
              <w:rPr>
                <w:rFonts w:cs="Arial"/>
                <w:color w:val="FFFFFF"/>
                <w:sz w:val="18"/>
                <w:szCs w:val="18"/>
              </w:rPr>
              <w:t>1</w:t>
            </w:r>
            <w:r>
              <w:rPr>
                <w:rFonts w:cs="Arial"/>
                <w:color w:val="FFFFFF"/>
                <w:sz w:val="18"/>
                <w:szCs w:val="18"/>
              </w:rPr>
              <w:t>–</w:t>
            </w:r>
            <w:r w:rsidRPr="00DE0961">
              <w:rPr>
                <w:rFonts w:cs="Arial"/>
                <w:color w:val="FFFFFF"/>
                <w:sz w:val="18"/>
                <w:szCs w:val="18"/>
              </w:rPr>
              <w:t>9</w:t>
            </w:r>
          </w:p>
        </w:tc>
        <w:tc>
          <w:tcPr>
            <w:tcW w:w="1610" w:type="dxa"/>
            <w:tcBorders>
              <w:top w:val="nil"/>
              <w:left w:val="nil"/>
              <w:bottom w:val="nil"/>
              <w:right w:val="nil"/>
            </w:tcBorders>
            <w:shd w:val="clear" w:color="000000" w:fill="007D75"/>
            <w:noWrap/>
            <w:vAlign w:val="center"/>
            <w:hideMark/>
          </w:tcPr>
          <w:p w14:paraId="74ACE426" w14:textId="77777777" w:rsidR="00572F25" w:rsidRPr="00DE0961" w:rsidRDefault="00572F25" w:rsidP="00140544">
            <w:pPr>
              <w:spacing w:after="0"/>
              <w:jc w:val="center"/>
              <w:rPr>
                <w:rFonts w:cs="Arial"/>
                <w:color w:val="FFFFFF"/>
                <w:sz w:val="18"/>
                <w:szCs w:val="18"/>
              </w:rPr>
            </w:pPr>
            <w:r w:rsidRPr="00DE0961">
              <w:rPr>
                <w:rFonts w:cs="Arial"/>
                <w:color w:val="FFFFFF"/>
                <w:sz w:val="18"/>
                <w:szCs w:val="18"/>
              </w:rPr>
              <w:t>2</w:t>
            </w:r>
          </w:p>
        </w:tc>
        <w:tc>
          <w:tcPr>
            <w:tcW w:w="841" w:type="dxa"/>
            <w:tcBorders>
              <w:top w:val="nil"/>
              <w:left w:val="nil"/>
              <w:bottom w:val="nil"/>
              <w:right w:val="nil"/>
            </w:tcBorders>
            <w:shd w:val="clear" w:color="000000" w:fill="007D75"/>
            <w:noWrap/>
            <w:vAlign w:val="center"/>
            <w:hideMark/>
          </w:tcPr>
          <w:p w14:paraId="27B97A65" w14:textId="77777777" w:rsidR="00572F25" w:rsidRPr="00DE0961" w:rsidRDefault="00572F25" w:rsidP="00140544">
            <w:pPr>
              <w:spacing w:after="0"/>
              <w:jc w:val="right"/>
              <w:rPr>
                <w:rFonts w:cs="Arial"/>
                <w:color w:val="FFFFFF"/>
                <w:sz w:val="18"/>
                <w:szCs w:val="18"/>
              </w:rPr>
            </w:pPr>
            <w:r w:rsidRPr="00DE0961">
              <w:rPr>
                <w:rFonts w:cs="Arial"/>
                <w:color w:val="FFFFFF"/>
                <w:sz w:val="18"/>
                <w:szCs w:val="18"/>
              </w:rPr>
              <w:t>3,161</w:t>
            </w:r>
          </w:p>
        </w:tc>
        <w:tc>
          <w:tcPr>
            <w:tcW w:w="842" w:type="dxa"/>
            <w:tcBorders>
              <w:top w:val="nil"/>
              <w:left w:val="nil"/>
              <w:bottom w:val="nil"/>
              <w:right w:val="nil"/>
            </w:tcBorders>
            <w:shd w:val="clear" w:color="000000" w:fill="007D75"/>
            <w:noWrap/>
            <w:vAlign w:val="center"/>
            <w:hideMark/>
          </w:tcPr>
          <w:p w14:paraId="11994072" w14:textId="77777777" w:rsidR="00572F25" w:rsidRPr="00DE0961" w:rsidRDefault="00572F25" w:rsidP="00140544">
            <w:pPr>
              <w:spacing w:after="0"/>
              <w:rPr>
                <w:rFonts w:cs="Arial"/>
                <w:color w:val="FFFFFF"/>
                <w:sz w:val="18"/>
                <w:szCs w:val="18"/>
              </w:rPr>
            </w:pPr>
            <w:r w:rsidRPr="00DE0961">
              <w:rPr>
                <w:rFonts w:cs="Arial"/>
                <w:color w:val="FFFFFF"/>
                <w:sz w:val="18"/>
                <w:szCs w:val="18"/>
              </w:rPr>
              <w:t>68.9</w:t>
            </w:r>
          </w:p>
        </w:tc>
        <w:tc>
          <w:tcPr>
            <w:tcW w:w="914" w:type="dxa"/>
            <w:tcBorders>
              <w:top w:val="nil"/>
              <w:left w:val="nil"/>
              <w:bottom w:val="nil"/>
              <w:right w:val="nil"/>
            </w:tcBorders>
            <w:shd w:val="clear" w:color="000000" w:fill="007D75"/>
            <w:noWrap/>
            <w:vAlign w:val="center"/>
            <w:hideMark/>
          </w:tcPr>
          <w:p w14:paraId="3F4A2164" w14:textId="77777777" w:rsidR="00572F25" w:rsidRPr="00DE0961" w:rsidRDefault="00572F25" w:rsidP="00140544">
            <w:pPr>
              <w:spacing w:after="0"/>
              <w:jc w:val="right"/>
              <w:rPr>
                <w:rFonts w:cs="Arial"/>
                <w:color w:val="FFFFFF"/>
                <w:sz w:val="18"/>
                <w:szCs w:val="18"/>
              </w:rPr>
            </w:pPr>
            <w:r w:rsidRPr="00DE0961">
              <w:rPr>
                <w:rFonts w:cs="Arial"/>
                <w:color w:val="FFFFFF"/>
                <w:sz w:val="18"/>
                <w:szCs w:val="18"/>
              </w:rPr>
              <w:t>1,944</w:t>
            </w:r>
          </w:p>
        </w:tc>
        <w:tc>
          <w:tcPr>
            <w:tcW w:w="915" w:type="dxa"/>
            <w:tcBorders>
              <w:top w:val="nil"/>
              <w:left w:val="nil"/>
              <w:bottom w:val="nil"/>
              <w:right w:val="nil"/>
            </w:tcBorders>
            <w:shd w:val="clear" w:color="000000" w:fill="007D75"/>
            <w:noWrap/>
            <w:vAlign w:val="center"/>
            <w:hideMark/>
          </w:tcPr>
          <w:p w14:paraId="19EFDA37" w14:textId="77777777" w:rsidR="00572F25" w:rsidRPr="00DE0961" w:rsidRDefault="00572F25" w:rsidP="00140544">
            <w:pPr>
              <w:spacing w:after="0"/>
              <w:rPr>
                <w:rFonts w:cs="Arial"/>
                <w:color w:val="FFFFFF"/>
                <w:sz w:val="18"/>
                <w:szCs w:val="18"/>
              </w:rPr>
            </w:pPr>
            <w:r w:rsidRPr="00DE0961">
              <w:rPr>
                <w:rFonts w:cs="Arial"/>
                <w:color w:val="FFFFFF"/>
                <w:sz w:val="18"/>
                <w:szCs w:val="18"/>
              </w:rPr>
              <w:t>42.4</w:t>
            </w:r>
          </w:p>
        </w:tc>
      </w:tr>
    </w:tbl>
    <w:p w14:paraId="23F7FA5C" w14:textId="77777777" w:rsidR="00572F25" w:rsidRDefault="00572F25" w:rsidP="00572F25"/>
    <w:p w14:paraId="7B4C667F" w14:textId="77777777" w:rsidR="00572F25" w:rsidRDefault="00572F25" w:rsidP="00572F25">
      <w:pPr>
        <w:pStyle w:val="Heading2"/>
        <w:ind w:left="576" w:hanging="576"/>
      </w:pPr>
      <w:bookmarkStart w:id="146" w:name="_Procedure_group_analysis"/>
      <w:bookmarkStart w:id="147" w:name="_Toc126664219"/>
      <w:bookmarkEnd w:id="146"/>
      <w:r>
        <w:t xml:space="preserve">Procedure group </w:t>
      </w:r>
      <w:r w:rsidRPr="002E004E">
        <w:t>analysis</w:t>
      </w:r>
      <w:bookmarkEnd w:id="147"/>
    </w:p>
    <w:p w14:paraId="3D05167D" w14:textId="77777777" w:rsidR="00572F25" w:rsidRDefault="00572F25" w:rsidP="00977AD6">
      <w:pPr>
        <w:pStyle w:val="Heading3"/>
      </w:pPr>
      <w:r w:rsidRPr="002E1055">
        <w:t xml:space="preserve">Procedural </w:t>
      </w:r>
    </w:p>
    <w:p w14:paraId="073C9919" w14:textId="77777777" w:rsidR="00572F25" w:rsidRPr="00486AF3" w:rsidRDefault="00572F25" w:rsidP="00572F25">
      <w:r w:rsidRPr="00486AF3">
        <w:t xml:space="preserve">Almost a </w:t>
      </w:r>
      <w:r>
        <w:t>quarter</w:t>
      </w:r>
      <w:r w:rsidRPr="00486AF3">
        <w:t xml:space="preserve"> (</w:t>
      </w:r>
      <w:r>
        <w:t>24.4</w:t>
      </w:r>
      <w:r w:rsidRPr="00486AF3">
        <w:t xml:space="preserve">%) of all procedural prescribing for surgical episodes </w:t>
      </w:r>
      <w:r>
        <w:t>was</w:t>
      </w:r>
      <w:r w:rsidRPr="00486AF3">
        <w:t xml:space="preserve"> assessed as inappropriate,</w:t>
      </w:r>
      <w:r w:rsidRPr="00465E29">
        <w:t xml:space="preserve"> including procedures for which no antimicrobial was </w:t>
      </w:r>
      <w:r w:rsidRPr="0093552D">
        <w:t xml:space="preserve">prescribed (Figure </w:t>
      </w:r>
      <w:r>
        <w:t>A3</w:t>
      </w:r>
      <w:r w:rsidRPr="0093552D">
        <w:t>.1).</w:t>
      </w:r>
      <w:r w:rsidRPr="00486AF3">
        <w:t xml:space="preserve"> </w:t>
      </w:r>
      <w:r>
        <w:t>D</w:t>
      </w:r>
      <w:r w:rsidRPr="00486AF3">
        <w:t>entoalveolar surgery</w:t>
      </w:r>
      <w:r>
        <w:t>, urological surgery and cardiac surgery</w:t>
      </w:r>
      <w:r w:rsidRPr="00486AF3">
        <w:t xml:space="preserve"> had the highest proportions of surgical episodes deemed inappropriate (</w:t>
      </w:r>
      <w:r>
        <w:t>41.0</w:t>
      </w:r>
      <w:r w:rsidRPr="00486AF3">
        <w:t xml:space="preserve">%, </w:t>
      </w:r>
      <w:r>
        <w:t>37.1%</w:t>
      </w:r>
      <w:r w:rsidRPr="00486AF3">
        <w:t xml:space="preserve"> and </w:t>
      </w:r>
      <w:r>
        <w:t>36.2</w:t>
      </w:r>
      <w:r w:rsidRPr="00486AF3">
        <w:t>% respectively).</w:t>
      </w:r>
    </w:p>
    <w:p w14:paraId="3ACA05D6" w14:textId="77777777" w:rsidR="00572F25" w:rsidRDefault="00572F25" w:rsidP="00572F25">
      <w:pPr>
        <w:pStyle w:val="Captions"/>
      </w:pPr>
      <w:r w:rsidRPr="003A08CC">
        <w:t>Figure A3.1:</w:t>
      </w:r>
      <w:r w:rsidRPr="003A08CC">
        <w:tab/>
        <w:t xml:space="preserve">Percentage of procedural prescribing appropriateness for surgical episodes by procedure group, Surgical </w:t>
      </w:r>
      <w:r>
        <w:t>NAPS</w:t>
      </w:r>
      <w:r w:rsidRPr="003A08CC">
        <w:t xml:space="preserve"> contributor facilities, 2021</w:t>
      </w:r>
    </w:p>
    <w:p w14:paraId="734EAD98" w14:textId="77777777" w:rsidR="00572F25" w:rsidRDefault="00572F25" w:rsidP="00572F25">
      <w:pPr>
        <w:ind w:left="-284"/>
        <w:rPr>
          <w:rFonts w:cs="Arial"/>
          <w:highlight w:val="yellow"/>
        </w:rPr>
      </w:pPr>
      <w:r w:rsidRPr="0016630C">
        <w:rPr>
          <w:b/>
          <w:noProof/>
        </w:rPr>
        <w:drawing>
          <wp:inline distT="0" distB="0" distL="0" distR="0" wp14:anchorId="399D8BA7" wp14:editId="59B6BD33">
            <wp:extent cx="6516000" cy="3714303"/>
            <wp:effectExtent l="0" t="0" r="18415" b="635"/>
            <wp:docPr id="32" name="Chart 32" descr="This is a horizontal bar graph showing the level of appropriate procedural prescribing for surgical episodes, by procedure group, among facilities contributing to Surgical NAPS in 2021, expressed as a percentage of all surgical episodes in that procedure group."/>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C668BAB" w14:textId="77777777" w:rsidR="00572F25" w:rsidRPr="00DA54B8" w:rsidRDefault="00572F25" w:rsidP="00572F25">
      <w:pPr>
        <w:rPr>
          <w:rFonts w:cs="Arial"/>
        </w:rPr>
      </w:pPr>
      <w:r w:rsidRPr="00DA54B8">
        <w:rPr>
          <w:rFonts w:cs="Arial"/>
        </w:rPr>
        <w:t xml:space="preserve">The procedure groups with the highest rates of prescribing at least one procedural antimicrobial </w:t>
      </w:r>
      <w:proofErr w:type="gramStart"/>
      <w:r w:rsidRPr="00DA54B8">
        <w:rPr>
          <w:rFonts w:cs="Arial"/>
        </w:rPr>
        <w:t>were</w:t>
      </w:r>
      <w:proofErr w:type="gramEnd"/>
      <w:r w:rsidRPr="00DA54B8">
        <w:rPr>
          <w:rFonts w:cs="Arial"/>
        </w:rPr>
        <w:t xml:space="preserve"> orthopaedic surgery, breast surgery and cardiac surgery (93.9%, 92.7% and 87.4% respectively), as shown in Table A3.7. </w:t>
      </w:r>
      <w:r>
        <w:rPr>
          <w:rFonts w:cs="Arial"/>
        </w:rPr>
        <w:t xml:space="preserve">Overall, the range of inappropriate prescribing varied </w:t>
      </w:r>
      <w:r>
        <w:rPr>
          <w:rFonts w:cs="Arial"/>
        </w:rPr>
        <w:lastRenderedPageBreak/>
        <w:t xml:space="preserve">across the procedure groups (19.4%–55.3%). </w:t>
      </w:r>
      <w:proofErr w:type="gramStart"/>
      <w:r>
        <w:rPr>
          <w:rFonts w:cs="Arial"/>
        </w:rPr>
        <w:t>The majority of</w:t>
      </w:r>
      <w:proofErr w:type="gramEnd"/>
      <w:r>
        <w:rPr>
          <w:rFonts w:cs="Arial"/>
        </w:rPr>
        <w:t xml:space="preserve"> prescriptions deemed inappropriate </w:t>
      </w:r>
      <w:r w:rsidRPr="00DA54B8">
        <w:rPr>
          <w:rFonts w:cs="Arial"/>
        </w:rPr>
        <w:t xml:space="preserve">were for </w:t>
      </w:r>
      <w:r w:rsidRPr="00DA54B8">
        <w:t>orthopaedic surgery (n</w:t>
      </w:r>
      <w:r w:rsidRPr="00DA54B8">
        <w:rPr>
          <w:iCs/>
        </w:rPr>
        <w:t>=629 doses</w:t>
      </w:r>
      <w:r w:rsidRPr="00DA54B8">
        <w:t>), abdominal surgery (</w:t>
      </w:r>
      <w:r w:rsidRPr="00DA54B8">
        <w:rPr>
          <w:iCs/>
        </w:rPr>
        <w:t>n</w:t>
      </w:r>
      <w:r w:rsidRPr="00DA54B8">
        <w:t>=328</w:t>
      </w:r>
      <w:r w:rsidRPr="00DA54B8">
        <w:rPr>
          <w:iCs/>
        </w:rPr>
        <w:t xml:space="preserve"> doses</w:t>
      </w:r>
      <w:r w:rsidRPr="00DA54B8">
        <w:t>), urological surgery (n</w:t>
      </w:r>
      <w:r w:rsidRPr="00DA54B8">
        <w:rPr>
          <w:iCs/>
        </w:rPr>
        <w:t>=327 doses</w:t>
      </w:r>
      <w:r w:rsidRPr="00DA54B8">
        <w:t>), plastic and reconstructive surgery (</w:t>
      </w:r>
      <w:r w:rsidRPr="00DA54B8">
        <w:rPr>
          <w:iCs/>
        </w:rPr>
        <w:t>n</w:t>
      </w:r>
      <w:r w:rsidRPr="00DA54B8">
        <w:t>=308</w:t>
      </w:r>
      <w:r w:rsidRPr="00DA54B8">
        <w:rPr>
          <w:iCs/>
        </w:rPr>
        <w:t xml:space="preserve"> doses</w:t>
      </w:r>
      <w:r w:rsidRPr="00DA54B8">
        <w:t xml:space="preserve">) and obstetrics (n=296 </w:t>
      </w:r>
      <w:r w:rsidRPr="00921BCD">
        <w:t>doses</w:t>
      </w:r>
      <w:r w:rsidRPr="00DA54B8">
        <w:t xml:space="preserve">). These </w:t>
      </w:r>
      <w:r>
        <w:t>5</w:t>
      </w:r>
      <w:r w:rsidRPr="00DA54B8">
        <w:t xml:space="preserve"> procedure groups accounted for 59.9% of all inappropriate procedural doses.</w:t>
      </w:r>
    </w:p>
    <w:p w14:paraId="7508E4E0" w14:textId="77777777" w:rsidR="00572F25" w:rsidRPr="003A08CC" w:rsidRDefault="00572F25" w:rsidP="00572F25">
      <w:pPr>
        <w:pStyle w:val="Captions"/>
        <w:rPr>
          <w:rFonts w:cs="Arial"/>
        </w:rPr>
      </w:pPr>
      <w:r w:rsidRPr="00D200B5">
        <w:t>Table A</w:t>
      </w:r>
      <w:r>
        <w:t>3</w:t>
      </w:r>
      <w:r w:rsidRPr="00D200B5">
        <w:t>.7:</w:t>
      </w:r>
      <w:r w:rsidRPr="00D200B5">
        <w:tab/>
        <w:t xml:space="preserve">Percentage of surgical episodes prescribed an antimicrobial, number of doses prescribed and inappropriateness of procedural prescribing by </w:t>
      </w:r>
      <w:r w:rsidRPr="002E004E">
        <w:t>procedure</w:t>
      </w:r>
      <w:r w:rsidRPr="00D200B5">
        <w:t xml:space="preserve"> group, </w:t>
      </w:r>
      <w:r w:rsidRPr="00D200B5">
        <w:rPr>
          <w:rFonts w:cs="Arial"/>
        </w:rPr>
        <w:t xml:space="preserve">Surgical </w:t>
      </w:r>
      <w:r>
        <w:rPr>
          <w:rFonts w:cs="Arial"/>
        </w:rPr>
        <w:t>NAPS</w:t>
      </w:r>
      <w:r w:rsidRPr="00D200B5">
        <w:t xml:space="preserve"> contributor facilities, </w:t>
      </w:r>
      <w:proofErr w:type="gramStart"/>
      <w:r w:rsidRPr="00D200B5">
        <w:t>20</w:t>
      </w:r>
      <w:r>
        <w:t>21</w:t>
      </w:r>
      <w:proofErr w:type="gramEnd"/>
      <w:r w:rsidRPr="00D200B5">
        <w:t xml:space="preserve"> </w:t>
      </w:r>
    </w:p>
    <w:tbl>
      <w:tblPr>
        <w:tblW w:w="9500" w:type="dxa"/>
        <w:tblLook w:val="04A0" w:firstRow="1" w:lastRow="0" w:firstColumn="1" w:lastColumn="0" w:noHBand="0" w:noVBand="1"/>
      </w:tblPr>
      <w:tblGrid>
        <w:gridCol w:w="3600"/>
        <w:gridCol w:w="1017"/>
        <w:gridCol w:w="1053"/>
        <w:gridCol w:w="1090"/>
        <w:gridCol w:w="898"/>
        <w:gridCol w:w="847"/>
        <w:gridCol w:w="995"/>
      </w:tblGrid>
      <w:tr w:rsidR="00572F25" w:rsidRPr="003A08CC" w14:paraId="1FD12995" w14:textId="77777777" w:rsidTr="00140544">
        <w:trPr>
          <w:trHeight w:val="1010"/>
        </w:trPr>
        <w:tc>
          <w:tcPr>
            <w:tcW w:w="3600" w:type="dxa"/>
            <w:vMerge w:val="restart"/>
            <w:tcBorders>
              <w:top w:val="single" w:sz="8" w:space="0" w:color="BCBEC0"/>
              <w:left w:val="nil"/>
              <w:bottom w:val="nil"/>
              <w:right w:val="nil"/>
            </w:tcBorders>
            <w:shd w:val="clear" w:color="000000" w:fill="E8B092"/>
            <w:noWrap/>
            <w:vAlign w:val="center"/>
            <w:hideMark/>
          </w:tcPr>
          <w:p w14:paraId="714169B2" w14:textId="77777777" w:rsidR="00572F25" w:rsidRPr="00774C15" w:rsidRDefault="00572F25" w:rsidP="00140544">
            <w:pPr>
              <w:spacing w:after="0"/>
              <w:rPr>
                <w:rFonts w:cs="Arial"/>
                <w:color w:val="auto"/>
                <w:sz w:val="20"/>
                <w:szCs w:val="20"/>
              </w:rPr>
            </w:pPr>
            <w:r w:rsidRPr="00774C15">
              <w:rPr>
                <w:rFonts w:cs="Arial"/>
                <w:color w:val="auto"/>
                <w:sz w:val="20"/>
                <w:szCs w:val="20"/>
              </w:rPr>
              <w:t>Procedure group</w:t>
            </w:r>
          </w:p>
        </w:tc>
        <w:tc>
          <w:tcPr>
            <w:tcW w:w="1017" w:type="dxa"/>
            <w:tcBorders>
              <w:top w:val="single" w:sz="8" w:space="0" w:color="BCBEC0"/>
              <w:left w:val="nil"/>
              <w:bottom w:val="nil"/>
              <w:right w:val="nil"/>
            </w:tcBorders>
            <w:shd w:val="clear" w:color="000000" w:fill="E8B092"/>
            <w:noWrap/>
            <w:vAlign w:val="center"/>
            <w:hideMark/>
          </w:tcPr>
          <w:p w14:paraId="7580C979" w14:textId="77777777" w:rsidR="00572F25" w:rsidRPr="00774C15" w:rsidRDefault="00572F25" w:rsidP="00140544">
            <w:pPr>
              <w:spacing w:after="0"/>
              <w:jc w:val="center"/>
              <w:rPr>
                <w:rFonts w:cs="Arial"/>
                <w:color w:val="auto"/>
                <w:sz w:val="20"/>
                <w:szCs w:val="20"/>
              </w:rPr>
            </w:pPr>
            <w:r w:rsidRPr="00774C15">
              <w:rPr>
                <w:rFonts w:cs="Arial"/>
                <w:color w:val="auto"/>
                <w:sz w:val="20"/>
                <w:szCs w:val="20"/>
              </w:rPr>
              <w:t>Surgical episodes</w:t>
            </w:r>
          </w:p>
        </w:tc>
        <w:tc>
          <w:tcPr>
            <w:tcW w:w="2143" w:type="dxa"/>
            <w:gridSpan w:val="2"/>
            <w:tcBorders>
              <w:top w:val="single" w:sz="8" w:space="0" w:color="BCBEC0"/>
              <w:left w:val="nil"/>
              <w:right w:val="nil"/>
            </w:tcBorders>
            <w:shd w:val="clear" w:color="000000" w:fill="E8B092"/>
            <w:noWrap/>
            <w:vAlign w:val="center"/>
            <w:hideMark/>
          </w:tcPr>
          <w:p w14:paraId="68BE11E1" w14:textId="77777777" w:rsidR="00572F25" w:rsidRPr="00774C15" w:rsidRDefault="00572F25" w:rsidP="00140544">
            <w:pPr>
              <w:spacing w:after="0"/>
              <w:jc w:val="center"/>
              <w:rPr>
                <w:rFonts w:cs="Arial"/>
                <w:color w:val="auto"/>
                <w:sz w:val="20"/>
                <w:szCs w:val="20"/>
              </w:rPr>
            </w:pPr>
          </w:p>
          <w:p w14:paraId="5EC0C65E" w14:textId="77777777" w:rsidR="00572F25" w:rsidRPr="00774C15" w:rsidRDefault="00572F25" w:rsidP="00140544">
            <w:pPr>
              <w:spacing w:after="0"/>
              <w:jc w:val="center"/>
              <w:rPr>
                <w:rFonts w:cs="Arial"/>
                <w:color w:val="auto"/>
                <w:sz w:val="20"/>
                <w:szCs w:val="20"/>
              </w:rPr>
            </w:pPr>
            <w:r w:rsidRPr="00774C15">
              <w:rPr>
                <w:rFonts w:cs="Arial"/>
                <w:color w:val="auto"/>
                <w:sz w:val="20"/>
                <w:szCs w:val="20"/>
              </w:rPr>
              <w:t>At least one antimicrobial prescribed</w:t>
            </w:r>
          </w:p>
        </w:tc>
        <w:tc>
          <w:tcPr>
            <w:tcW w:w="898" w:type="dxa"/>
            <w:tcBorders>
              <w:top w:val="single" w:sz="8" w:space="0" w:color="BCBEC0"/>
              <w:left w:val="nil"/>
              <w:bottom w:val="nil"/>
              <w:right w:val="nil"/>
            </w:tcBorders>
            <w:shd w:val="clear" w:color="000000" w:fill="E8B092"/>
            <w:vAlign w:val="center"/>
            <w:hideMark/>
          </w:tcPr>
          <w:p w14:paraId="2486F7FD" w14:textId="77777777" w:rsidR="00572F25" w:rsidRPr="00774C15" w:rsidRDefault="00572F25" w:rsidP="00140544">
            <w:pPr>
              <w:spacing w:after="0"/>
              <w:jc w:val="center"/>
              <w:rPr>
                <w:rFonts w:cs="Arial"/>
                <w:color w:val="auto"/>
                <w:sz w:val="20"/>
                <w:szCs w:val="20"/>
              </w:rPr>
            </w:pPr>
            <w:r w:rsidRPr="00774C15">
              <w:rPr>
                <w:rFonts w:cs="Arial"/>
                <w:color w:val="auto"/>
                <w:sz w:val="20"/>
                <w:szCs w:val="20"/>
              </w:rPr>
              <w:t>Total doses</w:t>
            </w:r>
          </w:p>
        </w:tc>
        <w:tc>
          <w:tcPr>
            <w:tcW w:w="1842" w:type="dxa"/>
            <w:gridSpan w:val="2"/>
            <w:tcBorders>
              <w:top w:val="single" w:sz="8" w:space="0" w:color="BCBEC0"/>
              <w:left w:val="nil"/>
              <w:bottom w:val="nil"/>
              <w:right w:val="nil"/>
            </w:tcBorders>
            <w:shd w:val="clear" w:color="000000" w:fill="E8B092"/>
            <w:vAlign w:val="center"/>
            <w:hideMark/>
          </w:tcPr>
          <w:p w14:paraId="68E477B4" w14:textId="77777777" w:rsidR="00572F25" w:rsidRPr="00774C15" w:rsidRDefault="00572F25" w:rsidP="00140544">
            <w:pPr>
              <w:spacing w:after="0"/>
              <w:jc w:val="center"/>
              <w:rPr>
                <w:rFonts w:cs="Arial"/>
                <w:color w:val="auto"/>
                <w:sz w:val="20"/>
                <w:szCs w:val="20"/>
              </w:rPr>
            </w:pPr>
            <w:r w:rsidRPr="00774C15">
              <w:rPr>
                <w:rFonts w:cs="Arial"/>
                <w:color w:val="auto"/>
                <w:sz w:val="20"/>
                <w:szCs w:val="20"/>
              </w:rPr>
              <w:t>Inappropriate</w:t>
            </w:r>
          </w:p>
        </w:tc>
      </w:tr>
      <w:tr w:rsidR="00572F25" w:rsidRPr="003A08CC" w14:paraId="080A5463" w14:textId="77777777" w:rsidTr="00140544">
        <w:trPr>
          <w:trHeight w:val="300"/>
        </w:trPr>
        <w:tc>
          <w:tcPr>
            <w:tcW w:w="3600" w:type="dxa"/>
            <w:vMerge/>
            <w:tcBorders>
              <w:top w:val="single" w:sz="8" w:space="0" w:color="BCBEC0"/>
              <w:left w:val="nil"/>
              <w:bottom w:val="nil"/>
              <w:right w:val="nil"/>
            </w:tcBorders>
            <w:vAlign w:val="center"/>
            <w:hideMark/>
          </w:tcPr>
          <w:p w14:paraId="3634EFE7" w14:textId="77777777" w:rsidR="00572F25" w:rsidRPr="00774C15" w:rsidRDefault="00572F25" w:rsidP="00140544">
            <w:pPr>
              <w:spacing w:after="0"/>
              <w:rPr>
                <w:rFonts w:cs="Arial"/>
                <w:color w:val="auto"/>
                <w:sz w:val="20"/>
                <w:szCs w:val="20"/>
              </w:rPr>
            </w:pPr>
          </w:p>
        </w:tc>
        <w:tc>
          <w:tcPr>
            <w:tcW w:w="1017" w:type="dxa"/>
            <w:tcBorders>
              <w:top w:val="nil"/>
              <w:left w:val="nil"/>
              <w:bottom w:val="nil"/>
              <w:right w:val="nil"/>
            </w:tcBorders>
            <w:shd w:val="clear" w:color="000000" w:fill="E8B092"/>
            <w:noWrap/>
            <w:vAlign w:val="center"/>
            <w:hideMark/>
          </w:tcPr>
          <w:p w14:paraId="27E4424B" w14:textId="77777777" w:rsidR="00572F25" w:rsidRPr="00774C15" w:rsidRDefault="00572F25" w:rsidP="00140544">
            <w:pPr>
              <w:spacing w:after="0"/>
              <w:jc w:val="center"/>
              <w:rPr>
                <w:rFonts w:cs="Arial"/>
                <w:color w:val="auto"/>
                <w:sz w:val="20"/>
                <w:szCs w:val="20"/>
              </w:rPr>
            </w:pPr>
            <w:r w:rsidRPr="00774C15">
              <w:rPr>
                <w:rFonts w:cs="Arial"/>
                <w:color w:val="auto"/>
                <w:sz w:val="20"/>
                <w:szCs w:val="20"/>
              </w:rPr>
              <w:t>(n)</w:t>
            </w:r>
          </w:p>
        </w:tc>
        <w:tc>
          <w:tcPr>
            <w:tcW w:w="2143" w:type="dxa"/>
            <w:gridSpan w:val="2"/>
            <w:tcBorders>
              <w:top w:val="nil"/>
              <w:left w:val="nil"/>
              <w:bottom w:val="nil"/>
              <w:right w:val="nil"/>
            </w:tcBorders>
            <w:shd w:val="clear" w:color="000000" w:fill="E8B092"/>
            <w:noWrap/>
            <w:vAlign w:val="center"/>
            <w:hideMark/>
          </w:tcPr>
          <w:p w14:paraId="7ACFF4C2" w14:textId="77777777" w:rsidR="00572F25" w:rsidRPr="00774C15" w:rsidRDefault="00572F25" w:rsidP="00140544">
            <w:pPr>
              <w:spacing w:after="0"/>
              <w:jc w:val="center"/>
              <w:rPr>
                <w:rFonts w:cs="Arial"/>
                <w:color w:val="auto"/>
                <w:sz w:val="20"/>
                <w:szCs w:val="20"/>
              </w:rPr>
            </w:pPr>
            <w:r w:rsidRPr="00774C15">
              <w:rPr>
                <w:rFonts w:cs="Arial"/>
                <w:color w:val="auto"/>
                <w:sz w:val="20"/>
                <w:szCs w:val="20"/>
              </w:rPr>
              <w:t>(n) (%)</w:t>
            </w:r>
          </w:p>
        </w:tc>
        <w:tc>
          <w:tcPr>
            <w:tcW w:w="898" w:type="dxa"/>
            <w:tcBorders>
              <w:top w:val="nil"/>
              <w:left w:val="nil"/>
              <w:bottom w:val="nil"/>
              <w:right w:val="nil"/>
            </w:tcBorders>
            <w:shd w:val="clear" w:color="000000" w:fill="E8B092"/>
            <w:vAlign w:val="center"/>
            <w:hideMark/>
          </w:tcPr>
          <w:p w14:paraId="16EDBB8D" w14:textId="77777777" w:rsidR="00572F25" w:rsidRPr="00774C15" w:rsidRDefault="00572F25" w:rsidP="00140544">
            <w:pPr>
              <w:spacing w:after="0"/>
              <w:jc w:val="center"/>
              <w:rPr>
                <w:rFonts w:cs="Arial"/>
                <w:color w:val="auto"/>
                <w:sz w:val="20"/>
                <w:szCs w:val="20"/>
              </w:rPr>
            </w:pPr>
            <w:r w:rsidRPr="00774C15">
              <w:rPr>
                <w:rFonts w:cs="Arial"/>
                <w:color w:val="auto"/>
                <w:sz w:val="20"/>
                <w:szCs w:val="20"/>
              </w:rPr>
              <w:t>(n)</w:t>
            </w:r>
          </w:p>
        </w:tc>
        <w:tc>
          <w:tcPr>
            <w:tcW w:w="1842" w:type="dxa"/>
            <w:gridSpan w:val="2"/>
            <w:tcBorders>
              <w:top w:val="nil"/>
              <w:left w:val="nil"/>
              <w:bottom w:val="nil"/>
              <w:right w:val="nil"/>
            </w:tcBorders>
            <w:shd w:val="clear" w:color="000000" w:fill="E8B092"/>
            <w:vAlign w:val="center"/>
            <w:hideMark/>
          </w:tcPr>
          <w:p w14:paraId="3940DA7A" w14:textId="77777777" w:rsidR="00572F25" w:rsidRPr="00774C15" w:rsidRDefault="00572F25" w:rsidP="00140544">
            <w:pPr>
              <w:spacing w:after="0"/>
              <w:jc w:val="center"/>
              <w:rPr>
                <w:rFonts w:cs="Arial"/>
                <w:color w:val="auto"/>
                <w:sz w:val="20"/>
                <w:szCs w:val="20"/>
              </w:rPr>
            </w:pPr>
            <w:r w:rsidRPr="00774C15">
              <w:rPr>
                <w:rFonts w:cs="Arial"/>
                <w:color w:val="auto"/>
                <w:sz w:val="20"/>
                <w:szCs w:val="20"/>
              </w:rPr>
              <w:t>(n) (%)</w:t>
            </w:r>
          </w:p>
        </w:tc>
      </w:tr>
      <w:tr w:rsidR="00572F25" w:rsidRPr="003A08CC" w14:paraId="35E3FB9B" w14:textId="77777777" w:rsidTr="00140544">
        <w:trPr>
          <w:trHeight w:val="300"/>
        </w:trPr>
        <w:tc>
          <w:tcPr>
            <w:tcW w:w="3600" w:type="dxa"/>
            <w:tcBorders>
              <w:top w:val="nil"/>
              <w:left w:val="nil"/>
              <w:bottom w:val="nil"/>
              <w:right w:val="nil"/>
            </w:tcBorders>
            <w:shd w:val="clear" w:color="auto" w:fill="auto"/>
            <w:noWrap/>
            <w:vAlign w:val="center"/>
            <w:hideMark/>
          </w:tcPr>
          <w:p w14:paraId="0F541A2F" w14:textId="77777777" w:rsidR="00572F25" w:rsidRPr="003A08CC" w:rsidRDefault="00572F25" w:rsidP="00140544">
            <w:pPr>
              <w:spacing w:after="0"/>
              <w:rPr>
                <w:rFonts w:cs="Arial"/>
                <w:color w:val="000000"/>
                <w:sz w:val="18"/>
                <w:szCs w:val="18"/>
              </w:rPr>
            </w:pPr>
            <w:r w:rsidRPr="003A08CC">
              <w:rPr>
                <w:rFonts w:cs="Arial"/>
                <w:color w:val="000000"/>
                <w:sz w:val="18"/>
                <w:szCs w:val="18"/>
              </w:rPr>
              <w:t>Orthopaedic surgery</w:t>
            </w:r>
          </w:p>
        </w:tc>
        <w:tc>
          <w:tcPr>
            <w:tcW w:w="1017" w:type="dxa"/>
            <w:tcBorders>
              <w:top w:val="nil"/>
              <w:left w:val="nil"/>
              <w:bottom w:val="nil"/>
              <w:right w:val="nil"/>
            </w:tcBorders>
            <w:shd w:val="clear" w:color="auto" w:fill="auto"/>
            <w:noWrap/>
            <w:vAlign w:val="center"/>
            <w:hideMark/>
          </w:tcPr>
          <w:p w14:paraId="287D23BD" w14:textId="77777777" w:rsidR="00572F25" w:rsidRPr="003A08CC" w:rsidRDefault="00572F25" w:rsidP="00140544">
            <w:pPr>
              <w:spacing w:after="0"/>
              <w:jc w:val="center"/>
              <w:rPr>
                <w:rFonts w:cs="Arial"/>
                <w:color w:val="000000"/>
                <w:sz w:val="18"/>
                <w:szCs w:val="18"/>
              </w:rPr>
            </w:pPr>
            <w:r w:rsidRPr="003A08CC">
              <w:rPr>
                <w:rFonts w:cs="Arial"/>
                <w:color w:val="000000"/>
                <w:sz w:val="18"/>
                <w:szCs w:val="18"/>
              </w:rPr>
              <w:t>2,293</w:t>
            </w:r>
          </w:p>
        </w:tc>
        <w:tc>
          <w:tcPr>
            <w:tcW w:w="1053" w:type="dxa"/>
            <w:tcBorders>
              <w:top w:val="nil"/>
              <w:left w:val="nil"/>
              <w:bottom w:val="nil"/>
              <w:right w:val="nil"/>
            </w:tcBorders>
            <w:shd w:val="clear" w:color="auto" w:fill="auto"/>
            <w:noWrap/>
            <w:vAlign w:val="center"/>
            <w:hideMark/>
          </w:tcPr>
          <w:p w14:paraId="63D0D902" w14:textId="77777777" w:rsidR="00572F25" w:rsidRPr="003A08CC" w:rsidRDefault="00572F25" w:rsidP="00140544">
            <w:pPr>
              <w:spacing w:after="0"/>
              <w:jc w:val="right"/>
              <w:rPr>
                <w:rFonts w:cs="Arial"/>
                <w:color w:val="000000"/>
                <w:sz w:val="18"/>
                <w:szCs w:val="18"/>
              </w:rPr>
            </w:pPr>
            <w:r w:rsidRPr="003A08CC">
              <w:rPr>
                <w:rFonts w:cs="Arial"/>
                <w:color w:val="000000"/>
                <w:sz w:val="18"/>
                <w:szCs w:val="18"/>
              </w:rPr>
              <w:t>2,152</w:t>
            </w:r>
          </w:p>
        </w:tc>
        <w:tc>
          <w:tcPr>
            <w:tcW w:w="1090" w:type="dxa"/>
            <w:tcBorders>
              <w:top w:val="nil"/>
              <w:left w:val="nil"/>
              <w:bottom w:val="nil"/>
              <w:right w:val="nil"/>
            </w:tcBorders>
            <w:shd w:val="clear" w:color="auto" w:fill="auto"/>
            <w:noWrap/>
            <w:vAlign w:val="center"/>
            <w:hideMark/>
          </w:tcPr>
          <w:p w14:paraId="5E220947" w14:textId="77777777" w:rsidR="00572F25" w:rsidRPr="003A08CC" w:rsidRDefault="00572F25" w:rsidP="00140544">
            <w:pPr>
              <w:spacing w:after="0"/>
              <w:rPr>
                <w:rFonts w:cs="Arial"/>
                <w:color w:val="000000"/>
                <w:sz w:val="18"/>
                <w:szCs w:val="18"/>
              </w:rPr>
            </w:pPr>
            <w:r w:rsidRPr="003A08CC">
              <w:rPr>
                <w:rFonts w:cs="Arial"/>
                <w:color w:val="000000"/>
                <w:sz w:val="18"/>
                <w:szCs w:val="18"/>
              </w:rPr>
              <w:t>93.9</w:t>
            </w:r>
          </w:p>
        </w:tc>
        <w:tc>
          <w:tcPr>
            <w:tcW w:w="898" w:type="dxa"/>
            <w:tcBorders>
              <w:top w:val="nil"/>
              <w:left w:val="nil"/>
              <w:bottom w:val="nil"/>
              <w:right w:val="nil"/>
            </w:tcBorders>
            <w:shd w:val="clear" w:color="auto" w:fill="auto"/>
            <w:noWrap/>
            <w:vAlign w:val="center"/>
            <w:hideMark/>
          </w:tcPr>
          <w:p w14:paraId="5ACAC3AE" w14:textId="77777777" w:rsidR="00572F25" w:rsidRPr="003A08CC" w:rsidRDefault="00572F25" w:rsidP="00140544">
            <w:pPr>
              <w:spacing w:after="0"/>
              <w:jc w:val="center"/>
              <w:rPr>
                <w:rFonts w:cs="Arial"/>
                <w:color w:val="000000"/>
                <w:sz w:val="18"/>
                <w:szCs w:val="18"/>
              </w:rPr>
            </w:pPr>
            <w:r w:rsidRPr="003A08CC">
              <w:rPr>
                <w:rFonts w:cs="Arial"/>
                <w:color w:val="000000"/>
                <w:sz w:val="18"/>
                <w:szCs w:val="18"/>
              </w:rPr>
              <w:t>2,370</w:t>
            </w:r>
          </w:p>
        </w:tc>
        <w:tc>
          <w:tcPr>
            <w:tcW w:w="847" w:type="dxa"/>
            <w:tcBorders>
              <w:top w:val="nil"/>
              <w:left w:val="nil"/>
              <w:bottom w:val="nil"/>
              <w:right w:val="nil"/>
            </w:tcBorders>
            <w:shd w:val="clear" w:color="auto" w:fill="auto"/>
            <w:noWrap/>
            <w:vAlign w:val="center"/>
            <w:hideMark/>
          </w:tcPr>
          <w:p w14:paraId="2FC1D0B7" w14:textId="77777777" w:rsidR="00572F25" w:rsidRPr="003A08CC" w:rsidRDefault="00572F25" w:rsidP="00140544">
            <w:pPr>
              <w:spacing w:after="0"/>
              <w:jc w:val="right"/>
              <w:rPr>
                <w:rFonts w:cs="Arial"/>
                <w:color w:val="000000"/>
                <w:sz w:val="18"/>
                <w:szCs w:val="18"/>
              </w:rPr>
            </w:pPr>
            <w:r w:rsidRPr="003A08CC">
              <w:rPr>
                <w:rFonts w:cs="Arial"/>
                <w:color w:val="000000"/>
                <w:sz w:val="18"/>
                <w:szCs w:val="18"/>
              </w:rPr>
              <w:t>629</w:t>
            </w:r>
          </w:p>
        </w:tc>
        <w:tc>
          <w:tcPr>
            <w:tcW w:w="995" w:type="dxa"/>
            <w:tcBorders>
              <w:top w:val="nil"/>
              <w:left w:val="nil"/>
              <w:bottom w:val="nil"/>
              <w:right w:val="nil"/>
            </w:tcBorders>
            <w:shd w:val="clear" w:color="auto" w:fill="auto"/>
            <w:vAlign w:val="center"/>
            <w:hideMark/>
          </w:tcPr>
          <w:p w14:paraId="3970C28A" w14:textId="77777777" w:rsidR="00572F25" w:rsidRPr="003A08CC" w:rsidRDefault="00572F25" w:rsidP="00140544">
            <w:pPr>
              <w:spacing w:after="0"/>
              <w:rPr>
                <w:rFonts w:cs="Arial"/>
                <w:color w:val="000000"/>
                <w:sz w:val="18"/>
                <w:szCs w:val="18"/>
              </w:rPr>
            </w:pPr>
            <w:r w:rsidRPr="003A08CC">
              <w:rPr>
                <w:rFonts w:cs="Arial"/>
                <w:color w:val="000000"/>
                <w:sz w:val="18"/>
                <w:szCs w:val="18"/>
              </w:rPr>
              <w:t>26.5</w:t>
            </w:r>
          </w:p>
        </w:tc>
      </w:tr>
      <w:tr w:rsidR="00572F25" w:rsidRPr="003A08CC" w14:paraId="73D2CD34" w14:textId="77777777" w:rsidTr="00140544">
        <w:trPr>
          <w:trHeight w:val="300"/>
        </w:trPr>
        <w:tc>
          <w:tcPr>
            <w:tcW w:w="3600" w:type="dxa"/>
            <w:tcBorders>
              <w:top w:val="nil"/>
              <w:left w:val="nil"/>
              <w:bottom w:val="nil"/>
              <w:right w:val="nil"/>
            </w:tcBorders>
            <w:shd w:val="clear" w:color="000000" w:fill="F1F1F2"/>
            <w:noWrap/>
            <w:vAlign w:val="center"/>
            <w:hideMark/>
          </w:tcPr>
          <w:p w14:paraId="06382A20" w14:textId="77777777" w:rsidR="00572F25" w:rsidRPr="003A08CC" w:rsidRDefault="00572F25" w:rsidP="00140544">
            <w:pPr>
              <w:spacing w:after="0"/>
              <w:rPr>
                <w:rFonts w:cs="Arial"/>
                <w:color w:val="000000"/>
                <w:sz w:val="18"/>
                <w:szCs w:val="18"/>
              </w:rPr>
            </w:pPr>
            <w:r w:rsidRPr="003A08CC">
              <w:rPr>
                <w:rFonts w:cs="Arial"/>
                <w:color w:val="000000"/>
                <w:sz w:val="18"/>
                <w:szCs w:val="18"/>
              </w:rPr>
              <w:t>Abdominal surgery</w:t>
            </w:r>
          </w:p>
        </w:tc>
        <w:tc>
          <w:tcPr>
            <w:tcW w:w="1017" w:type="dxa"/>
            <w:tcBorders>
              <w:top w:val="nil"/>
              <w:left w:val="nil"/>
              <w:bottom w:val="nil"/>
              <w:right w:val="nil"/>
            </w:tcBorders>
            <w:shd w:val="clear" w:color="000000" w:fill="F1F1F2"/>
            <w:noWrap/>
            <w:vAlign w:val="center"/>
            <w:hideMark/>
          </w:tcPr>
          <w:p w14:paraId="33B4C5AC" w14:textId="77777777" w:rsidR="00572F25" w:rsidRPr="003A08CC" w:rsidRDefault="00572F25" w:rsidP="00140544">
            <w:pPr>
              <w:spacing w:after="0"/>
              <w:jc w:val="center"/>
              <w:rPr>
                <w:rFonts w:cs="Arial"/>
                <w:color w:val="000000"/>
                <w:sz w:val="18"/>
                <w:szCs w:val="18"/>
              </w:rPr>
            </w:pPr>
            <w:r w:rsidRPr="003A08CC">
              <w:rPr>
                <w:rFonts w:cs="Arial"/>
                <w:color w:val="000000"/>
                <w:sz w:val="18"/>
                <w:szCs w:val="18"/>
              </w:rPr>
              <w:t>1,369</w:t>
            </w:r>
          </w:p>
        </w:tc>
        <w:tc>
          <w:tcPr>
            <w:tcW w:w="1053" w:type="dxa"/>
            <w:tcBorders>
              <w:top w:val="nil"/>
              <w:left w:val="nil"/>
              <w:bottom w:val="nil"/>
              <w:right w:val="nil"/>
            </w:tcBorders>
            <w:shd w:val="clear" w:color="000000" w:fill="F1F1F2"/>
            <w:noWrap/>
            <w:vAlign w:val="center"/>
            <w:hideMark/>
          </w:tcPr>
          <w:p w14:paraId="39102C3B" w14:textId="77777777" w:rsidR="00572F25" w:rsidRPr="003A08CC" w:rsidRDefault="00572F25" w:rsidP="00140544">
            <w:pPr>
              <w:spacing w:after="0"/>
              <w:jc w:val="right"/>
              <w:rPr>
                <w:rFonts w:cs="Arial"/>
                <w:color w:val="000000"/>
                <w:sz w:val="18"/>
                <w:szCs w:val="18"/>
              </w:rPr>
            </w:pPr>
            <w:r w:rsidRPr="003A08CC">
              <w:rPr>
                <w:rFonts w:cs="Arial"/>
                <w:color w:val="000000"/>
                <w:sz w:val="18"/>
                <w:szCs w:val="18"/>
              </w:rPr>
              <w:t>1,158</w:t>
            </w:r>
          </w:p>
        </w:tc>
        <w:tc>
          <w:tcPr>
            <w:tcW w:w="1090" w:type="dxa"/>
            <w:tcBorders>
              <w:top w:val="nil"/>
              <w:left w:val="nil"/>
              <w:bottom w:val="nil"/>
              <w:right w:val="nil"/>
            </w:tcBorders>
            <w:shd w:val="clear" w:color="000000" w:fill="F1F1F2"/>
            <w:noWrap/>
            <w:vAlign w:val="center"/>
            <w:hideMark/>
          </w:tcPr>
          <w:p w14:paraId="3C7D979E" w14:textId="77777777" w:rsidR="00572F25" w:rsidRPr="003A08CC" w:rsidRDefault="00572F25" w:rsidP="00140544">
            <w:pPr>
              <w:spacing w:after="0"/>
              <w:rPr>
                <w:rFonts w:cs="Arial"/>
                <w:color w:val="000000"/>
                <w:sz w:val="18"/>
                <w:szCs w:val="18"/>
              </w:rPr>
            </w:pPr>
            <w:r w:rsidRPr="003A08CC">
              <w:rPr>
                <w:rFonts w:cs="Arial"/>
                <w:color w:val="000000"/>
                <w:sz w:val="18"/>
                <w:szCs w:val="18"/>
              </w:rPr>
              <w:t>84.6</w:t>
            </w:r>
          </w:p>
        </w:tc>
        <w:tc>
          <w:tcPr>
            <w:tcW w:w="898" w:type="dxa"/>
            <w:tcBorders>
              <w:top w:val="nil"/>
              <w:left w:val="nil"/>
              <w:bottom w:val="nil"/>
              <w:right w:val="nil"/>
            </w:tcBorders>
            <w:shd w:val="clear" w:color="000000" w:fill="F1F1F2"/>
            <w:noWrap/>
            <w:vAlign w:val="center"/>
            <w:hideMark/>
          </w:tcPr>
          <w:p w14:paraId="392E6D7A" w14:textId="77777777" w:rsidR="00572F25" w:rsidRPr="003A08CC" w:rsidRDefault="00572F25" w:rsidP="00140544">
            <w:pPr>
              <w:spacing w:after="0"/>
              <w:jc w:val="center"/>
              <w:rPr>
                <w:rFonts w:cs="Arial"/>
                <w:color w:val="000000"/>
                <w:sz w:val="18"/>
                <w:szCs w:val="18"/>
              </w:rPr>
            </w:pPr>
            <w:r w:rsidRPr="003A08CC">
              <w:rPr>
                <w:rFonts w:cs="Arial"/>
                <w:color w:val="000000"/>
                <w:sz w:val="18"/>
                <w:szCs w:val="18"/>
              </w:rPr>
              <w:t>1,399</w:t>
            </w:r>
          </w:p>
        </w:tc>
        <w:tc>
          <w:tcPr>
            <w:tcW w:w="847" w:type="dxa"/>
            <w:tcBorders>
              <w:top w:val="nil"/>
              <w:left w:val="nil"/>
              <w:bottom w:val="nil"/>
              <w:right w:val="nil"/>
            </w:tcBorders>
            <w:shd w:val="clear" w:color="000000" w:fill="F1F1F2"/>
            <w:noWrap/>
            <w:vAlign w:val="center"/>
            <w:hideMark/>
          </w:tcPr>
          <w:p w14:paraId="452ABC6F" w14:textId="77777777" w:rsidR="00572F25" w:rsidRPr="003A08CC" w:rsidRDefault="00572F25" w:rsidP="00140544">
            <w:pPr>
              <w:spacing w:after="0"/>
              <w:jc w:val="right"/>
              <w:rPr>
                <w:rFonts w:cs="Arial"/>
                <w:color w:val="000000"/>
                <w:sz w:val="18"/>
                <w:szCs w:val="18"/>
              </w:rPr>
            </w:pPr>
            <w:r w:rsidRPr="003A08CC">
              <w:rPr>
                <w:rFonts w:cs="Arial"/>
                <w:color w:val="000000"/>
                <w:sz w:val="18"/>
                <w:szCs w:val="18"/>
              </w:rPr>
              <w:t>328</w:t>
            </w:r>
          </w:p>
        </w:tc>
        <w:tc>
          <w:tcPr>
            <w:tcW w:w="995" w:type="dxa"/>
            <w:tcBorders>
              <w:top w:val="nil"/>
              <w:left w:val="nil"/>
              <w:bottom w:val="nil"/>
              <w:right w:val="nil"/>
            </w:tcBorders>
            <w:shd w:val="clear" w:color="000000" w:fill="F1F1F2"/>
            <w:vAlign w:val="center"/>
            <w:hideMark/>
          </w:tcPr>
          <w:p w14:paraId="138BC35F" w14:textId="77777777" w:rsidR="00572F25" w:rsidRPr="003A08CC" w:rsidRDefault="00572F25" w:rsidP="00140544">
            <w:pPr>
              <w:spacing w:after="0"/>
              <w:rPr>
                <w:rFonts w:cs="Arial"/>
                <w:color w:val="000000"/>
                <w:sz w:val="18"/>
                <w:szCs w:val="18"/>
              </w:rPr>
            </w:pPr>
            <w:r w:rsidRPr="003A08CC">
              <w:rPr>
                <w:rFonts w:cs="Arial"/>
                <w:color w:val="000000"/>
                <w:sz w:val="18"/>
                <w:szCs w:val="18"/>
              </w:rPr>
              <w:t>23.4</w:t>
            </w:r>
          </w:p>
        </w:tc>
      </w:tr>
      <w:tr w:rsidR="00572F25" w:rsidRPr="003A08CC" w14:paraId="180DE5D2" w14:textId="77777777" w:rsidTr="00140544">
        <w:trPr>
          <w:trHeight w:val="300"/>
        </w:trPr>
        <w:tc>
          <w:tcPr>
            <w:tcW w:w="3600" w:type="dxa"/>
            <w:tcBorders>
              <w:top w:val="nil"/>
              <w:left w:val="nil"/>
              <w:bottom w:val="nil"/>
              <w:right w:val="nil"/>
            </w:tcBorders>
            <w:shd w:val="clear" w:color="auto" w:fill="auto"/>
            <w:noWrap/>
            <w:vAlign w:val="center"/>
            <w:hideMark/>
          </w:tcPr>
          <w:p w14:paraId="79173ED8" w14:textId="77777777" w:rsidR="00572F25" w:rsidRPr="003A08CC" w:rsidRDefault="00572F25" w:rsidP="00140544">
            <w:pPr>
              <w:spacing w:after="0"/>
              <w:rPr>
                <w:rFonts w:cs="Arial"/>
                <w:color w:val="000000"/>
                <w:sz w:val="18"/>
                <w:szCs w:val="18"/>
              </w:rPr>
            </w:pPr>
            <w:r w:rsidRPr="003A08CC">
              <w:rPr>
                <w:rFonts w:cs="Arial"/>
                <w:color w:val="000000"/>
                <w:sz w:val="18"/>
                <w:szCs w:val="18"/>
              </w:rPr>
              <w:t>Obstetrics</w:t>
            </w:r>
          </w:p>
        </w:tc>
        <w:tc>
          <w:tcPr>
            <w:tcW w:w="1017" w:type="dxa"/>
            <w:tcBorders>
              <w:top w:val="nil"/>
              <w:left w:val="nil"/>
              <w:bottom w:val="nil"/>
              <w:right w:val="nil"/>
            </w:tcBorders>
            <w:shd w:val="clear" w:color="auto" w:fill="auto"/>
            <w:noWrap/>
            <w:vAlign w:val="center"/>
            <w:hideMark/>
          </w:tcPr>
          <w:p w14:paraId="0BD2E786" w14:textId="77777777" w:rsidR="00572F25" w:rsidRPr="003A08CC" w:rsidRDefault="00572F25" w:rsidP="00140544">
            <w:pPr>
              <w:spacing w:after="0"/>
              <w:jc w:val="center"/>
              <w:rPr>
                <w:rFonts w:cs="Arial"/>
                <w:color w:val="000000"/>
                <w:sz w:val="18"/>
                <w:szCs w:val="18"/>
              </w:rPr>
            </w:pPr>
            <w:r w:rsidRPr="003A08CC">
              <w:rPr>
                <w:rFonts w:cs="Arial"/>
                <w:color w:val="000000"/>
                <w:sz w:val="18"/>
                <w:szCs w:val="18"/>
              </w:rPr>
              <w:t>1,180</w:t>
            </w:r>
          </w:p>
        </w:tc>
        <w:tc>
          <w:tcPr>
            <w:tcW w:w="1053" w:type="dxa"/>
            <w:tcBorders>
              <w:top w:val="nil"/>
              <w:left w:val="nil"/>
              <w:bottom w:val="nil"/>
              <w:right w:val="nil"/>
            </w:tcBorders>
            <w:shd w:val="clear" w:color="auto" w:fill="auto"/>
            <w:noWrap/>
            <w:vAlign w:val="center"/>
            <w:hideMark/>
          </w:tcPr>
          <w:p w14:paraId="3508A751" w14:textId="77777777" w:rsidR="00572F25" w:rsidRPr="003A08CC" w:rsidRDefault="00572F25" w:rsidP="00140544">
            <w:pPr>
              <w:spacing w:after="0"/>
              <w:jc w:val="right"/>
              <w:rPr>
                <w:rFonts w:cs="Arial"/>
                <w:color w:val="000000"/>
                <w:sz w:val="18"/>
                <w:szCs w:val="18"/>
              </w:rPr>
            </w:pPr>
            <w:r w:rsidRPr="003A08CC">
              <w:rPr>
                <w:rFonts w:cs="Arial"/>
                <w:color w:val="000000"/>
                <w:sz w:val="18"/>
                <w:szCs w:val="18"/>
              </w:rPr>
              <w:t>969</w:t>
            </w:r>
          </w:p>
        </w:tc>
        <w:tc>
          <w:tcPr>
            <w:tcW w:w="1090" w:type="dxa"/>
            <w:tcBorders>
              <w:top w:val="nil"/>
              <w:left w:val="nil"/>
              <w:bottom w:val="nil"/>
              <w:right w:val="nil"/>
            </w:tcBorders>
            <w:shd w:val="clear" w:color="auto" w:fill="auto"/>
            <w:noWrap/>
            <w:vAlign w:val="center"/>
            <w:hideMark/>
          </w:tcPr>
          <w:p w14:paraId="2807ABA3" w14:textId="77777777" w:rsidR="00572F25" w:rsidRPr="003A08CC" w:rsidRDefault="00572F25" w:rsidP="00140544">
            <w:pPr>
              <w:spacing w:after="0"/>
              <w:rPr>
                <w:rFonts w:cs="Arial"/>
                <w:color w:val="000000"/>
                <w:sz w:val="18"/>
                <w:szCs w:val="18"/>
              </w:rPr>
            </w:pPr>
            <w:r w:rsidRPr="003A08CC">
              <w:rPr>
                <w:rFonts w:cs="Arial"/>
                <w:color w:val="000000"/>
                <w:sz w:val="18"/>
                <w:szCs w:val="18"/>
              </w:rPr>
              <w:t>82.1</w:t>
            </w:r>
          </w:p>
        </w:tc>
        <w:tc>
          <w:tcPr>
            <w:tcW w:w="898" w:type="dxa"/>
            <w:tcBorders>
              <w:top w:val="nil"/>
              <w:left w:val="nil"/>
              <w:bottom w:val="nil"/>
              <w:right w:val="nil"/>
            </w:tcBorders>
            <w:shd w:val="clear" w:color="auto" w:fill="auto"/>
            <w:noWrap/>
            <w:vAlign w:val="center"/>
            <w:hideMark/>
          </w:tcPr>
          <w:p w14:paraId="4950648E" w14:textId="77777777" w:rsidR="00572F25" w:rsidRPr="003A08CC" w:rsidRDefault="00572F25" w:rsidP="00140544">
            <w:pPr>
              <w:spacing w:after="0"/>
              <w:jc w:val="center"/>
              <w:rPr>
                <w:rFonts w:cs="Arial"/>
                <w:color w:val="000000"/>
                <w:sz w:val="18"/>
                <w:szCs w:val="18"/>
              </w:rPr>
            </w:pPr>
            <w:r w:rsidRPr="003A08CC">
              <w:rPr>
                <w:rFonts w:cs="Arial"/>
                <w:color w:val="000000"/>
                <w:sz w:val="18"/>
                <w:szCs w:val="18"/>
              </w:rPr>
              <w:t>1,013</w:t>
            </w:r>
          </w:p>
        </w:tc>
        <w:tc>
          <w:tcPr>
            <w:tcW w:w="847" w:type="dxa"/>
            <w:tcBorders>
              <w:top w:val="nil"/>
              <w:left w:val="nil"/>
              <w:bottom w:val="nil"/>
              <w:right w:val="nil"/>
            </w:tcBorders>
            <w:shd w:val="clear" w:color="auto" w:fill="auto"/>
            <w:noWrap/>
            <w:vAlign w:val="center"/>
            <w:hideMark/>
          </w:tcPr>
          <w:p w14:paraId="2C2E7B59" w14:textId="77777777" w:rsidR="00572F25" w:rsidRPr="003A08CC" w:rsidRDefault="00572F25" w:rsidP="00140544">
            <w:pPr>
              <w:spacing w:after="0"/>
              <w:jc w:val="right"/>
              <w:rPr>
                <w:rFonts w:cs="Arial"/>
                <w:color w:val="000000"/>
                <w:sz w:val="18"/>
                <w:szCs w:val="18"/>
              </w:rPr>
            </w:pPr>
            <w:r w:rsidRPr="003A08CC">
              <w:rPr>
                <w:rFonts w:cs="Arial"/>
                <w:color w:val="000000"/>
                <w:sz w:val="18"/>
                <w:szCs w:val="18"/>
              </w:rPr>
              <w:t>296</w:t>
            </w:r>
          </w:p>
        </w:tc>
        <w:tc>
          <w:tcPr>
            <w:tcW w:w="995" w:type="dxa"/>
            <w:tcBorders>
              <w:top w:val="nil"/>
              <w:left w:val="nil"/>
              <w:bottom w:val="nil"/>
              <w:right w:val="nil"/>
            </w:tcBorders>
            <w:shd w:val="clear" w:color="auto" w:fill="auto"/>
            <w:vAlign w:val="center"/>
            <w:hideMark/>
          </w:tcPr>
          <w:p w14:paraId="0E3EBE0E" w14:textId="77777777" w:rsidR="00572F25" w:rsidRPr="003A08CC" w:rsidRDefault="00572F25" w:rsidP="00140544">
            <w:pPr>
              <w:spacing w:after="0"/>
              <w:rPr>
                <w:rFonts w:cs="Arial"/>
                <w:color w:val="000000"/>
                <w:sz w:val="18"/>
                <w:szCs w:val="18"/>
              </w:rPr>
            </w:pPr>
            <w:r w:rsidRPr="003A08CC">
              <w:rPr>
                <w:rFonts w:cs="Arial"/>
                <w:color w:val="000000"/>
                <w:sz w:val="18"/>
                <w:szCs w:val="18"/>
              </w:rPr>
              <w:t>29.2</w:t>
            </w:r>
          </w:p>
        </w:tc>
      </w:tr>
      <w:tr w:rsidR="00572F25" w:rsidRPr="003A08CC" w14:paraId="51B8631A" w14:textId="77777777" w:rsidTr="00140544">
        <w:trPr>
          <w:trHeight w:val="300"/>
        </w:trPr>
        <w:tc>
          <w:tcPr>
            <w:tcW w:w="3600" w:type="dxa"/>
            <w:tcBorders>
              <w:top w:val="nil"/>
              <w:left w:val="nil"/>
              <w:bottom w:val="nil"/>
              <w:right w:val="nil"/>
            </w:tcBorders>
            <w:shd w:val="clear" w:color="000000" w:fill="F1F1F2"/>
            <w:noWrap/>
            <w:vAlign w:val="center"/>
            <w:hideMark/>
          </w:tcPr>
          <w:p w14:paraId="68366EBF" w14:textId="77777777" w:rsidR="00572F25" w:rsidRPr="003A08CC" w:rsidRDefault="00572F25" w:rsidP="00140544">
            <w:pPr>
              <w:spacing w:after="0"/>
              <w:rPr>
                <w:rFonts w:cs="Arial"/>
                <w:color w:val="000000"/>
                <w:sz w:val="18"/>
                <w:szCs w:val="18"/>
              </w:rPr>
            </w:pPr>
            <w:r w:rsidRPr="003A08CC">
              <w:rPr>
                <w:rFonts w:cs="Arial"/>
                <w:color w:val="000000"/>
                <w:sz w:val="18"/>
                <w:szCs w:val="18"/>
              </w:rPr>
              <w:t>Plastic and reconstructive surgery</w:t>
            </w:r>
          </w:p>
        </w:tc>
        <w:tc>
          <w:tcPr>
            <w:tcW w:w="1017" w:type="dxa"/>
            <w:tcBorders>
              <w:top w:val="nil"/>
              <w:left w:val="nil"/>
              <w:bottom w:val="nil"/>
              <w:right w:val="nil"/>
            </w:tcBorders>
            <w:shd w:val="clear" w:color="000000" w:fill="F1F1F2"/>
            <w:noWrap/>
            <w:vAlign w:val="center"/>
            <w:hideMark/>
          </w:tcPr>
          <w:p w14:paraId="0B437DD7" w14:textId="77777777" w:rsidR="00572F25" w:rsidRPr="003A08CC" w:rsidRDefault="00572F25" w:rsidP="00140544">
            <w:pPr>
              <w:spacing w:after="0"/>
              <w:jc w:val="center"/>
              <w:rPr>
                <w:rFonts w:cs="Arial"/>
                <w:color w:val="000000"/>
                <w:sz w:val="18"/>
                <w:szCs w:val="18"/>
              </w:rPr>
            </w:pPr>
            <w:r w:rsidRPr="003A08CC">
              <w:rPr>
                <w:rFonts w:cs="Arial"/>
                <w:color w:val="000000"/>
                <w:sz w:val="18"/>
                <w:szCs w:val="18"/>
              </w:rPr>
              <w:t>1,029</w:t>
            </w:r>
          </w:p>
        </w:tc>
        <w:tc>
          <w:tcPr>
            <w:tcW w:w="1053" w:type="dxa"/>
            <w:tcBorders>
              <w:top w:val="nil"/>
              <w:left w:val="nil"/>
              <w:bottom w:val="nil"/>
              <w:right w:val="nil"/>
            </w:tcBorders>
            <w:shd w:val="clear" w:color="000000" w:fill="F1F1F2"/>
            <w:noWrap/>
            <w:vAlign w:val="center"/>
            <w:hideMark/>
          </w:tcPr>
          <w:p w14:paraId="373F5C86" w14:textId="77777777" w:rsidR="00572F25" w:rsidRPr="003A08CC" w:rsidRDefault="00572F25" w:rsidP="00140544">
            <w:pPr>
              <w:spacing w:after="0"/>
              <w:jc w:val="right"/>
              <w:rPr>
                <w:rFonts w:cs="Arial"/>
                <w:color w:val="000000"/>
                <w:sz w:val="18"/>
                <w:szCs w:val="18"/>
              </w:rPr>
            </w:pPr>
            <w:r w:rsidRPr="003A08CC">
              <w:rPr>
                <w:rFonts w:cs="Arial"/>
                <w:color w:val="000000"/>
                <w:sz w:val="18"/>
                <w:szCs w:val="18"/>
              </w:rPr>
              <w:t>705</w:t>
            </w:r>
          </w:p>
        </w:tc>
        <w:tc>
          <w:tcPr>
            <w:tcW w:w="1090" w:type="dxa"/>
            <w:tcBorders>
              <w:top w:val="nil"/>
              <w:left w:val="nil"/>
              <w:bottom w:val="nil"/>
              <w:right w:val="nil"/>
            </w:tcBorders>
            <w:shd w:val="clear" w:color="000000" w:fill="F1F1F2"/>
            <w:noWrap/>
            <w:vAlign w:val="center"/>
            <w:hideMark/>
          </w:tcPr>
          <w:p w14:paraId="14CD5C18" w14:textId="77777777" w:rsidR="00572F25" w:rsidRPr="003A08CC" w:rsidRDefault="00572F25" w:rsidP="00140544">
            <w:pPr>
              <w:spacing w:after="0"/>
              <w:rPr>
                <w:rFonts w:cs="Arial"/>
                <w:color w:val="000000"/>
                <w:sz w:val="18"/>
                <w:szCs w:val="18"/>
              </w:rPr>
            </w:pPr>
            <w:r w:rsidRPr="003A08CC">
              <w:rPr>
                <w:rFonts w:cs="Arial"/>
                <w:color w:val="000000"/>
                <w:sz w:val="18"/>
                <w:szCs w:val="18"/>
              </w:rPr>
              <w:t>68.5</w:t>
            </w:r>
          </w:p>
        </w:tc>
        <w:tc>
          <w:tcPr>
            <w:tcW w:w="898" w:type="dxa"/>
            <w:tcBorders>
              <w:top w:val="nil"/>
              <w:left w:val="nil"/>
              <w:bottom w:val="nil"/>
              <w:right w:val="nil"/>
            </w:tcBorders>
            <w:shd w:val="clear" w:color="000000" w:fill="F1F1F2"/>
            <w:noWrap/>
            <w:vAlign w:val="center"/>
            <w:hideMark/>
          </w:tcPr>
          <w:p w14:paraId="2552CF46" w14:textId="77777777" w:rsidR="00572F25" w:rsidRPr="003A08CC" w:rsidRDefault="00572F25" w:rsidP="00140544">
            <w:pPr>
              <w:spacing w:after="0"/>
              <w:jc w:val="center"/>
              <w:rPr>
                <w:rFonts w:cs="Arial"/>
                <w:color w:val="000000"/>
                <w:sz w:val="18"/>
                <w:szCs w:val="18"/>
              </w:rPr>
            </w:pPr>
            <w:r w:rsidRPr="003A08CC">
              <w:rPr>
                <w:rFonts w:cs="Arial"/>
                <w:color w:val="000000"/>
                <w:sz w:val="18"/>
                <w:szCs w:val="18"/>
              </w:rPr>
              <w:t>746</w:t>
            </w:r>
          </w:p>
        </w:tc>
        <w:tc>
          <w:tcPr>
            <w:tcW w:w="847" w:type="dxa"/>
            <w:tcBorders>
              <w:top w:val="nil"/>
              <w:left w:val="nil"/>
              <w:bottom w:val="nil"/>
              <w:right w:val="nil"/>
            </w:tcBorders>
            <w:shd w:val="clear" w:color="000000" w:fill="F1F1F2"/>
            <w:noWrap/>
            <w:vAlign w:val="center"/>
            <w:hideMark/>
          </w:tcPr>
          <w:p w14:paraId="74E68000" w14:textId="77777777" w:rsidR="00572F25" w:rsidRPr="003A08CC" w:rsidRDefault="00572F25" w:rsidP="00140544">
            <w:pPr>
              <w:spacing w:after="0"/>
              <w:jc w:val="right"/>
              <w:rPr>
                <w:rFonts w:cs="Arial"/>
                <w:color w:val="000000"/>
                <w:sz w:val="18"/>
                <w:szCs w:val="18"/>
              </w:rPr>
            </w:pPr>
            <w:r w:rsidRPr="003A08CC">
              <w:rPr>
                <w:rFonts w:cs="Arial"/>
                <w:color w:val="000000"/>
                <w:sz w:val="18"/>
                <w:szCs w:val="18"/>
              </w:rPr>
              <w:t>308</w:t>
            </w:r>
          </w:p>
        </w:tc>
        <w:tc>
          <w:tcPr>
            <w:tcW w:w="995" w:type="dxa"/>
            <w:tcBorders>
              <w:top w:val="nil"/>
              <w:left w:val="nil"/>
              <w:bottom w:val="nil"/>
              <w:right w:val="nil"/>
            </w:tcBorders>
            <w:shd w:val="clear" w:color="000000" w:fill="F1F1F2"/>
            <w:vAlign w:val="center"/>
            <w:hideMark/>
          </w:tcPr>
          <w:p w14:paraId="49C97C75" w14:textId="77777777" w:rsidR="00572F25" w:rsidRPr="003A08CC" w:rsidRDefault="00572F25" w:rsidP="00140544">
            <w:pPr>
              <w:spacing w:after="0"/>
              <w:rPr>
                <w:rFonts w:cs="Arial"/>
                <w:color w:val="000000"/>
                <w:sz w:val="18"/>
                <w:szCs w:val="18"/>
              </w:rPr>
            </w:pPr>
            <w:r w:rsidRPr="003A08CC">
              <w:rPr>
                <w:rFonts w:cs="Arial"/>
                <w:color w:val="000000"/>
                <w:sz w:val="18"/>
                <w:szCs w:val="18"/>
              </w:rPr>
              <w:t>41.3</w:t>
            </w:r>
          </w:p>
        </w:tc>
      </w:tr>
      <w:tr w:rsidR="00572F25" w:rsidRPr="003A08CC" w14:paraId="2E4BC418" w14:textId="77777777" w:rsidTr="00140544">
        <w:trPr>
          <w:trHeight w:val="300"/>
        </w:trPr>
        <w:tc>
          <w:tcPr>
            <w:tcW w:w="3600" w:type="dxa"/>
            <w:tcBorders>
              <w:top w:val="nil"/>
              <w:left w:val="nil"/>
              <w:bottom w:val="nil"/>
              <w:right w:val="nil"/>
            </w:tcBorders>
            <w:shd w:val="clear" w:color="auto" w:fill="auto"/>
            <w:noWrap/>
            <w:vAlign w:val="center"/>
            <w:hideMark/>
          </w:tcPr>
          <w:p w14:paraId="29BECB0B" w14:textId="77777777" w:rsidR="00572F25" w:rsidRPr="003A08CC" w:rsidRDefault="00572F25" w:rsidP="00140544">
            <w:pPr>
              <w:spacing w:after="0"/>
              <w:rPr>
                <w:rFonts w:cs="Arial"/>
                <w:color w:val="000000"/>
                <w:sz w:val="18"/>
                <w:szCs w:val="18"/>
              </w:rPr>
            </w:pPr>
            <w:r w:rsidRPr="003A08CC">
              <w:rPr>
                <w:rFonts w:cs="Arial"/>
                <w:color w:val="000000"/>
                <w:sz w:val="18"/>
                <w:szCs w:val="18"/>
              </w:rPr>
              <w:t>Ophthalmology</w:t>
            </w:r>
          </w:p>
        </w:tc>
        <w:tc>
          <w:tcPr>
            <w:tcW w:w="1017" w:type="dxa"/>
            <w:tcBorders>
              <w:top w:val="nil"/>
              <w:left w:val="nil"/>
              <w:bottom w:val="nil"/>
              <w:right w:val="nil"/>
            </w:tcBorders>
            <w:shd w:val="clear" w:color="auto" w:fill="auto"/>
            <w:noWrap/>
            <w:vAlign w:val="center"/>
            <w:hideMark/>
          </w:tcPr>
          <w:p w14:paraId="17801C5F" w14:textId="77777777" w:rsidR="00572F25" w:rsidRPr="003A08CC" w:rsidRDefault="00572F25" w:rsidP="00140544">
            <w:pPr>
              <w:spacing w:after="0"/>
              <w:jc w:val="center"/>
              <w:rPr>
                <w:rFonts w:cs="Arial"/>
                <w:color w:val="000000"/>
                <w:sz w:val="18"/>
                <w:szCs w:val="18"/>
              </w:rPr>
            </w:pPr>
            <w:r w:rsidRPr="003A08CC">
              <w:rPr>
                <w:rFonts w:cs="Arial"/>
                <w:color w:val="000000"/>
                <w:sz w:val="18"/>
                <w:szCs w:val="18"/>
              </w:rPr>
              <w:t>903</w:t>
            </w:r>
          </w:p>
        </w:tc>
        <w:tc>
          <w:tcPr>
            <w:tcW w:w="1053" w:type="dxa"/>
            <w:tcBorders>
              <w:top w:val="nil"/>
              <w:left w:val="nil"/>
              <w:bottom w:val="nil"/>
              <w:right w:val="nil"/>
            </w:tcBorders>
            <w:shd w:val="clear" w:color="auto" w:fill="auto"/>
            <w:noWrap/>
            <w:vAlign w:val="center"/>
            <w:hideMark/>
          </w:tcPr>
          <w:p w14:paraId="28CD24E8" w14:textId="77777777" w:rsidR="00572F25" w:rsidRPr="003A08CC" w:rsidRDefault="00572F25" w:rsidP="00140544">
            <w:pPr>
              <w:spacing w:after="0"/>
              <w:jc w:val="right"/>
              <w:rPr>
                <w:rFonts w:cs="Arial"/>
                <w:color w:val="000000"/>
                <w:sz w:val="18"/>
                <w:szCs w:val="18"/>
              </w:rPr>
            </w:pPr>
            <w:r w:rsidRPr="003A08CC">
              <w:rPr>
                <w:rFonts w:cs="Arial"/>
                <w:color w:val="000000"/>
                <w:sz w:val="18"/>
                <w:szCs w:val="18"/>
              </w:rPr>
              <w:t>658</w:t>
            </w:r>
          </w:p>
        </w:tc>
        <w:tc>
          <w:tcPr>
            <w:tcW w:w="1090" w:type="dxa"/>
            <w:tcBorders>
              <w:top w:val="nil"/>
              <w:left w:val="nil"/>
              <w:bottom w:val="nil"/>
              <w:right w:val="nil"/>
            </w:tcBorders>
            <w:shd w:val="clear" w:color="auto" w:fill="auto"/>
            <w:noWrap/>
            <w:vAlign w:val="center"/>
            <w:hideMark/>
          </w:tcPr>
          <w:p w14:paraId="610D9B31" w14:textId="77777777" w:rsidR="00572F25" w:rsidRPr="003A08CC" w:rsidRDefault="00572F25" w:rsidP="00140544">
            <w:pPr>
              <w:spacing w:after="0"/>
              <w:rPr>
                <w:rFonts w:cs="Arial"/>
                <w:color w:val="000000"/>
                <w:sz w:val="18"/>
                <w:szCs w:val="18"/>
              </w:rPr>
            </w:pPr>
            <w:r w:rsidRPr="003A08CC">
              <w:rPr>
                <w:rFonts w:cs="Arial"/>
                <w:color w:val="000000"/>
                <w:sz w:val="18"/>
                <w:szCs w:val="18"/>
              </w:rPr>
              <w:t>72.9</w:t>
            </w:r>
          </w:p>
        </w:tc>
        <w:tc>
          <w:tcPr>
            <w:tcW w:w="898" w:type="dxa"/>
            <w:tcBorders>
              <w:top w:val="nil"/>
              <w:left w:val="nil"/>
              <w:bottom w:val="nil"/>
              <w:right w:val="nil"/>
            </w:tcBorders>
            <w:shd w:val="clear" w:color="auto" w:fill="auto"/>
            <w:noWrap/>
            <w:vAlign w:val="center"/>
            <w:hideMark/>
          </w:tcPr>
          <w:p w14:paraId="62078881" w14:textId="77777777" w:rsidR="00572F25" w:rsidRPr="003A08CC" w:rsidRDefault="00572F25" w:rsidP="00140544">
            <w:pPr>
              <w:spacing w:after="0"/>
              <w:jc w:val="center"/>
              <w:rPr>
                <w:rFonts w:cs="Arial"/>
                <w:color w:val="000000"/>
                <w:sz w:val="18"/>
                <w:szCs w:val="18"/>
              </w:rPr>
            </w:pPr>
            <w:r w:rsidRPr="003A08CC">
              <w:rPr>
                <w:rFonts w:cs="Arial"/>
                <w:color w:val="000000"/>
                <w:sz w:val="18"/>
                <w:szCs w:val="18"/>
              </w:rPr>
              <w:t>756</w:t>
            </w:r>
          </w:p>
        </w:tc>
        <w:tc>
          <w:tcPr>
            <w:tcW w:w="847" w:type="dxa"/>
            <w:tcBorders>
              <w:top w:val="nil"/>
              <w:left w:val="nil"/>
              <w:bottom w:val="nil"/>
              <w:right w:val="nil"/>
            </w:tcBorders>
            <w:shd w:val="clear" w:color="auto" w:fill="auto"/>
            <w:noWrap/>
            <w:vAlign w:val="center"/>
            <w:hideMark/>
          </w:tcPr>
          <w:p w14:paraId="560CB7AB" w14:textId="77777777" w:rsidR="00572F25" w:rsidRPr="003A08CC" w:rsidRDefault="00572F25" w:rsidP="00140544">
            <w:pPr>
              <w:spacing w:after="0"/>
              <w:jc w:val="right"/>
              <w:rPr>
                <w:rFonts w:cs="Arial"/>
                <w:color w:val="000000"/>
                <w:sz w:val="18"/>
                <w:szCs w:val="18"/>
              </w:rPr>
            </w:pPr>
            <w:r w:rsidRPr="003A08CC">
              <w:rPr>
                <w:rFonts w:cs="Arial"/>
                <w:color w:val="000000"/>
                <w:sz w:val="18"/>
                <w:szCs w:val="18"/>
              </w:rPr>
              <w:t>147</w:t>
            </w:r>
          </w:p>
        </w:tc>
        <w:tc>
          <w:tcPr>
            <w:tcW w:w="995" w:type="dxa"/>
            <w:tcBorders>
              <w:top w:val="nil"/>
              <w:left w:val="nil"/>
              <w:bottom w:val="nil"/>
              <w:right w:val="nil"/>
            </w:tcBorders>
            <w:shd w:val="clear" w:color="auto" w:fill="auto"/>
            <w:vAlign w:val="center"/>
            <w:hideMark/>
          </w:tcPr>
          <w:p w14:paraId="40EF1029" w14:textId="77777777" w:rsidR="00572F25" w:rsidRPr="003A08CC" w:rsidRDefault="00572F25" w:rsidP="00140544">
            <w:pPr>
              <w:spacing w:after="0"/>
              <w:rPr>
                <w:rFonts w:cs="Arial"/>
                <w:color w:val="000000"/>
                <w:sz w:val="18"/>
                <w:szCs w:val="18"/>
              </w:rPr>
            </w:pPr>
            <w:r w:rsidRPr="003A08CC">
              <w:rPr>
                <w:rFonts w:cs="Arial"/>
                <w:color w:val="000000"/>
                <w:sz w:val="18"/>
                <w:szCs w:val="18"/>
              </w:rPr>
              <w:t>19.4</w:t>
            </w:r>
          </w:p>
        </w:tc>
      </w:tr>
      <w:tr w:rsidR="00572F25" w:rsidRPr="003A08CC" w14:paraId="21FDD13D" w14:textId="77777777" w:rsidTr="00140544">
        <w:trPr>
          <w:trHeight w:val="300"/>
        </w:trPr>
        <w:tc>
          <w:tcPr>
            <w:tcW w:w="3600" w:type="dxa"/>
            <w:tcBorders>
              <w:top w:val="nil"/>
              <w:left w:val="nil"/>
              <w:bottom w:val="nil"/>
              <w:right w:val="nil"/>
            </w:tcBorders>
            <w:shd w:val="clear" w:color="000000" w:fill="F1F1F2"/>
            <w:noWrap/>
            <w:vAlign w:val="center"/>
            <w:hideMark/>
          </w:tcPr>
          <w:p w14:paraId="2BAEA656" w14:textId="77777777" w:rsidR="00572F25" w:rsidRPr="003A08CC" w:rsidRDefault="00572F25" w:rsidP="00140544">
            <w:pPr>
              <w:spacing w:after="0"/>
              <w:rPr>
                <w:rFonts w:cs="Arial"/>
                <w:color w:val="000000"/>
                <w:sz w:val="18"/>
                <w:szCs w:val="18"/>
              </w:rPr>
            </w:pPr>
            <w:r w:rsidRPr="003A08CC">
              <w:rPr>
                <w:rFonts w:cs="Arial"/>
                <w:color w:val="000000"/>
                <w:sz w:val="18"/>
                <w:szCs w:val="18"/>
              </w:rPr>
              <w:t>Urological surgery</w:t>
            </w:r>
          </w:p>
        </w:tc>
        <w:tc>
          <w:tcPr>
            <w:tcW w:w="1017" w:type="dxa"/>
            <w:tcBorders>
              <w:top w:val="nil"/>
              <w:left w:val="nil"/>
              <w:bottom w:val="nil"/>
              <w:right w:val="nil"/>
            </w:tcBorders>
            <w:shd w:val="clear" w:color="000000" w:fill="F1F1F2"/>
            <w:noWrap/>
            <w:vAlign w:val="center"/>
            <w:hideMark/>
          </w:tcPr>
          <w:p w14:paraId="662FEE02" w14:textId="77777777" w:rsidR="00572F25" w:rsidRPr="003A08CC" w:rsidRDefault="00572F25" w:rsidP="00140544">
            <w:pPr>
              <w:spacing w:after="0"/>
              <w:jc w:val="center"/>
              <w:rPr>
                <w:rFonts w:cs="Arial"/>
                <w:color w:val="000000"/>
                <w:sz w:val="18"/>
                <w:szCs w:val="18"/>
              </w:rPr>
            </w:pPr>
            <w:r w:rsidRPr="003A08CC">
              <w:rPr>
                <w:rFonts w:cs="Arial"/>
                <w:color w:val="000000"/>
                <w:sz w:val="18"/>
                <w:szCs w:val="18"/>
              </w:rPr>
              <w:t>787</w:t>
            </w:r>
          </w:p>
        </w:tc>
        <w:tc>
          <w:tcPr>
            <w:tcW w:w="1053" w:type="dxa"/>
            <w:tcBorders>
              <w:top w:val="nil"/>
              <w:left w:val="nil"/>
              <w:bottom w:val="nil"/>
              <w:right w:val="nil"/>
            </w:tcBorders>
            <w:shd w:val="clear" w:color="000000" w:fill="F1F1F2"/>
            <w:noWrap/>
            <w:vAlign w:val="center"/>
            <w:hideMark/>
          </w:tcPr>
          <w:p w14:paraId="57CAA87A" w14:textId="77777777" w:rsidR="00572F25" w:rsidRPr="003A08CC" w:rsidRDefault="00572F25" w:rsidP="00140544">
            <w:pPr>
              <w:spacing w:after="0"/>
              <w:jc w:val="right"/>
              <w:rPr>
                <w:rFonts w:cs="Arial"/>
                <w:color w:val="000000"/>
                <w:sz w:val="18"/>
                <w:szCs w:val="18"/>
              </w:rPr>
            </w:pPr>
            <w:r w:rsidRPr="003A08CC">
              <w:rPr>
                <w:rFonts w:cs="Arial"/>
                <w:color w:val="000000"/>
                <w:sz w:val="18"/>
                <w:szCs w:val="18"/>
              </w:rPr>
              <w:t>626</w:t>
            </w:r>
          </w:p>
        </w:tc>
        <w:tc>
          <w:tcPr>
            <w:tcW w:w="1090" w:type="dxa"/>
            <w:tcBorders>
              <w:top w:val="nil"/>
              <w:left w:val="nil"/>
              <w:bottom w:val="nil"/>
              <w:right w:val="nil"/>
            </w:tcBorders>
            <w:shd w:val="clear" w:color="000000" w:fill="F1F1F2"/>
            <w:noWrap/>
            <w:vAlign w:val="center"/>
            <w:hideMark/>
          </w:tcPr>
          <w:p w14:paraId="14AE43CA" w14:textId="77777777" w:rsidR="00572F25" w:rsidRPr="003A08CC" w:rsidRDefault="00572F25" w:rsidP="00140544">
            <w:pPr>
              <w:spacing w:after="0"/>
              <w:rPr>
                <w:rFonts w:cs="Arial"/>
                <w:color w:val="000000"/>
                <w:sz w:val="18"/>
                <w:szCs w:val="18"/>
              </w:rPr>
            </w:pPr>
            <w:r w:rsidRPr="003A08CC">
              <w:rPr>
                <w:rFonts w:cs="Arial"/>
                <w:color w:val="000000"/>
                <w:sz w:val="18"/>
                <w:szCs w:val="18"/>
              </w:rPr>
              <w:t>79.5</w:t>
            </w:r>
          </w:p>
        </w:tc>
        <w:tc>
          <w:tcPr>
            <w:tcW w:w="898" w:type="dxa"/>
            <w:tcBorders>
              <w:top w:val="nil"/>
              <w:left w:val="nil"/>
              <w:bottom w:val="nil"/>
              <w:right w:val="nil"/>
            </w:tcBorders>
            <w:shd w:val="clear" w:color="000000" w:fill="F1F1F2"/>
            <w:noWrap/>
            <w:vAlign w:val="center"/>
            <w:hideMark/>
          </w:tcPr>
          <w:p w14:paraId="7C6B4C55" w14:textId="77777777" w:rsidR="00572F25" w:rsidRPr="003A08CC" w:rsidRDefault="00572F25" w:rsidP="00140544">
            <w:pPr>
              <w:spacing w:after="0"/>
              <w:jc w:val="center"/>
              <w:rPr>
                <w:rFonts w:cs="Arial"/>
                <w:color w:val="000000"/>
                <w:sz w:val="18"/>
                <w:szCs w:val="18"/>
              </w:rPr>
            </w:pPr>
            <w:r w:rsidRPr="003A08CC">
              <w:rPr>
                <w:rFonts w:cs="Arial"/>
                <w:color w:val="000000"/>
                <w:sz w:val="18"/>
                <w:szCs w:val="18"/>
              </w:rPr>
              <w:t>736</w:t>
            </w:r>
          </w:p>
        </w:tc>
        <w:tc>
          <w:tcPr>
            <w:tcW w:w="847" w:type="dxa"/>
            <w:tcBorders>
              <w:top w:val="nil"/>
              <w:left w:val="nil"/>
              <w:bottom w:val="nil"/>
              <w:right w:val="nil"/>
            </w:tcBorders>
            <w:shd w:val="clear" w:color="000000" w:fill="F1F1F2"/>
            <w:noWrap/>
            <w:vAlign w:val="center"/>
            <w:hideMark/>
          </w:tcPr>
          <w:p w14:paraId="3B5C62AC" w14:textId="77777777" w:rsidR="00572F25" w:rsidRPr="003A08CC" w:rsidRDefault="00572F25" w:rsidP="00140544">
            <w:pPr>
              <w:spacing w:after="0"/>
              <w:jc w:val="right"/>
              <w:rPr>
                <w:rFonts w:cs="Arial"/>
                <w:color w:val="000000"/>
                <w:sz w:val="18"/>
                <w:szCs w:val="18"/>
              </w:rPr>
            </w:pPr>
            <w:r w:rsidRPr="003A08CC">
              <w:rPr>
                <w:rFonts w:cs="Arial"/>
                <w:color w:val="000000"/>
                <w:sz w:val="18"/>
                <w:szCs w:val="18"/>
              </w:rPr>
              <w:t>327</w:t>
            </w:r>
          </w:p>
        </w:tc>
        <w:tc>
          <w:tcPr>
            <w:tcW w:w="995" w:type="dxa"/>
            <w:tcBorders>
              <w:top w:val="nil"/>
              <w:left w:val="nil"/>
              <w:bottom w:val="nil"/>
              <w:right w:val="nil"/>
            </w:tcBorders>
            <w:shd w:val="clear" w:color="000000" w:fill="F1F1F2"/>
            <w:vAlign w:val="center"/>
            <w:hideMark/>
          </w:tcPr>
          <w:p w14:paraId="62423BD2" w14:textId="77777777" w:rsidR="00572F25" w:rsidRPr="003A08CC" w:rsidRDefault="00572F25" w:rsidP="00140544">
            <w:pPr>
              <w:spacing w:after="0"/>
              <w:rPr>
                <w:rFonts w:cs="Arial"/>
                <w:color w:val="000000"/>
                <w:sz w:val="18"/>
                <w:szCs w:val="18"/>
              </w:rPr>
            </w:pPr>
            <w:r w:rsidRPr="003A08CC">
              <w:rPr>
                <w:rFonts w:cs="Arial"/>
                <w:color w:val="000000"/>
                <w:sz w:val="18"/>
                <w:szCs w:val="18"/>
              </w:rPr>
              <w:t>44.4</w:t>
            </w:r>
          </w:p>
        </w:tc>
      </w:tr>
      <w:tr w:rsidR="00572F25" w:rsidRPr="003A08CC" w14:paraId="031310B7" w14:textId="77777777" w:rsidTr="00140544">
        <w:trPr>
          <w:trHeight w:val="300"/>
        </w:trPr>
        <w:tc>
          <w:tcPr>
            <w:tcW w:w="3600" w:type="dxa"/>
            <w:tcBorders>
              <w:top w:val="nil"/>
              <w:left w:val="nil"/>
              <w:bottom w:val="nil"/>
              <w:right w:val="nil"/>
            </w:tcBorders>
            <w:shd w:val="clear" w:color="auto" w:fill="auto"/>
            <w:noWrap/>
            <w:vAlign w:val="center"/>
            <w:hideMark/>
          </w:tcPr>
          <w:p w14:paraId="2150E4DB" w14:textId="77777777" w:rsidR="00572F25" w:rsidRPr="003A08CC" w:rsidRDefault="00572F25" w:rsidP="00140544">
            <w:pPr>
              <w:spacing w:after="0"/>
              <w:rPr>
                <w:rFonts w:cs="Arial"/>
                <w:color w:val="000000"/>
                <w:sz w:val="18"/>
                <w:szCs w:val="18"/>
              </w:rPr>
            </w:pPr>
            <w:r w:rsidRPr="003A08CC">
              <w:rPr>
                <w:rFonts w:cs="Arial"/>
                <w:color w:val="000000"/>
                <w:sz w:val="18"/>
                <w:szCs w:val="18"/>
              </w:rPr>
              <w:t>Gastrointestinal endoscopic procedures</w:t>
            </w:r>
          </w:p>
        </w:tc>
        <w:tc>
          <w:tcPr>
            <w:tcW w:w="1017" w:type="dxa"/>
            <w:tcBorders>
              <w:top w:val="nil"/>
              <w:left w:val="nil"/>
              <w:bottom w:val="nil"/>
              <w:right w:val="nil"/>
            </w:tcBorders>
            <w:shd w:val="clear" w:color="auto" w:fill="auto"/>
            <w:noWrap/>
            <w:vAlign w:val="center"/>
            <w:hideMark/>
          </w:tcPr>
          <w:p w14:paraId="37687B47" w14:textId="77777777" w:rsidR="00572F25" w:rsidRPr="003A08CC" w:rsidRDefault="00572F25" w:rsidP="00140544">
            <w:pPr>
              <w:spacing w:after="0"/>
              <w:jc w:val="center"/>
              <w:rPr>
                <w:rFonts w:cs="Arial"/>
                <w:color w:val="000000"/>
                <w:sz w:val="18"/>
                <w:szCs w:val="18"/>
              </w:rPr>
            </w:pPr>
            <w:r w:rsidRPr="003A08CC">
              <w:rPr>
                <w:rFonts w:cs="Arial"/>
                <w:color w:val="000000"/>
                <w:sz w:val="18"/>
                <w:szCs w:val="18"/>
              </w:rPr>
              <w:t>697</w:t>
            </w:r>
          </w:p>
        </w:tc>
        <w:tc>
          <w:tcPr>
            <w:tcW w:w="1053" w:type="dxa"/>
            <w:tcBorders>
              <w:top w:val="nil"/>
              <w:left w:val="nil"/>
              <w:bottom w:val="nil"/>
              <w:right w:val="nil"/>
            </w:tcBorders>
            <w:shd w:val="clear" w:color="auto" w:fill="auto"/>
            <w:noWrap/>
            <w:vAlign w:val="center"/>
            <w:hideMark/>
          </w:tcPr>
          <w:p w14:paraId="3E4E24D7" w14:textId="77777777" w:rsidR="00572F25" w:rsidRPr="003A08CC" w:rsidRDefault="00572F25" w:rsidP="00140544">
            <w:pPr>
              <w:spacing w:after="0"/>
              <w:jc w:val="right"/>
              <w:rPr>
                <w:rFonts w:cs="Arial"/>
                <w:color w:val="000000"/>
                <w:sz w:val="18"/>
                <w:szCs w:val="18"/>
              </w:rPr>
            </w:pPr>
            <w:r w:rsidRPr="003A08CC">
              <w:rPr>
                <w:rFonts w:cs="Arial"/>
                <w:color w:val="000000"/>
                <w:sz w:val="18"/>
                <w:szCs w:val="18"/>
              </w:rPr>
              <w:t>25</w:t>
            </w:r>
          </w:p>
        </w:tc>
        <w:tc>
          <w:tcPr>
            <w:tcW w:w="1090" w:type="dxa"/>
            <w:tcBorders>
              <w:top w:val="nil"/>
              <w:left w:val="nil"/>
              <w:bottom w:val="nil"/>
              <w:right w:val="nil"/>
            </w:tcBorders>
            <w:shd w:val="clear" w:color="auto" w:fill="auto"/>
            <w:noWrap/>
            <w:vAlign w:val="center"/>
            <w:hideMark/>
          </w:tcPr>
          <w:p w14:paraId="56E821F9" w14:textId="77777777" w:rsidR="00572F25" w:rsidRPr="003A08CC" w:rsidRDefault="00572F25" w:rsidP="00140544">
            <w:pPr>
              <w:spacing w:after="0"/>
              <w:rPr>
                <w:rFonts w:cs="Arial"/>
                <w:color w:val="000000"/>
                <w:sz w:val="18"/>
                <w:szCs w:val="18"/>
              </w:rPr>
            </w:pPr>
            <w:r w:rsidRPr="003A08CC">
              <w:rPr>
                <w:rFonts w:cs="Arial"/>
                <w:color w:val="000000"/>
                <w:sz w:val="18"/>
                <w:szCs w:val="18"/>
              </w:rPr>
              <w:t>3.6</w:t>
            </w:r>
          </w:p>
        </w:tc>
        <w:tc>
          <w:tcPr>
            <w:tcW w:w="898" w:type="dxa"/>
            <w:tcBorders>
              <w:top w:val="nil"/>
              <w:left w:val="nil"/>
              <w:bottom w:val="nil"/>
              <w:right w:val="nil"/>
            </w:tcBorders>
            <w:shd w:val="clear" w:color="auto" w:fill="auto"/>
            <w:noWrap/>
            <w:vAlign w:val="center"/>
            <w:hideMark/>
          </w:tcPr>
          <w:p w14:paraId="226C2D71" w14:textId="77777777" w:rsidR="00572F25" w:rsidRPr="003A08CC" w:rsidRDefault="00572F25" w:rsidP="00140544">
            <w:pPr>
              <w:spacing w:after="0"/>
              <w:jc w:val="center"/>
              <w:rPr>
                <w:rFonts w:cs="Arial"/>
                <w:color w:val="000000"/>
                <w:sz w:val="18"/>
                <w:szCs w:val="18"/>
              </w:rPr>
            </w:pPr>
            <w:r w:rsidRPr="003A08CC">
              <w:rPr>
                <w:rFonts w:cs="Arial"/>
                <w:color w:val="000000"/>
                <w:sz w:val="18"/>
                <w:szCs w:val="18"/>
              </w:rPr>
              <w:t>31</w:t>
            </w:r>
          </w:p>
        </w:tc>
        <w:tc>
          <w:tcPr>
            <w:tcW w:w="847" w:type="dxa"/>
            <w:tcBorders>
              <w:top w:val="nil"/>
              <w:left w:val="nil"/>
              <w:bottom w:val="nil"/>
              <w:right w:val="nil"/>
            </w:tcBorders>
            <w:shd w:val="clear" w:color="auto" w:fill="auto"/>
            <w:noWrap/>
            <w:vAlign w:val="center"/>
            <w:hideMark/>
          </w:tcPr>
          <w:p w14:paraId="2B1815AE" w14:textId="77777777" w:rsidR="00572F25" w:rsidRPr="003A08CC" w:rsidRDefault="00572F25" w:rsidP="00140544">
            <w:pPr>
              <w:spacing w:after="0"/>
              <w:jc w:val="right"/>
              <w:rPr>
                <w:rFonts w:cs="Arial"/>
                <w:color w:val="000000"/>
                <w:sz w:val="18"/>
                <w:szCs w:val="18"/>
              </w:rPr>
            </w:pPr>
            <w:r w:rsidRPr="003A08CC">
              <w:rPr>
                <w:rFonts w:cs="Arial"/>
                <w:color w:val="000000"/>
                <w:sz w:val="18"/>
                <w:szCs w:val="18"/>
              </w:rPr>
              <w:t>12</w:t>
            </w:r>
          </w:p>
        </w:tc>
        <w:tc>
          <w:tcPr>
            <w:tcW w:w="995" w:type="dxa"/>
            <w:tcBorders>
              <w:top w:val="nil"/>
              <w:left w:val="nil"/>
              <w:bottom w:val="nil"/>
              <w:right w:val="nil"/>
            </w:tcBorders>
            <w:shd w:val="clear" w:color="auto" w:fill="auto"/>
            <w:vAlign w:val="center"/>
            <w:hideMark/>
          </w:tcPr>
          <w:p w14:paraId="56046E94" w14:textId="77777777" w:rsidR="00572F25" w:rsidRPr="003A08CC" w:rsidRDefault="00572F25" w:rsidP="00140544">
            <w:pPr>
              <w:spacing w:after="0"/>
              <w:rPr>
                <w:rFonts w:cs="Arial"/>
                <w:color w:val="000000"/>
                <w:sz w:val="18"/>
                <w:szCs w:val="18"/>
              </w:rPr>
            </w:pPr>
            <w:r w:rsidRPr="003A08CC">
              <w:rPr>
                <w:rFonts w:cs="Arial"/>
                <w:color w:val="000000"/>
                <w:sz w:val="18"/>
                <w:szCs w:val="18"/>
              </w:rPr>
              <w:t>38.7</w:t>
            </w:r>
          </w:p>
        </w:tc>
      </w:tr>
      <w:tr w:rsidR="00572F25" w:rsidRPr="003A08CC" w14:paraId="6A052DA0" w14:textId="77777777" w:rsidTr="00140544">
        <w:trPr>
          <w:trHeight w:val="300"/>
        </w:trPr>
        <w:tc>
          <w:tcPr>
            <w:tcW w:w="3600" w:type="dxa"/>
            <w:tcBorders>
              <w:top w:val="nil"/>
              <w:left w:val="nil"/>
              <w:bottom w:val="nil"/>
              <w:right w:val="nil"/>
            </w:tcBorders>
            <w:shd w:val="clear" w:color="000000" w:fill="F1F1F2"/>
            <w:noWrap/>
            <w:vAlign w:val="center"/>
            <w:hideMark/>
          </w:tcPr>
          <w:p w14:paraId="0D74F401" w14:textId="77777777" w:rsidR="00572F25" w:rsidRPr="003A08CC" w:rsidRDefault="00572F25" w:rsidP="00140544">
            <w:pPr>
              <w:spacing w:after="0"/>
              <w:rPr>
                <w:rFonts w:cs="Arial"/>
                <w:color w:val="000000"/>
                <w:sz w:val="18"/>
                <w:szCs w:val="18"/>
              </w:rPr>
            </w:pPr>
            <w:r w:rsidRPr="003A08CC">
              <w:rPr>
                <w:rFonts w:cs="Arial"/>
                <w:color w:val="000000"/>
                <w:sz w:val="18"/>
                <w:szCs w:val="18"/>
              </w:rPr>
              <w:t>Head and neck surgery</w:t>
            </w:r>
          </w:p>
        </w:tc>
        <w:tc>
          <w:tcPr>
            <w:tcW w:w="1017" w:type="dxa"/>
            <w:tcBorders>
              <w:top w:val="nil"/>
              <w:left w:val="nil"/>
              <w:bottom w:val="nil"/>
              <w:right w:val="nil"/>
            </w:tcBorders>
            <w:shd w:val="clear" w:color="000000" w:fill="F1F1F2"/>
            <w:noWrap/>
            <w:vAlign w:val="center"/>
            <w:hideMark/>
          </w:tcPr>
          <w:p w14:paraId="5AC194B1" w14:textId="77777777" w:rsidR="00572F25" w:rsidRPr="003A08CC" w:rsidRDefault="00572F25" w:rsidP="00140544">
            <w:pPr>
              <w:spacing w:after="0"/>
              <w:jc w:val="center"/>
              <w:rPr>
                <w:rFonts w:cs="Arial"/>
                <w:color w:val="000000"/>
                <w:sz w:val="18"/>
                <w:szCs w:val="18"/>
              </w:rPr>
            </w:pPr>
            <w:r w:rsidRPr="003A08CC">
              <w:rPr>
                <w:rFonts w:cs="Arial"/>
                <w:color w:val="000000"/>
                <w:sz w:val="18"/>
                <w:szCs w:val="18"/>
              </w:rPr>
              <w:t>519</w:t>
            </w:r>
          </w:p>
        </w:tc>
        <w:tc>
          <w:tcPr>
            <w:tcW w:w="1053" w:type="dxa"/>
            <w:tcBorders>
              <w:top w:val="nil"/>
              <w:left w:val="nil"/>
              <w:bottom w:val="nil"/>
              <w:right w:val="nil"/>
            </w:tcBorders>
            <w:shd w:val="clear" w:color="000000" w:fill="F1F1F2"/>
            <w:noWrap/>
            <w:vAlign w:val="center"/>
            <w:hideMark/>
          </w:tcPr>
          <w:p w14:paraId="4F724256" w14:textId="77777777" w:rsidR="00572F25" w:rsidRPr="003A08CC" w:rsidRDefault="00572F25" w:rsidP="00140544">
            <w:pPr>
              <w:spacing w:after="0"/>
              <w:jc w:val="right"/>
              <w:rPr>
                <w:rFonts w:cs="Arial"/>
                <w:color w:val="000000"/>
                <w:sz w:val="18"/>
                <w:szCs w:val="18"/>
              </w:rPr>
            </w:pPr>
            <w:r w:rsidRPr="003A08CC">
              <w:rPr>
                <w:rFonts w:cs="Arial"/>
                <w:color w:val="000000"/>
                <w:sz w:val="18"/>
                <w:szCs w:val="18"/>
              </w:rPr>
              <w:t>292</w:t>
            </w:r>
          </w:p>
        </w:tc>
        <w:tc>
          <w:tcPr>
            <w:tcW w:w="1090" w:type="dxa"/>
            <w:tcBorders>
              <w:top w:val="nil"/>
              <w:left w:val="nil"/>
              <w:bottom w:val="nil"/>
              <w:right w:val="nil"/>
            </w:tcBorders>
            <w:shd w:val="clear" w:color="000000" w:fill="F1F1F2"/>
            <w:noWrap/>
            <w:vAlign w:val="center"/>
            <w:hideMark/>
          </w:tcPr>
          <w:p w14:paraId="6D67B6A1" w14:textId="77777777" w:rsidR="00572F25" w:rsidRPr="003A08CC" w:rsidRDefault="00572F25" w:rsidP="00140544">
            <w:pPr>
              <w:spacing w:after="0"/>
              <w:rPr>
                <w:rFonts w:cs="Arial"/>
                <w:color w:val="000000"/>
                <w:sz w:val="18"/>
                <w:szCs w:val="18"/>
              </w:rPr>
            </w:pPr>
            <w:r w:rsidRPr="003A08CC">
              <w:rPr>
                <w:rFonts w:cs="Arial"/>
                <w:color w:val="000000"/>
                <w:sz w:val="18"/>
                <w:szCs w:val="18"/>
              </w:rPr>
              <w:t>56.3</w:t>
            </w:r>
          </w:p>
        </w:tc>
        <w:tc>
          <w:tcPr>
            <w:tcW w:w="898" w:type="dxa"/>
            <w:tcBorders>
              <w:top w:val="nil"/>
              <w:left w:val="nil"/>
              <w:bottom w:val="nil"/>
              <w:right w:val="nil"/>
            </w:tcBorders>
            <w:shd w:val="clear" w:color="000000" w:fill="F1F1F2"/>
            <w:noWrap/>
            <w:vAlign w:val="center"/>
            <w:hideMark/>
          </w:tcPr>
          <w:p w14:paraId="3ED63314" w14:textId="77777777" w:rsidR="00572F25" w:rsidRPr="003A08CC" w:rsidRDefault="00572F25" w:rsidP="00140544">
            <w:pPr>
              <w:spacing w:after="0"/>
              <w:jc w:val="center"/>
              <w:rPr>
                <w:rFonts w:cs="Arial"/>
                <w:color w:val="000000"/>
                <w:sz w:val="18"/>
                <w:szCs w:val="18"/>
              </w:rPr>
            </w:pPr>
            <w:r w:rsidRPr="003A08CC">
              <w:rPr>
                <w:rFonts w:cs="Arial"/>
                <w:color w:val="000000"/>
                <w:sz w:val="18"/>
                <w:szCs w:val="18"/>
              </w:rPr>
              <w:t>441</w:t>
            </w:r>
          </w:p>
        </w:tc>
        <w:tc>
          <w:tcPr>
            <w:tcW w:w="847" w:type="dxa"/>
            <w:tcBorders>
              <w:top w:val="nil"/>
              <w:left w:val="nil"/>
              <w:bottom w:val="nil"/>
              <w:right w:val="nil"/>
            </w:tcBorders>
            <w:shd w:val="clear" w:color="000000" w:fill="F1F1F2"/>
            <w:noWrap/>
            <w:vAlign w:val="center"/>
            <w:hideMark/>
          </w:tcPr>
          <w:p w14:paraId="3A725205" w14:textId="77777777" w:rsidR="00572F25" w:rsidRPr="003A08CC" w:rsidRDefault="00572F25" w:rsidP="00140544">
            <w:pPr>
              <w:spacing w:after="0"/>
              <w:jc w:val="right"/>
              <w:rPr>
                <w:rFonts w:cs="Arial"/>
                <w:color w:val="000000"/>
                <w:sz w:val="18"/>
                <w:szCs w:val="18"/>
              </w:rPr>
            </w:pPr>
            <w:r w:rsidRPr="003A08CC">
              <w:rPr>
                <w:rFonts w:cs="Arial"/>
                <w:color w:val="000000"/>
                <w:sz w:val="18"/>
                <w:szCs w:val="18"/>
              </w:rPr>
              <w:t>244</w:t>
            </w:r>
          </w:p>
        </w:tc>
        <w:tc>
          <w:tcPr>
            <w:tcW w:w="995" w:type="dxa"/>
            <w:tcBorders>
              <w:top w:val="nil"/>
              <w:left w:val="nil"/>
              <w:bottom w:val="nil"/>
              <w:right w:val="nil"/>
            </w:tcBorders>
            <w:shd w:val="clear" w:color="000000" w:fill="F1F1F2"/>
            <w:vAlign w:val="center"/>
            <w:hideMark/>
          </w:tcPr>
          <w:p w14:paraId="4EC155CB" w14:textId="77777777" w:rsidR="00572F25" w:rsidRPr="003A08CC" w:rsidRDefault="00572F25" w:rsidP="00140544">
            <w:pPr>
              <w:spacing w:after="0"/>
              <w:rPr>
                <w:rFonts w:cs="Arial"/>
                <w:color w:val="000000"/>
                <w:sz w:val="18"/>
                <w:szCs w:val="18"/>
              </w:rPr>
            </w:pPr>
            <w:r w:rsidRPr="003A08CC">
              <w:rPr>
                <w:rFonts w:cs="Arial"/>
                <w:color w:val="000000"/>
                <w:sz w:val="18"/>
                <w:szCs w:val="18"/>
              </w:rPr>
              <w:t>55.3</w:t>
            </w:r>
          </w:p>
        </w:tc>
      </w:tr>
      <w:tr w:rsidR="00572F25" w:rsidRPr="003A08CC" w14:paraId="7D654A08" w14:textId="77777777" w:rsidTr="00140544">
        <w:trPr>
          <w:trHeight w:val="300"/>
        </w:trPr>
        <w:tc>
          <w:tcPr>
            <w:tcW w:w="3600" w:type="dxa"/>
            <w:tcBorders>
              <w:top w:val="nil"/>
              <w:left w:val="nil"/>
              <w:bottom w:val="nil"/>
              <w:right w:val="nil"/>
            </w:tcBorders>
            <w:shd w:val="clear" w:color="auto" w:fill="auto"/>
            <w:noWrap/>
            <w:vAlign w:val="center"/>
            <w:hideMark/>
          </w:tcPr>
          <w:p w14:paraId="63B44E01" w14:textId="77777777" w:rsidR="00572F25" w:rsidRPr="003A08CC" w:rsidRDefault="00572F25" w:rsidP="00140544">
            <w:pPr>
              <w:spacing w:after="0"/>
              <w:rPr>
                <w:rFonts w:cs="Arial"/>
                <w:color w:val="000000"/>
                <w:sz w:val="18"/>
                <w:szCs w:val="18"/>
              </w:rPr>
            </w:pPr>
            <w:r w:rsidRPr="003A08CC">
              <w:rPr>
                <w:rFonts w:cs="Arial"/>
                <w:color w:val="000000"/>
                <w:sz w:val="18"/>
                <w:szCs w:val="18"/>
              </w:rPr>
              <w:t>Gynaecological surgery</w:t>
            </w:r>
          </w:p>
        </w:tc>
        <w:tc>
          <w:tcPr>
            <w:tcW w:w="1017" w:type="dxa"/>
            <w:tcBorders>
              <w:top w:val="nil"/>
              <w:left w:val="nil"/>
              <w:bottom w:val="nil"/>
              <w:right w:val="nil"/>
            </w:tcBorders>
            <w:shd w:val="clear" w:color="auto" w:fill="auto"/>
            <w:noWrap/>
            <w:vAlign w:val="center"/>
            <w:hideMark/>
          </w:tcPr>
          <w:p w14:paraId="1721785F" w14:textId="77777777" w:rsidR="00572F25" w:rsidRPr="003A08CC" w:rsidRDefault="00572F25" w:rsidP="00140544">
            <w:pPr>
              <w:spacing w:after="0"/>
              <w:jc w:val="center"/>
              <w:rPr>
                <w:rFonts w:cs="Arial"/>
                <w:color w:val="000000"/>
                <w:sz w:val="18"/>
                <w:szCs w:val="18"/>
              </w:rPr>
            </w:pPr>
            <w:r w:rsidRPr="003A08CC">
              <w:rPr>
                <w:rFonts w:cs="Arial"/>
                <w:color w:val="000000"/>
                <w:sz w:val="18"/>
                <w:szCs w:val="18"/>
              </w:rPr>
              <w:t>504</w:t>
            </w:r>
          </w:p>
        </w:tc>
        <w:tc>
          <w:tcPr>
            <w:tcW w:w="1053" w:type="dxa"/>
            <w:tcBorders>
              <w:top w:val="nil"/>
              <w:left w:val="nil"/>
              <w:bottom w:val="nil"/>
              <w:right w:val="nil"/>
            </w:tcBorders>
            <w:shd w:val="clear" w:color="auto" w:fill="auto"/>
            <w:noWrap/>
            <w:vAlign w:val="center"/>
            <w:hideMark/>
          </w:tcPr>
          <w:p w14:paraId="7A139F96" w14:textId="77777777" w:rsidR="00572F25" w:rsidRPr="003A08CC" w:rsidRDefault="00572F25" w:rsidP="00140544">
            <w:pPr>
              <w:spacing w:after="0"/>
              <w:jc w:val="right"/>
              <w:rPr>
                <w:rFonts w:cs="Arial"/>
                <w:color w:val="000000"/>
                <w:sz w:val="18"/>
                <w:szCs w:val="18"/>
              </w:rPr>
            </w:pPr>
            <w:r w:rsidRPr="003A08CC">
              <w:rPr>
                <w:rFonts w:cs="Arial"/>
                <w:color w:val="000000"/>
                <w:sz w:val="18"/>
                <w:szCs w:val="18"/>
              </w:rPr>
              <w:t>342</w:t>
            </w:r>
          </w:p>
        </w:tc>
        <w:tc>
          <w:tcPr>
            <w:tcW w:w="1090" w:type="dxa"/>
            <w:tcBorders>
              <w:top w:val="nil"/>
              <w:left w:val="nil"/>
              <w:bottom w:val="nil"/>
              <w:right w:val="nil"/>
            </w:tcBorders>
            <w:shd w:val="clear" w:color="auto" w:fill="auto"/>
            <w:noWrap/>
            <w:vAlign w:val="center"/>
            <w:hideMark/>
          </w:tcPr>
          <w:p w14:paraId="5DDE3DD8" w14:textId="77777777" w:rsidR="00572F25" w:rsidRPr="003A08CC" w:rsidRDefault="00572F25" w:rsidP="00140544">
            <w:pPr>
              <w:spacing w:after="0"/>
              <w:rPr>
                <w:rFonts w:cs="Arial"/>
                <w:color w:val="000000"/>
                <w:sz w:val="18"/>
                <w:szCs w:val="18"/>
              </w:rPr>
            </w:pPr>
            <w:r w:rsidRPr="003A08CC">
              <w:rPr>
                <w:rFonts w:cs="Arial"/>
                <w:color w:val="000000"/>
                <w:sz w:val="18"/>
                <w:szCs w:val="18"/>
              </w:rPr>
              <w:t>67.9</w:t>
            </w:r>
          </w:p>
        </w:tc>
        <w:tc>
          <w:tcPr>
            <w:tcW w:w="898" w:type="dxa"/>
            <w:tcBorders>
              <w:top w:val="nil"/>
              <w:left w:val="nil"/>
              <w:bottom w:val="nil"/>
              <w:right w:val="nil"/>
            </w:tcBorders>
            <w:shd w:val="clear" w:color="auto" w:fill="auto"/>
            <w:noWrap/>
            <w:vAlign w:val="center"/>
            <w:hideMark/>
          </w:tcPr>
          <w:p w14:paraId="31F76727" w14:textId="77777777" w:rsidR="00572F25" w:rsidRPr="003A08CC" w:rsidRDefault="00572F25" w:rsidP="00140544">
            <w:pPr>
              <w:spacing w:after="0"/>
              <w:jc w:val="center"/>
              <w:rPr>
                <w:rFonts w:cs="Arial"/>
                <w:color w:val="000000"/>
                <w:sz w:val="18"/>
                <w:szCs w:val="18"/>
              </w:rPr>
            </w:pPr>
            <w:r w:rsidRPr="003A08CC">
              <w:rPr>
                <w:rFonts w:cs="Arial"/>
                <w:color w:val="000000"/>
                <w:sz w:val="18"/>
                <w:szCs w:val="18"/>
              </w:rPr>
              <w:t>472</w:t>
            </w:r>
          </w:p>
        </w:tc>
        <w:tc>
          <w:tcPr>
            <w:tcW w:w="847" w:type="dxa"/>
            <w:tcBorders>
              <w:top w:val="nil"/>
              <w:left w:val="nil"/>
              <w:bottom w:val="nil"/>
              <w:right w:val="nil"/>
            </w:tcBorders>
            <w:shd w:val="clear" w:color="auto" w:fill="auto"/>
            <w:noWrap/>
            <w:vAlign w:val="center"/>
            <w:hideMark/>
          </w:tcPr>
          <w:p w14:paraId="7B3D1B48" w14:textId="77777777" w:rsidR="00572F25" w:rsidRPr="003A08CC" w:rsidRDefault="00572F25" w:rsidP="00140544">
            <w:pPr>
              <w:spacing w:after="0"/>
              <w:jc w:val="right"/>
              <w:rPr>
                <w:rFonts w:cs="Arial"/>
                <w:color w:val="000000"/>
                <w:sz w:val="18"/>
                <w:szCs w:val="18"/>
              </w:rPr>
            </w:pPr>
            <w:r w:rsidRPr="003A08CC">
              <w:rPr>
                <w:rFonts w:cs="Arial"/>
                <w:color w:val="000000"/>
                <w:sz w:val="18"/>
                <w:szCs w:val="18"/>
              </w:rPr>
              <w:t>236</w:t>
            </w:r>
          </w:p>
        </w:tc>
        <w:tc>
          <w:tcPr>
            <w:tcW w:w="995" w:type="dxa"/>
            <w:tcBorders>
              <w:top w:val="nil"/>
              <w:left w:val="nil"/>
              <w:bottom w:val="nil"/>
              <w:right w:val="nil"/>
            </w:tcBorders>
            <w:shd w:val="clear" w:color="auto" w:fill="auto"/>
            <w:vAlign w:val="center"/>
            <w:hideMark/>
          </w:tcPr>
          <w:p w14:paraId="724C8A5F" w14:textId="77777777" w:rsidR="00572F25" w:rsidRPr="003A08CC" w:rsidRDefault="00572F25" w:rsidP="00140544">
            <w:pPr>
              <w:spacing w:after="0"/>
              <w:rPr>
                <w:rFonts w:cs="Arial"/>
                <w:color w:val="000000"/>
                <w:sz w:val="18"/>
                <w:szCs w:val="18"/>
              </w:rPr>
            </w:pPr>
            <w:r w:rsidRPr="003A08CC">
              <w:rPr>
                <w:rFonts w:cs="Arial"/>
                <w:color w:val="000000"/>
                <w:sz w:val="18"/>
                <w:szCs w:val="18"/>
              </w:rPr>
              <w:t>50.0</w:t>
            </w:r>
          </w:p>
        </w:tc>
      </w:tr>
      <w:tr w:rsidR="00572F25" w:rsidRPr="003A08CC" w14:paraId="6A25D338" w14:textId="77777777" w:rsidTr="00140544">
        <w:trPr>
          <w:trHeight w:val="300"/>
        </w:trPr>
        <w:tc>
          <w:tcPr>
            <w:tcW w:w="3600" w:type="dxa"/>
            <w:tcBorders>
              <w:top w:val="nil"/>
              <w:left w:val="nil"/>
              <w:bottom w:val="nil"/>
              <w:right w:val="nil"/>
            </w:tcBorders>
            <w:shd w:val="clear" w:color="000000" w:fill="F1F1F2"/>
            <w:noWrap/>
            <w:vAlign w:val="center"/>
            <w:hideMark/>
          </w:tcPr>
          <w:p w14:paraId="31D607EC" w14:textId="77777777" w:rsidR="00572F25" w:rsidRPr="003A08CC" w:rsidRDefault="00572F25" w:rsidP="00140544">
            <w:pPr>
              <w:spacing w:after="0"/>
              <w:rPr>
                <w:rFonts w:cs="Arial"/>
                <w:color w:val="000000"/>
                <w:sz w:val="18"/>
                <w:szCs w:val="18"/>
              </w:rPr>
            </w:pPr>
            <w:r w:rsidRPr="003A08CC">
              <w:rPr>
                <w:rFonts w:cs="Arial"/>
                <w:color w:val="000000"/>
                <w:sz w:val="18"/>
                <w:szCs w:val="18"/>
              </w:rPr>
              <w:t>Cardiac surgery</w:t>
            </w:r>
          </w:p>
        </w:tc>
        <w:tc>
          <w:tcPr>
            <w:tcW w:w="1017" w:type="dxa"/>
            <w:tcBorders>
              <w:top w:val="nil"/>
              <w:left w:val="nil"/>
              <w:bottom w:val="nil"/>
              <w:right w:val="nil"/>
            </w:tcBorders>
            <w:shd w:val="clear" w:color="000000" w:fill="F1F1F2"/>
            <w:noWrap/>
            <w:vAlign w:val="center"/>
            <w:hideMark/>
          </w:tcPr>
          <w:p w14:paraId="7AFABBAD" w14:textId="77777777" w:rsidR="00572F25" w:rsidRPr="003A08CC" w:rsidRDefault="00572F25" w:rsidP="00140544">
            <w:pPr>
              <w:spacing w:after="0"/>
              <w:jc w:val="center"/>
              <w:rPr>
                <w:rFonts w:cs="Arial"/>
                <w:color w:val="000000"/>
                <w:sz w:val="18"/>
                <w:szCs w:val="18"/>
              </w:rPr>
            </w:pPr>
            <w:r w:rsidRPr="003A08CC">
              <w:rPr>
                <w:rFonts w:cs="Arial"/>
                <w:color w:val="000000"/>
                <w:sz w:val="18"/>
                <w:szCs w:val="18"/>
              </w:rPr>
              <w:t>459</w:t>
            </w:r>
          </w:p>
        </w:tc>
        <w:tc>
          <w:tcPr>
            <w:tcW w:w="1053" w:type="dxa"/>
            <w:tcBorders>
              <w:top w:val="nil"/>
              <w:left w:val="nil"/>
              <w:bottom w:val="nil"/>
              <w:right w:val="nil"/>
            </w:tcBorders>
            <w:shd w:val="clear" w:color="000000" w:fill="F1F1F2"/>
            <w:noWrap/>
            <w:vAlign w:val="center"/>
            <w:hideMark/>
          </w:tcPr>
          <w:p w14:paraId="7FFEDEF8" w14:textId="77777777" w:rsidR="00572F25" w:rsidRPr="003A08CC" w:rsidRDefault="00572F25" w:rsidP="00140544">
            <w:pPr>
              <w:spacing w:after="0"/>
              <w:jc w:val="right"/>
              <w:rPr>
                <w:rFonts w:cs="Arial"/>
                <w:color w:val="000000"/>
                <w:sz w:val="18"/>
                <w:szCs w:val="18"/>
              </w:rPr>
            </w:pPr>
            <w:r w:rsidRPr="003A08CC">
              <w:rPr>
                <w:rFonts w:cs="Arial"/>
                <w:color w:val="000000"/>
                <w:sz w:val="18"/>
                <w:szCs w:val="18"/>
              </w:rPr>
              <w:t>401</w:t>
            </w:r>
          </w:p>
        </w:tc>
        <w:tc>
          <w:tcPr>
            <w:tcW w:w="1090" w:type="dxa"/>
            <w:tcBorders>
              <w:top w:val="nil"/>
              <w:left w:val="nil"/>
              <w:bottom w:val="nil"/>
              <w:right w:val="nil"/>
            </w:tcBorders>
            <w:shd w:val="clear" w:color="000000" w:fill="F1F1F2"/>
            <w:noWrap/>
            <w:vAlign w:val="center"/>
            <w:hideMark/>
          </w:tcPr>
          <w:p w14:paraId="6FBCCB80" w14:textId="77777777" w:rsidR="00572F25" w:rsidRPr="003A08CC" w:rsidRDefault="00572F25" w:rsidP="00140544">
            <w:pPr>
              <w:spacing w:after="0"/>
              <w:rPr>
                <w:rFonts w:cs="Arial"/>
                <w:color w:val="000000"/>
                <w:sz w:val="18"/>
                <w:szCs w:val="18"/>
              </w:rPr>
            </w:pPr>
            <w:r w:rsidRPr="003A08CC">
              <w:rPr>
                <w:rFonts w:cs="Arial"/>
                <w:color w:val="000000"/>
                <w:sz w:val="18"/>
                <w:szCs w:val="18"/>
              </w:rPr>
              <w:t>87.4</w:t>
            </w:r>
          </w:p>
        </w:tc>
        <w:tc>
          <w:tcPr>
            <w:tcW w:w="898" w:type="dxa"/>
            <w:tcBorders>
              <w:top w:val="nil"/>
              <w:left w:val="nil"/>
              <w:bottom w:val="nil"/>
              <w:right w:val="nil"/>
            </w:tcBorders>
            <w:shd w:val="clear" w:color="000000" w:fill="F1F1F2"/>
            <w:noWrap/>
            <w:vAlign w:val="center"/>
            <w:hideMark/>
          </w:tcPr>
          <w:p w14:paraId="38D7CDA2" w14:textId="77777777" w:rsidR="00572F25" w:rsidRPr="003A08CC" w:rsidRDefault="00572F25" w:rsidP="00140544">
            <w:pPr>
              <w:spacing w:after="0"/>
              <w:jc w:val="center"/>
              <w:rPr>
                <w:rFonts w:cs="Arial"/>
                <w:color w:val="000000"/>
                <w:sz w:val="18"/>
                <w:szCs w:val="18"/>
              </w:rPr>
            </w:pPr>
            <w:r w:rsidRPr="003A08CC">
              <w:rPr>
                <w:rFonts w:cs="Arial"/>
                <w:color w:val="000000"/>
                <w:sz w:val="18"/>
                <w:szCs w:val="18"/>
              </w:rPr>
              <w:t>546</w:t>
            </w:r>
          </w:p>
        </w:tc>
        <w:tc>
          <w:tcPr>
            <w:tcW w:w="847" w:type="dxa"/>
            <w:tcBorders>
              <w:top w:val="nil"/>
              <w:left w:val="nil"/>
              <w:bottom w:val="nil"/>
              <w:right w:val="nil"/>
            </w:tcBorders>
            <w:shd w:val="clear" w:color="000000" w:fill="F1F1F2"/>
            <w:noWrap/>
            <w:vAlign w:val="center"/>
            <w:hideMark/>
          </w:tcPr>
          <w:p w14:paraId="49F89B7D" w14:textId="77777777" w:rsidR="00572F25" w:rsidRPr="003A08CC" w:rsidRDefault="00572F25" w:rsidP="00140544">
            <w:pPr>
              <w:spacing w:after="0"/>
              <w:jc w:val="right"/>
              <w:rPr>
                <w:rFonts w:cs="Arial"/>
                <w:color w:val="000000"/>
                <w:sz w:val="18"/>
                <w:szCs w:val="18"/>
              </w:rPr>
            </w:pPr>
            <w:r w:rsidRPr="003A08CC">
              <w:rPr>
                <w:rFonts w:cs="Arial"/>
                <w:color w:val="000000"/>
                <w:sz w:val="18"/>
                <w:szCs w:val="18"/>
              </w:rPr>
              <w:t>217</w:t>
            </w:r>
          </w:p>
        </w:tc>
        <w:tc>
          <w:tcPr>
            <w:tcW w:w="995" w:type="dxa"/>
            <w:tcBorders>
              <w:top w:val="nil"/>
              <w:left w:val="nil"/>
              <w:bottom w:val="nil"/>
              <w:right w:val="nil"/>
            </w:tcBorders>
            <w:shd w:val="clear" w:color="000000" w:fill="F1F1F2"/>
            <w:vAlign w:val="center"/>
            <w:hideMark/>
          </w:tcPr>
          <w:p w14:paraId="6171E9DE" w14:textId="77777777" w:rsidR="00572F25" w:rsidRPr="003A08CC" w:rsidRDefault="00572F25" w:rsidP="00140544">
            <w:pPr>
              <w:spacing w:after="0"/>
              <w:rPr>
                <w:rFonts w:cs="Arial"/>
                <w:color w:val="000000"/>
                <w:sz w:val="18"/>
                <w:szCs w:val="18"/>
              </w:rPr>
            </w:pPr>
            <w:r w:rsidRPr="003A08CC">
              <w:rPr>
                <w:rFonts w:cs="Arial"/>
                <w:color w:val="000000"/>
                <w:sz w:val="18"/>
                <w:szCs w:val="18"/>
              </w:rPr>
              <w:t>39.7</w:t>
            </w:r>
          </w:p>
        </w:tc>
      </w:tr>
      <w:tr w:rsidR="00572F25" w:rsidRPr="003A08CC" w14:paraId="2265AF95" w14:textId="77777777" w:rsidTr="00140544">
        <w:trPr>
          <w:trHeight w:val="300"/>
        </w:trPr>
        <w:tc>
          <w:tcPr>
            <w:tcW w:w="3600" w:type="dxa"/>
            <w:tcBorders>
              <w:top w:val="nil"/>
              <w:left w:val="nil"/>
              <w:bottom w:val="nil"/>
              <w:right w:val="nil"/>
            </w:tcBorders>
            <w:shd w:val="clear" w:color="auto" w:fill="auto"/>
            <w:noWrap/>
            <w:vAlign w:val="center"/>
            <w:hideMark/>
          </w:tcPr>
          <w:p w14:paraId="482508EC" w14:textId="77777777" w:rsidR="00572F25" w:rsidRPr="003A08CC" w:rsidRDefault="00572F25" w:rsidP="00140544">
            <w:pPr>
              <w:spacing w:after="0"/>
              <w:rPr>
                <w:rFonts w:cs="Arial"/>
                <w:color w:val="000000"/>
                <w:sz w:val="18"/>
                <w:szCs w:val="18"/>
              </w:rPr>
            </w:pPr>
            <w:r w:rsidRPr="003A08CC">
              <w:rPr>
                <w:rFonts w:cs="Arial"/>
                <w:color w:val="000000"/>
                <w:sz w:val="18"/>
                <w:szCs w:val="18"/>
              </w:rPr>
              <w:t>Neurosurgery</w:t>
            </w:r>
          </w:p>
        </w:tc>
        <w:tc>
          <w:tcPr>
            <w:tcW w:w="1017" w:type="dxa"/>
            <w:tcBorders>
              <w:top w:val="nil"/>
              <w:left w:val="nil"/>
              <w:bottom w:val="nil"/>
              <w:right w:val="nil"/>
            </w:tcBorders>
            <w:shd w:val="clear" w:color="auto" w:fill="auto"/>
            <w:noWrap/>
            <w:vAlign w:val="center"/>
            <w:hideMark/>
          </w:tcPr>
          <w:p w14:paraId="4FD4300F" w14:textId="77777777" w:rsidR="00572F25" w:rsidRPr="003A08CC" w:rsidRDefault="00572F25" w:rsidP="00140544">
            <w:pPr>
              <w:spacing w:after="0"/>
              <w:jc w:val="center"/>
              <w:rPr>
                <w:rFonts w:cs="Arial"/>
                <w:color w:val="000000"/>
                <w:sz w:val="18"/>
                <w:szCs w:val="18"/>
              </w:rPr>
            </w:pPr>
            <w:r w:rsidRPr="003A08CC">
              <w:rPr>
                <w:rFonts w:cs="Arial"/>
                <w:color w:val="000000"/>
                <w:sz w:val="18"/>
                <w:szCs w:val="18"/>
              </w:rPr>
              <w:t>399</w:t>
            </w:r>
          </w:p>
        </w:tc>
        <w:tc>
          <w:tcPr>
            <w:tcW w:w="1053" w:type="dxa"/>
            <w:tcBorders>
              <w:top w:val="nil"/>
              <w:left w:val="nil"/>
              <w:bottom w:val="nil"/>
              <w:right w:val="nil"/>
            </w:tcBorders>
            <w:shd w:val="clear" w:color="auto" w:fill="auto"/>
            <w:noWrap/>
            <w:vAlign w:val="center"/>
            <w:hideMark/>
          </w:tcPr>
          <w:p w14:paraId="1A447FA0" w14:textId="77777777" w:rsidR="00572F25" w:rsidRPr="003A08CC" w:rsidRDefault="00572F25" w:rsidP="00140544">
            <w:pPr>
              <w:spacing w:after="0"/>
              <w:jc w:val="right"/>
              <w:rPr>
                <w:rFonts w:cs="Arial"/>
                <w:color w:val="000000"/>
                <w:sz w:val="18"/>
                <w:szCs w:val="18"/>
              </w:rPr>
            </w:pPr>
            <w:r w:rsidRPr="003A08CC">
              <w:rPr>
                <w:rFonts w:cs="Arial"/>
                <w:color w:val="000000"/>
                <w:sz w:val="18"/>
                <w:szCs w:val="18"/>
              </w:rPr>
              <w:t>327</w:t>
            </w:r>
          </w:p>
        </w:tc>
        <w:tc>
          <w:tcPr>
            <w:tcW w:w="1090" w:type="dxa"/>
            <w:tcBorders>
              <w:top w:val="nil"/>
              <w:left w:val="nil"/>
              <w:bottom w:val="nil"/>
              <w:right w:val="nil"/>
            </w:tcBorders>
            <w:shd w:val="clear" w:color="auto" w:fill="auto"/>
            <w:noWrap/>
            <w:vAlign w:val="center"/>
            <w:hideMark/>
          </w:tcPr>
          <w:p w14:paraId="50E0DE3D" w14:textId="77777777" w:rsidR="00572F25" w:rsidRPr="003A08CC" w:rsidRDefault="00572F25" w:rsidP="00140544">
            <w:pPr>
              <w:spacing w:after="0"/>
              <w:rPr>
                <w:rFonts w:cs="Arial"/>
                <w:color w:val="000000"/>
                <w:sz w:val="18"/>
                <w:szCs w:val="18"/>
              </w:rPr>
            </w:pPr>
            <w:r w:rsidRPr="003A08CC">
              <w:rPr>
                <w:rFonts w:cs="Arial"/>
                <w:color w:val="000000"/>
                <w:sz w:val="18"/>
                <w:szCs w:val="18"/>
              </w:rPr>
              <w:t>82.0</w:t>
            </w:r>
          </w:p>
        </w:tc>
        <w:tc>
          <w:tcPr>
            <w:tcW w:w="898" w:type="dxa"/>
            <w:tcBorders>
              <w:top w:val="nil"/>
              <w:left w:val="nil"/>
              <w:bottom w:val="nil"/>
              <w:right w:val="nil"/>
            </w:tcBorders>
            <w:shd w:val="clear" w:color="auto" w:fill="auto"/>
            <w:noWrap/>
            <w:vAlign w:val="center"/>
            <w:hideMark/>
          </w:tcPr>
          <w:p w14:paraId="5DBA9E14" w14:textId="77777777" w:rsidR="00572F25" w:rsidRPr="003A08CC" w:rsidRDefault="00572F25" w:rsidP="00140544">
            <w:pPr>
              <w:spacing w:after="0"/>
              <w:jc w:val="center"/>
              <w:rPr>
                <w:rFonts w:cs="Arial"/>
                <w:color w:val="000000"/>
                <w:sz w:val="18"/>
                <w:szCs w:val="18"/>
              </w:rPr>
            </w:pPr>
            <w:r w:rsidRPr="003A08CC">
              <w:rPr>
                <w:rFonts w:cs="Arial"/>
                <w:color w:val="000000"/>
                <w:sz w:val="18"/>
                <w:szCs w:val="18"/>
              </w:rPr>
              <w:t>362</w:t>
            </w:r>
          </w:p>
        </w:tc>
        <w:tc>
          <w:tcPr>
            <w:tcW w:w="847" w:type="dxa"/>
            <w:tcBorders>
              <w:top w:val="nil"/>
              <w:left w:val="nil"/>
              <w:bottom w:val="nil"/>
              <w:right w:val="nil"/>
            </w:tcBorders>
            <w:shd w:val="clear" w:color="auto" w:fill="auto"/>
            <w:noWrap/>
            <w:vAlign w:val="center"/>
            <w:hideMark/>
          </w:tcPr>
          <w:p w14:paraId="5B4F4FE3" w14:textId="77777777" w:rsidR="00572F25" w:rsidRPr="003A08CC" w:rsidRDefault="00572F25" w:rsidP="00140544">
            <w:pPr>
              <w:spacing w:after="0"/>
              <w:jc w:val="right"/>
              <w:rPr>
                <w:rFonts w:cs="Arial"/>
                <w:color w:val="000000"/>
                <w:sz w:val="18"/>
                <w:szCs w:val="18"/>
              </w:rPr>
            </w:pPr>
            <w:r w:rsidRPr="003A08CC">
              <w:rPr>
                <w:rFonts w:cs="Arial"/>
                <w:color w:val="000000"/>
                <w:sz w:val="18"/>
                <w:szCs w:val="18"/>
              </w:rPr>
              <w:t>130</w:t>
            </w:r>
          </w:p>
        </w:tc>
        <w:tc>
          <w:tcPr>
            <w:tcW w:w="995" w:type="dxa"/>
            <w:tcBorders>
              <w:top w:val="nil"/>
              <w:left w:val="nil"/>
              <w:bottom w:val="nil"/>
              <w:right w:val="nil"/>
            </w:tcBorders>
            <w:shd w:val="clear" w:color="auto" w:fill="auto"/>
            <w:vAlign w:val="center"/>
            <w:hideMark/>
          </w:tcPr>
          <w:p w14:paraId="0CB8A384" w14:textId="77777777" w:rsidR="00572F25" w:rsidRPr="003A08CC" w:rsidRDefault="00572F25" w:rsidP="00140544">
            <w:pPr>
              <w:spacing w:after="0"/>
              <w:rPr>
                <w:rFonts w:cs="Arial"/>
                <w:color w:val="000000"/>
                <w:sz w:val="18"/>
                <w:szCs w:val="18"/>
              </w:rPr>
            </w:pPr>
            <w:r w:rsidRPr="003A08CC">
              <w:rPr>
                <w:rFonts w:cs="Arial"/>
                <w:color w:val="000000"/>
                <w:sz w:val="18"/>
                <w:szCs w:val="18"/>
              </w:rPr>
              <w:t>35.9</w:t>
            </w:r>
          </w:p>
        </w:tc>
      </w:tr>
      <w:tr w:rsidR="00572F25" w:rsidRPr="003A08CC" w14:paraId="1B00AF4A" w14:textId="77777777" w:rsidTr="00140544">
        <w:trPr>
          <w:trHeight w:val="300"/>
        </w:trPr>
        <w:tc>
          <w:tcPr>
            <w:tcW w:w="3600" w:type="dxa"/>
            <w:tcBorders>
              <w:top w:val="nil"/>
              <w:left w:val="nil"/>
              <w:bottom w:val="nil"/>
              <w:right w:val="nil"/>
            </w:tcBorders>
            <w:shd w:val="clear" w:color="000000" w:fill="F1F1F2"/>
            <w:noWrap/>
            <w:vAlign w:val="center"/>
            <w:hideMark/>
          </w:tcPr>
          <w:p w14:paraId="320DBC8C" w14:textId="77777777" w:rsidR="00572F25" w:rsidRPr="003A08CC" w:rsidRDefault="00572F25" w:rsidP="00140544">
            <w:pPr>
              <w:spacing w:after="0"/>
              <w:rPr>
                <w:rFonts w:cs="Arial"/>
                <w:color w:val="000000"/>
                <w:sz w:val="18"/>
                <w:szCs w:val="18"/>
              </w:rPr>
            </w:pPr>
            <w:r w:rsidRPr="003A08CC">
              <w:rPr>
                <w:rFonts w:cs="Arial"/>
                <w:color w:val="000000"/>
                <w:sz w:val="18"/>
                <w:szCs w:val="18"/>
              </w:rPr>
              <w:t>Breast surgery</w:t>
            </w:r>
          </w:p>
        </w:tc>
        <w:tc>
          <w:tcPr>
            <w:tcW w:w="1017" w:type="dxa"/>
            <w:tcBorders>
              <w:top w:val="nil"/>
              <w:left w:val="nil"/>
              <w:bottom w:val="nil"/>
              <w:right w:val="nil"/>
            </w:tcBorders>
            <w:shd w:val="clear" w:color="000000" w:fill="F1F1F2"/>
            <w:noWrap/>
            <w:vAlign w:val="center"/>
            <w:hideMark/>
          </w:tcPr>
          <w:p w14:paraId="54072365" w14:textId="77777777" w:rsidR="00572F25" w:rsidRPr="003A08CC" w:rsidRDefault="00572F25" w:rsidP="00140544">
            <w:pPr>
              <w:spacing w:after="0"/>
              <w:jc w:val="center"/>
              <w:rPr>
                <w:rFonts w:cs="Arial"/>
                <w:color w:val="000000"/>
                <w:sz w:val="18"/>
                <w:szCs w:val="18"/>
              </w:rPr>
            </w:pPr>
            <w:r w:rsidRPr="003A08CC">
              <w:rPr>
                <w:rFonts w:cs="Arial"/>
                <w:color w:val="000000"/>
                <w:sz w:val="18"/>
                <w:szCs w:val="18"/>
              </w:rPr>
              <w:t>273</w:t>
            </w:r>
          </w:p>
        </w:tc>
        <w:tc>
          <w:tcPr>
            <w:tcW w:w="1053" w:type="dxa"/>
            <w:tcBorders>
              <w:top w:val="nil"/>
              <w:left w:val="nil"/>
              <w:bottom w:val="nil"/>
              <w:right w:val="nil"/>
            </w:tcBorders>
            <w:shd w:val="clear" w:color="000000" w:fill="F1F1F2"/>
            <w:noWrap/>
            <w:vAlign w:val="center"/>
            <w:hideMark/>
          </w:tcPr>
          <w:p w14:paraId="30E5C00B" w14:textId="77777777" w:rsidR="00572F25" w:rsidRPr="003A08CC" w:rsidRDefault="00572F25" w:rsidP="00140544">
            <w:pPr>
              <w:spacing w:after="0"/>
              <w:jc w:val="right"/>
              <w:rPr>
                <w:rFonts w:cs="Arial"/>
                <w:color w:val="000000"/>
                <w:sz w:val="18"/>
                <w:szCs w:val="18"/>
              </w:rPr>
            </w:pPr>
            <w:r w:rsidRPr="003A08CC">
              <w:rPr>
                <w:rFonts w:cs="Arial"/>
                <w:color w:val="000000"/>
                <w:sz w:val="18"/>
                <w:szCs w:val="18"/>
              </w:rPr>
              <w:t>253</w:t>
            </w:r>
          </w:p>
        </w:tc>
        <w:tc>
          <w:tcPr>
            <w:tcW w:w="1090" w:type="dxa"/>
            <w:tcBorders>
              <w:top w:val="nil"/>
              <w:left w:val="nil"/>
              <w:bottom w:val="nil"/>
              <w:right w:val="nil"/>
            </w:tcBorders>
            <w:shd w:val="clear" w:color="000000" w:fill="F1F1F2"/>
            <w:noWrap/>
            <w:vAlign w:val="center"/>
            <w:hideMark/>
          </w:tcPr>
          <w:p w14:paraId="7905447A" w14:textId="77777777" w:rsidR="00572F25" w:rsidRPr="003A08CC" w:rsidRDefault="00572F25" w:rsidP="00140544">
            <w:pPr>
              <w:spacing w:after="0"/>
              <w:rPr>
                <w:rFonts w:cs="Arial"/>
                <w:color w:val="000000"/>
                <w:sz w:val="18"/>
                <w:szCs w:val="18"/>
              </w:rPr>
            </w:pPr>
            <w:r w:rsidRPr="003A08CC">
              <w:rPr>
                <w:rFonts w:cs="Arial"/>
                <w:color w:val="000000"/>
                <w:sz w:val="18"/>
                <w:szCs w:val="18"/>
              </w:rPr>
              <w:t>92.7</w:t>
            </w:r>
          </w:p>
        </w:tc>
        <w:tc>
          <w:tcPr>
            <w:tcW w:w="898" w:type="dxa"/>
            <w:tcBorders>
              <w:top w:val="nil"/>
              <w:left w:val="nil"/>
              <w:bottom w:val="nil"/>
              <w:right w:val="nil"/>
            </w:tcBorders>
            <w:shd w:val="clear" w:color="000000" w:fill="F1F1F2"/>
            <w:noWrap/>
            <w:vAlign w:val="center"/>
            <w:hideMark/>
          </w:tcPr>
          <w:p w14:paraId="5A20FE65" w14:textId="77777777" w:rsidR="00572F25" w:rsidRPr="003A08CC" w:rsidRDefault="00572F25" w:rsidP="00140544">
            <w:pPr>
              <w:spacing w:after="0"/>
              <w:jc w:val="center"/>
              <w:rPr>
                <w:rFonts w:cs="Arial"/>
                <w:color w:val="000000"/>
                <w:sz w:val="18"/>
                <w:szCs w:val="18"/>
              </w:rPr>
            </w:pPr>
            <w:r w:rsidRPr="003A08CC">
              <w:rPr>
                <w:rFonts w:cs="Arial"/>
                <w:color w:val="000000"/>
                <w:sz w:val="18"/>
                <w:szCs w:val="18"/>
              </w:rPr>
              <w:t>302</w:t>
            </w:r>
          </w:p>
        </w:tc>
        <w:tc>
          <w:tcPr>
            <w:tcW w:w="847" w:type="dxa"/>
            <w:tcBorders>
              <w:top w:val="nil"/>
              <w:left w:val="nil"/>
              <w:bottom w:val="nil"/>
              <w:right w:val="nil"/>
            </w:tcBorders>
            <w:shd w:val="clear" w:color="000000" w:fill="F1F1F2"/>
            <w:noWrap/>
            <w:vAlign w:val="center"/>
            <w:hideMark/>
          </w:tcPr>
          <w:p w14:paraId="3ECC4F1E" w14:textId="77777777" w:rsidR="00572F25" w:rsidRPr="003A08CC" w:rsidRDefault="00572F25" w:rsidP="00140544">
            <w:pPr>
              <w:spacing w:after="0"/>
              <w:jc w:val="right"/>
              <w:rPr>
                <w:rFonts w:cs="Arial"/>
                <w:color w:val="000000"/>
                <w:sz w:val="18"/>
                <w:szCs w:val="18"/>
              </w:rPr>
            </w:pPr>
            <w:r w:rsidRPr="003A08CC">
              <w:rPr>
                <w:rFonts w:cs="Arial"/>
                <w:color w:val="000000"/>
                <w:sz w:val="18"/>
                <w:szCs w:val="18"/>
              </w:rPr>
              <w:t>111</w:t>
            </w:r>
          </w:p>
        </w:tc>
        <w:tc>
          <w:tcPr>
            <w:tcW w:w="995" w:type="dxa"/>
            <w:tcBorders>
              <w:top w:val="nil"/>
              <w:left w:val="nil"/>
              <w:bottom w:val="nil"/>
              <w:right w:val="nil"/>
            </w:tcBorders>
            <w:shd w:val="clear" w:color="000000" w:fill="F1F1F2"/>
            <w:vAlign w:val="center"/>
            <w:hideMark/>
          </w:tcPr>
          <w:p w14:paraId="3F04175A" w14:textId="77777777" w:rsidR="00572F25" w:rsidRPr="003A08CC" w:rsidRDefault="00572F25" w:rsidP="00140544">
            <w:pPr>
              <w:spacing w:after="0"/>
              <w:rPr>
                <w:rFonts w:cs="Arial"/>
                <w:color w:val="000000"/>
                <w:sz w:val="18"/>
                <w:szCs w:val="18"/>
              </w:rPr>
            </w:pPr>
            <w:r w:rsidRPr="003A08CC">
              <w:rPr>
                <w:rFonts w:cs="Arial"/>
                <w:color w:val="000000"/>
                <w:sz w:val="18"/>
                <w:szCs w:val="18"/>
              </w:rPr>
              <w:t>36.8</w:t>
            </w:r>
          </w:p>
        </w:tc>
      </w:tr>
      <w:tr w:rsidR="00572F25" w:rsidRPr="003A08CC" w14:paraId="740415A6" w14:textId="77777777" w:rsidTr="00140544">
        <w:trPr>
          <w:trHeight w:val="300"/>
        </w:trPr>
        <w:tc>
          <w:tcPr>
            <w:tcW w:w="3600" w:type="dxa"/>
            <w:tcBorders>
              <w:top w:val="nil"/>
              <w:left w:val="nil"/>
              <w:bottom w:val="nil"/>
              <w:right w:val="nil"/>
            </w:tcBorders>
            <w:shd w:val="clear" w:color="auto" w:fill="auto"/>
            <w:noWrap/>
            <w:vAlign w:val="center"/>
            <w:hideMark/>
          </w:tcPr>
          <w:p w14:paraId="04516A53" w14:textId="77777777" w:rsidR="00572F25" w:rsidRPr="003A08CC" w:rsidRDefault="00572F25" w:rsidP="00140544">
            <w:pPr>
              <w:spacing w:after="0"/>
              <w:rPr>
                <w:rFonts w:cs="Arial"/>
                <w:color w:val="000000"/>
                <w:sz w:val="18"/>
                <w:szCs w:val="18"/>
              </w:rPr>
            </w:pPr>
            <w:r w:rsidRPr="003A08CC">
              <w:rPr>
                <w:rFonts w:cs="Arial"/>
                <w:color w:val="000000"/>
                <w:sz w:val="18"/>
                <w:szCs w:val="18"/>
              </w:rPr>
              <w:t>Dentoalveolar surgery</w:t>
            </w:r>
          </w:p>
        </w:tc>
        <w:tc>
          <w:tcPr>
            <w:tcW w:w="1017" w:type="dxa"/>
            <w:tcBorders>
              <w:top w:val="nil"/>
              <w:left w:val="nil"/>
              <w:bottom w:val="nil"/>
              <w:right w:val="nil"/>
            </w:tcBorders>
            <w:shd w:val="clear" w:color="auto" w:fill="auto"/>
            <w:noWrap/>
            <w:vAlign w:val="center"/>
            <w:hideMark/>
          </w:tcPr>
          <w:p w14:paraId="4268ADB8" w14:textId="77777777" w:rsidR="00572F25" w:rsidRPr="003A08CC" w:rsidRDefault="00572F25" w:rsidP="00140544">
            <w:pPr>
              <w:spacing w:after="0"/>
              <w:jc w:val="center"/>
              <w:rPr>
                <w:rFonts w:cs="Arial"/>
                <w:color w:val="000000"/>
                <w:sz w:val="18"/>
                <w:szCs w:val="18"/>
              </w:rPr>
            </w:pPr>
            <w:r w:rsidRPr="003A08CC">
              <w:rPr>
                <w:rFonts w:cs="Arial"/>
                <w:color w:val="000000"/>
                <w:sz w:val="18"/>
                <w:szCs w:val="18"/>
              </w:rPr>
              <w:t>261</w:t>
            </w:r>
          </w:p>
        </w:tc>
        <w:tc>
          <w:tcPr>
            <w:tcW w:w="1053" w:type="dxa"/>
            <w:tcBorders>
              <w:top w:val="nil"/>
              <w:left w:val="nil"/>
              <w:bottom w:val="nil"/>
              <w:right w:val="nil"/>
            </w:tcBorders>
            <w:shd w:val="clear" w:color="auto" w:fill="auto"/>
            <w:noWrap/>
            <w:vAlign w:val="center"/>
            <w:hideMark/>
          </w:tcPr>
          <w:p w14:paraId="44DD5531" w14:textId="77777777" w:rsidR="00572F25" w:rsidRPr="003A08CC" w:rsidRDefault="00572F25" w:rsidP="00140544">
            <w:pPr>
              <w:spacing w:after="0"/>
              <w:jc w:val="right"/>
              <w:rPr>
                <w:rFonts w:cs="Arial"/>
                <w:color w:val="000000"/>
                <w:sz w:val="18"/>
                <w:szCs w:val="18"/>
              </w:rPr>
            </w:pPr>
            <w:r w:rsidRPr="003A08CC">
              <w:rPr>
                <w:rFonts w:cs="Arial"/>
                <w:color w:val="000000"/>
                <w:sz w:val="18"/>
                <w:szCs w:val="18"/>
              </w:rPr>
              <w:t>204</w:t>
            </w:r>
          </w:p>
        </w:tc>
        <w:tc>
          <w:tcPr>
            <w:tcW w:w="1090" w:type="dxa"/>
            <w:tcBorders>
              <w:top w:val="nil"/>
              <w:left w:val="nil"/>
              <w:bottom w:val="nil"/>
              <w:right w:val="nil"/>
            </w:tcBorders>
            <w:shd w:val="clear" w:color="auto" w:fill="auto"/>
            <w:noWrap/>
            <w:vAlign w:val="center"/>
            <w:hideMark/>
          </w:tcPr>
          <w:p w14:paraId="7A1A2179" w14:textId="77777777" w:rsidR="00572F25" w:rsidRPr="003A08CC" w:rsidRDefault="00572F25" w:rsidP="00140544">
            <w:pPr>
              <w:spacing w:after="0"/>
              <w:rPr>
                <w:rFonts w:cs="Arial"/>
                <w:color w:val="000000"/>
                <w:sz w:val="18"/>
                <w:szCs w:val="18"/>
              </w:rPr>
            </w:pPr>
            <w:r w:rsidRPr="003A08CC">
              <w:rPr>
                <w:rFonts w:cs="Arial"/>
                <w:color w:val="000000"/>
                <w:sz w:val="18"/>
                <w:szCs w:val="18"/>
              </w:rPr>
              <w:t>78.2</w:t>
            </w:r>
          </w:p>
        </w:tc>
        <w:tc>
          <w:tcPr>
            <w:tcW w:w="898" w:type="dxa"/>
            <w:tcBorders>
              <w:top w:val="nil"/>
              <w:left w:val="nil"/>
              <w:bottom w:val="nil"/>
              <w:right w:val="nil"/>
            </w:tcBorders>
            <w:shd w:val="clear" w:color="auto" w:fill="auto"/>
            <w:noWrap/>
            <w:vAlign w:val="center"/>
            <w:hideMark/>
          </w:tcPr>
          <w:p w14:paraId="578315A4" w14:textId="77777777" w:rsidR="00572F25" w:rsidRPr="003A08CC" w:rsidRDefault="00572F25" w:rsidP="00140544">
            <w:pPr>
              <w:spacing w:after="0"/>
              <w:jc w:val="center"/>
              <w:rPr>
                <w:rFonts w:cs="Arial"/>
                <w:color w:val="000000"/>
                <w:sz w:val="18"/>
                <w:szCs w:val="18"/>
              </w:rPr>
            </w:pPr>
            <w:r w:rsidRPr="003A08CC">
              <w:rPr>
                <w:rFonts w:cs="Arial"/>
                <w:color w:val="000000"/>
                <w:sz w:val="18"/>
                <w:szCs w:val="18"/>
              </w:rPr>
              <w:t>207</w:t>
            </w:r>
          </w:p>
        </w:tc>
        <w:tc>
          <w:tcPr>
            <w:tcW w:w="847" w:type="dxa"/>
            <w:tcBorders>
              <w:top w:val="nil"/>
              <w:left w:val="nil"/>
              <w:bottom w:val="nil"/>
              <w:right w:val="nil"/>
            </w:tcBorders>
            <w:shd w:val="clear" w:color="auto" w:fill="auto"/>
            <w:noWrap/>
            <w:vAlign w:val="center"/>
            <w:hideMark/>
          </w:tcPr>
          <w:p w14:paraId="5AE229FD" w14:textId="77777777" w:rsidR="00572F25" w:rsidRPr="003A08CC" w:rsidRDefault="00572F25" w:rsidP="00140544">
            <w:pPr>
              <w:spacing w:after="0"/>
              <w:jc w:val="right"/>
              <w:rPr>
                <w:rFonts w:cs="Arial"/>
                <w:color w:val="000000"/>
                <w:sz w:val="18"/>
                <w:szCs w:val="18"/>
              </w:rPr>
            </w:pPr>
            <w:r w:rsidRPr="003A08CC">
              <w:rPr>
                <w:rFonts w:cs="Arial"/>
                <w:color w:val="000000"/>
                <w:sz w:val="18"/>
                <w:szCs w:val="18"/>
              </w:rPr>
              <w:t>106</w:t>
            </w:r>
          </w:p>
        </w:tc>
        <w:tc>
          <w:tcPr>
            <w:tcW w:w="995" w:type="dxa"/>
            <w:tcBorders>
              <w:top w:val="nil"/>
              <w:left w:val="nil"/>
              <w:bottom w:val="nil"/>
              <w:right w:val="nil"/>
            </w:tcBorders>
            <w:shd w:val="clear" w:color="auto" w:fill="auto"/>
            <w:vAlign w:val="center"/>
            <w:hideMark/>
          </w:tcPr>
          <w:p w14:paraId="3171C0F4" w14:textId="77777777" w:rsidR="00572F25" w:rsidRPr="003A08CC" w:rsidRDefault="00572F25" w:rsidP="00140544">
            <w:pPr>
              <w:spacing w:after="0"/>
              <w:rPr>
                <w:rFonts w:cs="Arial"/>
                <w:color w:val="000000"/>
                <w:sz w:val="18"/>
                <w:szCs w:val="18"/>
              </w:rPr>
            </w:pPr>
            <w:r w:rsidRPr="003A08CC">
              <w:rPr>
                <w:rFonts w:cs="Arial"/>
                <w:color w:val="000000"/>
                <w:sz w:val="18"/>
                <w:szCs w:val="18"/>
              </w:rPr>
              <w:t>51.2</w:t>
            </w:r>
          </w:p>
        </w:tc>
      </w:tr>
      <w:tr w:rsidR="00572F25" w:rsidRPr="003A08CC" w14:paraId="1D62B7FC" w14:textId="77777777" w:rsidTr="00140544">
        <w:trPr>
          <w:trHeight w:val="300"/>
        </w:trPr>
        <w:tc>
          <w:tcPr>
            <w:tcW w:w="3600" w:type="dxa"/>
            <w:tcBorders>
              <w:top w:val="nil"/>
              <w:left w:val="nil"/>
              <w:bottom w:val="nil"/>
              <w:right w:val="nil"/>
            </w:tcBorders>
            <w:shd w:val="clear" w:color="000000" w:fill="F1F1F2"/>
            <w:noWrap/>
            <w:vAlign w:val="center"/>
            <w:hideMark/>
          </w:tcPr>
          <w:p w14:paraId="5BBF664F" w14:textId="77777777" w:rsidR="00572F25" w:rsidRPr="003A08CC" w:rsidRDefault="00572F25" w:rsidP="00140544">
            <w:pPr>
              <w:spacing w:after="0"/>
              <w:rPr>
                <w:rFonts w:cs="Arial"/>
                <w:color w:val="000000"/>
                <w:sz w:val="18"/>
                <w:szCs w:val="18"/>
              </w:rPr>
            </w:pPr>
            <w:r w:rsidRPr="003A08CC">
              <w:rPr>
                <w:rFonts w:cs="Arial"/>
                <w:color w:val="000000"/>
                <w:sz w:val="18"/>
                <w:szCs w:val="18"/>
              </w:rPr>
              <w:t>Vascular surgery</w:t>
            </w:r>
          </w:p>
        </w:tc>
        <w:tc>
          <w:tcPr>
            <w:tcW w:w="1017" w:type="dxa"/>
            <w:tcBorders>
              <w:top w:val="nil"/>
              <w:left w:val="nil"/>
              <w:bottom w:val="nil"/>
              <w:right w:val="nil"/>
            </w:tcBorders>
            <w:shd w:val="clear" w:color="000000" w:fill="F1F1F2"/>
            <w:noWrap/>
            <w:vAlign w:val="center"/>
            <w:hideMark/>
          </w:tcPr>
          <w:p w14:paraId="58C4B8D8" w14:textId="77777777" w:rsidR="00572F25" w:rsidRPr="003A08CC" w:rsidRDefault="00572F25" w:rsidP="00140544">
            <w:pPr>
              <w:spacing w:after="0"/>
              <w:jc w:val="center"/>
              <w:rPr>
                <w:rFonts w:cs="Arial"/>
                <w:color w:val="000000"/>
                <w:sz w:val="18"/>
                <w:szCs w:val="18"/>
              </w:rPr>
            </w:pPr>
            <w:r w:rsidRPr="003A08CC">
              <w:rPr>
                <w:rFonts w:cs="Arial"/>
                <w:color w:val="000000"/>
                <w:sz w:val="18"/>
                <w:szCs w:val="18"/>
              </w:rPr>
              <w:t>168</w:t>
            </w:r>
          </w:p>
        </w:tc>
        <w:tc>
          <w:tcPr>
            <w:tcW w:w="1053" w:type="dxa"/>
            <w:tcBorders>
              <w:top w:val="nil"/>
              <w:left w:val="nil"/>
              <w:bottom w:val="nil"/>
              <w:right w:val="nil"/>
            </w:tcBorders>
            <w:shd w:val="clear" w:color="000000" w:fill="F1F1F2"/>
            <w:noWrap/>
            <w:vAlign w:val="center"/>
            <w:hideMark/>
          </w:tcPr>
          <w:p w14:paraId="0DF40FA3" w14:textId="77777777" w:rsidR="00572F25" w:rsidRPr="003A08CC" w:rsidRDefault="00572F25" w:rsidP="00140544">
            <w:pPr>
              <w:spacing w:after="0"/>
              <w:jc w:val="right"/>
              <w:rPr>
                <w:rFonts w:cs="Arial"/>
                <w:color w:val="000000"/>
                <w:sz w:val="18"/>
                <w:szCs w:val="18"/>
              </w:rPr>
            </w:pPr>
            <w:r w:rsidRPr="003A08CC">
              <w:rPr>
                <w:rFonts w:cs="Arial"/>
                <w:color w:val="000000"/>
                <w:sz w:val="18"/>
                <w:szCs w:val="18"/>
              </w:rPr>
              <w:t>136</w:t>
            </w:r>
          </w:p>
        </w:tc>
        <w:tc>
          <w:tcPr>
            <w:tcW w:w="1090" w:type="dxa"/>
            <w:tcBorders>
              <w:top w:val="nil"/>
              <w:left w:val="nil"/>
              <w:bottom w:val="nil"/>
              <w:right w:val="nil"/>
            </w:tcBorders>
            <w:shd w:val="clear" w:color="000000" w:fill="F1F1F2"/>
            <w:noWrap/>
            <w:vAlign w:val="center"/>
            <w:hideMark/>
          </w:tcPr>
          <w:p w14:paraId="67089988" w14:textId="77777777" w:rsidR="00572F25" w:rsidRPr="003A08CC" w:rsidRDefault="00572F25" w:rsidP="00140544">
            <w:pPr>
              <w:spacing w:after="0"/>
              <w:rPr>
                <w:rFonts w:cs="Arial"/>
                <w:color w:val="000000"/>
                <w:sz w:val="18"/>
                <w:szCs w:val="18"/>
              </w:rPr>
            </w:pPr>
            <w:r w:rsidRPr="003A08CC">
              <w:rPr>
                <w:rFonts w:cs="Arial"/>
                <w:color w:val="000000"/>
                <w:sz w:val="18"/>
                <w:szCs w:val="18"/>
              </w:rPr>
              <w:t>81.0</w:t>
            </w:r>
          </w:p>
        </w:tc>
        <w:tc>
          <w:tcPr>
            <w:tcW w:w="898" w:type="dxa"/>
            <w:tcBorders>
              <w:top w:val="nil"/>
              <w:left w:val="nil"/>
              <w:bottom w:val="nil"/>
              <w:right w:val="nil"/>
            </w:tcBorders>
            <w:shd w:val="clear" w:color="000000" w:fill="F1F1F2"/>
            <w:noWrap/>
            <w:vAlign w:val="center"/>
            <w:hideMark/>
          </w:tcPr>
          <w:p w14:paraId="4FF6F4E2" w14:textId="77777777" w:rsidR="00572F25" w:rsidRPr="003A08CC" w:rsidRDefault="00572F25" w:rsidP="00140544">
            <w:pPr>
              <w:spacing w:after="0"/>
              <w:jc w:val="center"/>
              <w:rPr>
                <w:rFonts w:cs="Arial"/>
                <w:color w:val="000000"/>
                <w:sz w:val="18"/>
                <w:szCs w:val="18"/>
              </w:rPr>
            </w:pPr>
            <w:r w:rsidRPr="003A08CC">
              <w:rPr>
                <w:rFonts w:cs="Arial"/>
                <w:color w:val="000000"/>
                <w:sz w:val="18"/>
                <w:szCs w:val="18"/>
              </w:rPr>
              <w:t>141</w:t>
            </w:r>
          </w:p>
        </w:tc>
        <w:tc>
          <w:tcPr>
            <w:tcW w:w="847" w:type="dxa"/>
            <w:tcBorders>
              <w:top w:val="nil"/>
              <w:left w:val="nil"/>
              <w:bottom w:val="nil"/>
              <w:right w:val="nil"/>
            </w:tcBorders>
            <w:shd w:val="clear" w:color="000000" w:fill="F1F1F2"/>
            <w:noWrap/>
            <w:vAlign w:val="center"/>
            <w:hideMark/>
          </w:tcPr>
          <w:p w14:paraId="501D7351" w14:textId="77777777" w:rsidR="00572F25" w:rsidRPr="003A08CC" w:rsidRDefault="00572F25" w:rsidP="00140544">
            <w:pPr>
              <w:spacing w:after="0"/>
              <w:jc w:val="right"/>
              <w:rPr>
                <w:rFonts w:cs="Arial"/>
                <w:color w:val="000000"/>
                <w:sz w:val="18"/>
                <w:szCs w:val="18"/>
              </w:rPr>
            </w:pPr>
            <w:r w:rsidRPr="003A08CC">
              <w:rPr>
                <w:rFonts w:cs="Arial"/>
                <w:color w:val="000000"/>
                <w:sz w:val="18"/>
                <w:szCs w:val="18"/>
              </w:rPr>
              <w:t>34</w:t>
            </w:r>
          </w:p>
        </w:tc>
        <w:tc>
          <w:tcPr>
            <w:tcW w:w="995" w:type="dxa"/>
            <w:tcBorders>
              <w:top w:val="nil"/>
              <w:left w:val="nil"/>
              <w:bottom w:val="nil"/>
              <w:right w:val="nil"/>
            </w:tcBorders>
            <w:shd w:val="clear" w:color="000000" w:fill="F1F1F2"/>
            <w:vAlign w:val="center"/>
            <w:hideMark/>
          </w:tcPr>
          <w:p w14:paraId="14DDD5E0" w14:textId="77777777" w:rsidR="00572F25" w:rsidRPr="003A08CC" w:rsidRDefault="00572F25" w:rsidP="00140544">
            <w:pPr>
              <w:spacing w:after="0"/>
              <w:rPr>
                <w:rFonts w:cs="Arial"/>
                <w:color w:val="000000"/>
                <w:sz w:val="18"/>
                <w:szCs w:val="18"/>
              </w:rPr>
            </w:pPr>
            <w:r w:rsidRPr="003A08CC">
              <w:rPr>
                <w:rFonts w:cs="Arial"/>
                <w:color w:val="000000"/>
                <w:sz w:val="18"/>
                <w:szCs w:val="18"/>
              </w:rPr>
              <w:t>24.1</w:t>
            </w:r>
          </w:p>
        </w:tc>
      </w:tr>
      <w:tr w:rsidR="00572F25" w:rsidRPr="003A08CC" w14:paraId="0AAA37C0" w14:textId="77777777" w:rsidTr="00140544">
        <w:trPr>
          <w:trHeight w:val="300"/>
        </w:trPr>
        <w:tc>
          <w:tcPr>
            <w:tcW w:w="3600" w:type="dxa"/>
            <w:tcBorders>
              <w:top w:val="nil"/>
              <w:left w:val="nil"/>
              <w:bottom w:val="nil"/>
              <w:right w:val="nil"/>
            </w:tcBorders>
            <w:shd w:val="clear" w:color="auto" w:fill="auto"/>
            <w:noWrap/>
            <w:vAlign w:val="center"/>
            <w:hideMark/>
          </w:tcPr>
          <w:p w14:paraId="6F390E91" w14:textId="77777777" w:rsidR="00572F25" w:rsidRPr="003A08CC" w:rsidRDefault="00572F25" w:rsidP="00140544">
            <w:pPr>
              <w:spacing w:after="0"/>
              <w:rPr>
                <w:rFonts w:cs="Arial"/>
                <w:color w:val="000000"/>
                <w:sz w:val="18"/>
                <w:szCs w:val="18"/>
              </w:rPr>
            </w:pPr>
            <w:r w:rsidRPr="003A08CC">
              <w:rPr>
                <w:rFonts w:cs="Arial"/>
                <w:color w:val="000000"/>
                <w:sz w:val="18"/>
                <w:szCs w:val="18"/>
              </w:rPr>
              <w:t>Thoracic surgery</w:t>
            </w:r>
          </w:p>
        </w:tc>
        <w:tc>
          <w:tcPr>
            <w:tcW w:w="1017" w:type="dxa"/>
            <w:tcBorders>
              <w:top w:val="nil"/>
              <w:left w:val="nil"/>
              <w:bottom w:val="nil"/>
              <w:right w:val="nil"/>
            </w:tcBorders>
            <w:shd w:val="clear" w:color="auto" w:fill="auto"/>
            <w:noWrap/>
            <w:vAlign w:val="center"/>
            <w:hideMark/>
          </w:tcPr>
          <w:p w14:paraId="7AF0D093" w14:textId="77777777" w:rsidR="00572F25" w:rsidRPr="003A08CC" w:rsidRDefault="00572F25" w:rsidP="00140544">
            <w:pPr>
              <w:spacing w:after="0"/>
              <w:jc w:val="center"/>
              <w:rPr>
                <w:rFonts w:cs="Arial"/>
                <w:color w:val="000000"/>
                <w:sz w:val="18"/>
                <w:szCs w:val="18"/>
              </w:rPr>
            </w:pPr>
            <w:r w:rsidRPr="003A08CC">
              <w:rPr>
                <w:rFonts w:cs="Arial"/>
                <w:color w:val="000000"/>
                <w:sz w:val="18"/>
                <w:szCs w:val="18"/>
              </w:rPr>
              <w:t>86</w:t>
            </w:r>
          </w:p>
        </w:tc>
        <w:tc>
          <w:tcPr>
            <w:tcW w:w="1053" w:type="dxa"/>
            <w:tcBorders>
              <w:top w:val="nil"/>
              <w:left w:val="nil"/>
              <w:bottom w:val="nil"/>
              <w:right w:val="nil"/>
            </w:tcBorders>
            <w:shd w:val="clear" w:color="auto" w:fill="auto"/>
            <w:noWrap/>
            <w:vAlign w:val="center"/>
            <w:hideMark/>
          </w:tcPr>
          <w:p w14:paraId="037E9A02" w14:textId="77777777" w:rsidR="00572F25" w:rsidRPr="003A08CC" w:rsidRDefault="00572F25" w:rsidP="00140544">
            <w:pPr>
              <w:spacing w:after="0"/>
              <w:jc w:val="right"/>
              <w:rPr>
                <w:rFonts w:cs="Arial"/>
                <w:color w:val="000000"/>
                <w:sz w:val="18"/>
                <w:szCs w:val="18"/>
              </w:rPr>
            </w:pPr>
            <w:r w:rsidRPr="003A08CC">
              <w:rPr>
                <w:rFonts w:cs="Arial"/>
                <w:color w:val="000000"/>
                <w:sz w:val="18"/>
                <w:szCs w:val="18"/>
              </w:rPr>
              <w:t>69</w:t>
            </w:r>
          </w:p>
        </w:tc>
        <w:tc>
          <w:tcPr>
            <w:tcW w:w="1090" w:type="dxa"/>
            <w:tcBorders>
              <w:top w:val="nil"/>
              <w:left w:val="nil"/>
              <w:bottom w:val="nil"/>
              <w:right w:val="nil"/>
            </w:tcBorders>
            <w:shd w:val="clear" w:color="auto" w:fill="auto"/>
            <w:noWrap/>
            <w:vAlign w:val="center"/>
            <w:hideMark/>
          </w:tcPr>
          <w:p w14:paraId="2AE6E2EB" w14:textId="77777777" w:rsidR="00572F25" w:rsidRPr="003A08CC" w:rsidRDefault="00572F25" w:rsidP="00140544">
            <w:pPr>
              <w:spacing w:after="0"/>
              <w:rPr>
                <w:rFonts w:cs="Arial"/>
                <w:color w:val="000000"/>
                <w:sz w:val="18"/>
                <w:szCs w:val="18"/>
              </w:rPr>
            </w:pPr>
            <w:r w:rsidRPr="003A08CC">
              <w:rPr>
                <w:rFonts w:cs="Arial"/>
                <w:color w:val="000000"/>
                <w:sz w:val="18"/>
                <w:szCs w:val="18"/>
              </w:rPr>
              <w:t>80.2</w:t>
            </w:r>
          </w:p>
        </w:tc>
        <w:tc>
          <w:tcPr>
            <w:tcW w:w="898" w:type="dxa"/>
            <w:tcBorders>
              <w:top w:val="nil"/>
              <w:left w:val="nil"/>
              <w:bottom w:val="nil"/>
              <w:right w:val="nil"/>
            </w:tcBorders>
            <w:shd w:val="clear" w:color="auto" w:fill="auto"/>
            <w:noWrap/>
            <w:vAlign w:val="center"/>
            <w:hideMark/>
          </w:tcPr>
          <w:p w14:paraId="769C20F1" w14:textId="77777777" w:rsidR="00572F25" w:rsidRPr="003A08CC" w:rsidRDefault="00572F25" w:rsidP="00140544">
            <w:pPr>
              <w:spacing w:after="0"/>
              <w:jc w:val="center"/>
              <w:rPr>
                <w:rFonts w:cs="Arial"/>
                <w:color w:val="000000"/>
                <w:sz w:val="18"/>
                <w:szCs w:val="18"/>
              </w:rPr>
            </w:pPr>
            <w:r w:rsidRPr="003A08CC">
              <w:rPr>
                <w:rFonts w:cs="Arial"/>
                <w:color w:val="000000"/>
                <w:sz w:val="18"/>
                <w:szCs w:val="18"/>
              </w:rPr>
              <w:t>77</w:t>
            </w:r>
          </w:p>
        </w:tc>
        <w:tc>
          <w:tcPr>
            <w:tcW w:w="847" w:type="dxa"/>
            <w:tcBorders>
              <w:top w:val="nil"/>
              <w:left w:val="nil"/>
              <w:bottom w:val="nil"/>
              <w:right w:val="nil"/>
            </w:tcBorders>
            <w:shd w:val="clear" w:color="auto" w:fill="auto"/>
            <w:noWrap/>
            <w:vAlign w:val="center"/>
            <w:hideMark/>
          </w:tcPr>
          <w:p w14:paraId="5EA8BA01" w14:textId="77777777" w:rsidR="00572F25" w:rsidRPr="003A08CC" w:rsidRDefault="00572F25" w:rsidP="00140544">
            <w:pPr>
              <w:spacing w:after="0"/>
              <w:jc w:val="right"/>
              <w:rPr>
                <w:rFonts w:cs="Arial"/>
                <w:color w:val="000000"/>
                <w:sz w:val="18"/>
                <w:szCs w:val="18"/>
              </w:rPr>
            </w:pPr>
            <w:r w:rsidRPr="003A08CC">
              <w:rPr>
                <w:rFonts w:cs="Arial"/>
                <w:color w:val="000000"/>
                <w:sz w:val="18"/>
                <w:szCs w:val="18"/>
              </w:rPr>
              <w:t>28</w:t>
            </w:r>
          </w:p>
        </w:tc>
        <w:tc>
          <w:tcPr>
            <w:tcW w:w="995" w:type="dxa"/>
            <w:tcBorders>
              <w:top w:val="nil"/>
              <w:left w:val="nil"/>
              <w:bottom w:val="nil"/>
              <w:right w:val="nil"/>
            </w:tcBorders>
            <w:shd w:val="clear" w:color="auto" w:fill="auto"/>
            <w:vAlign w:val="center"/>
            <w:hideMark/>
          </w:tcPr>
          <w:p w14:paraId="09F4AD54" w14:textId="77777777" w:rsidR="00572F25" w:rsidRPr="003A08CC" w:rsidRDefault="00572F25" w:rsidP="00140544">
            <w:pPr>
              <w:spacing w:after="0"/>
              <w:rPr>
                <w:rFonts w:cs="Arial"/>
                <w:color w:val="000000"/>
                <w:sz w:val="18"/>
                <w:szCs w:val="18"/>
              </w:rPr>
            </w:pPr>
            <w:r w:rsidRPr="003A08CC">
              <w:rPr>
                <w:rFonts w:cs="Arial"/>
                <w:color w:val="000000"/>
                <w:sz w:val="18"/>
                <w:szCs w:val="18"/>
              </w:rPr>
              <w:t>36.4</w:t>
            </w:r>
          </w:p>
        </w:tc>
      </w:tr>
      <w:tr w:rsidR="00572F25" w:rsidRPr="003A08CC" w14:paraId="7963BC29" w14:textId="77777777" w:rsidTr="00140544">
        <w:trPr>
          <w:trHeight w:val="300"/>
        </w:trPr>
        <w:tc>
          <w:tcPr>
            <w:tcW w:w="3600" w:type="dxa"/>
            <w:tcBorders>
              <w:top w:val="nil"/>
              <w:left w:val="nil"/>
              <w:bottom w:val="nil"/>
              <w:right w:val="nil"/>
            </w:tcBorders>
            <w:shd w:val="clear" w:color="000000" w:fill="E8B092"/>
            <w:noWrap/>
            <w:vAlign w:val="center"/>
            <w:hideMark/>
          </w:tcPr>
          <w:p w14:paraId="3F29781F" w14:textId="77777777" w:rsidR="00572F25" w:rsidRPr="00774C15" w:rsidRDefault="00572F25" w:rsidP="00140544">
            <w:pPr>
              <w:spacing w:after="0"/>
              <w:rPr>
                <w:rFonts w:cs="Arial"/>
                <w:color w:val="auto"/>
                <w:sz w:val="18"/>
                <w:szCs w:val="18"/>
              </w:rPr>
            </w:pPr>
            <w:r w:rsidRPr="00774C15">
              <w:rPr>
                <w:rFonts w:cs="Arial"/>
                <w:color w:val="auto"/>
                <w:sz w:val="18"/>
                <w:szCs w:val="18"/>
              </w:rPr>
              <w:t xml:space="preserve">Total </w:t>
            </w:r>
          </w:p>
        </w:tc>
        <w:tc>
          <w:tcPr>
            <w:tcW w:w="1017" w:type="dxa"/>
            <w:tcBorders>
              <w:top w:val="nil"/>
              <w:left w:val="nil"/>
              <w:bottom w:val="nil"/>
              <w:right w:val="nil"/>
            </w:tcBorders>
            <w:shd w:val="clear" w:color="000000" w:fill="E8B092"/>
            <w:noWrap/>
            <w:vAlign w:val="center"/>
            <w:hideMark/>
          </w:tcPr>
          <w:p w14:paraId="34F22005" w14:textId="77777777" w:rsidR="00572F25" w:rsidRPr="00774C15" w:rsidRDefault="00572F25" w:rsidP="00140544">
            <w:pPr>
              <w:spacing w:after="0"/>
              <w:jc w:val="center"/>
              <w:rPr>
                <w:rFonts w:cs="Arial"/>
                <w:color w:val="auto"/>
                <w:sz w:val="18"/>
                <w:szCs w:val="18"/>
              </w:rPr>
            </w:pPr>
            <w:r w:rsidRPr="00774C15">
              <w:rPr>
                <w:rFonts w:cs="Arial"/>
                <w:color w:val="auto"/>
                <w:sz w:val="18"/>
                <w:szCs w:val="18"/>
              </w:rPr>
              <w:t>10,927</w:t>
            </w:r>
          </w:p>
        </w:tc>
        <w:tc>
          <w:tcPr>
            <w:tcW w:w="1053" w:type="dxa"/>
            <w:tcBorders>
              <w:top w:val="nil"/>
              <w:left w:val="nil"/>
              <w:bottom w:val="nil"/>
              <w:right w:val="nil"/>
            </w:tcBorders>
            <w:shd w:val="clear" w:color="000000" w:fill="E8B092"/>
            <w:noWrap/>
            <w:vAlign w:val="center"/>
            <w:hideMark/>
          </w:tcPr>
          <w:p w14:paraId="47C322BA" w14:textId="77777777" w:rsidR="00572F25" w:rsidRPr="00774C15" w:rsidRDefault="00572F25" w:rsidP="00140544">
            <w:pPr>
              <w:spacing w:after="0"/>
              <w:jc w:val="center"/>
              <w:rPr>
                <w:rFonts w:cs="Arial"/>
                <w:color w:val="auto"/>
                <w:sz w:val="18"/>
                <w:szCs w:val="18"/>
              </w:rPr>
            </w:pPr>
            <w:r w:rsidRPr="00774C15">
              <w:rPr>
                <w:rFonts w:cs="Arial"/>
                <w:color w:val="auto"/>
                <w:sz w:val="18"/>
                <w:szCs w:val="18"/>
              </w:rPr>
              <w:t>8,317</w:t>
            </w:r>
          </w:p>
        </w:tc>
        <w:tc>
          <w:tcPr>
            <w:tcW w:w="1090" w:type="dxa"/>
            <w:tcBorders>
              <w:top w:val="nil"/>
              <w:left w:val="nil"/>
              <w:bottom w:val="nil"/>
              <w:right w:val="nil"/>
            </w:tcBorders>
            <w:shd w:val="clear" w:color="000000" w:fill="E8B092"/>
            <w:noWrap/>
            <w:vAlign w:val="center"/>
            <w:hideMark/>
          </w:tcPr>
          <w:p w14:paraId="24181B47" w14:textId="77777777" w:rsidR="00572F25" w:rsidRPr="00774C15" w:rsidRDefault="00572F25" w:rsidP="00140544">
            <w:pPr>
              <w:spacing w:after="0"/>
              <w:rPr>
                <w:rFonts w:cs="Arial"/>
                <w:color w:val="auto"/>
                <w:sz w:val="18"/>
                <w:szCs w:val="18"/>
              </w:rPr>
            </w:pPr>
            <w:r w:rsidRPr="00774C15">
              <w:rPr>
                <w:rFonts w:cs="Arial"/>
                <w:color w:val="auto"/>
                <w:sz w:val="18"/>
                <w:szCs w:val="18"/>
              </w:rPr>
              <w:t>76.1</w:t>
            </w:r>
          </w:p>
        </w:tc>
        <w:tc>
          <w:tcPr>
            <w:tcW w:w="898" w:type="dxa"/>
            <w:tcBorders>
              <w:top w:val="nil"/>
              <w:left w:val="nil"/>
              <w:bottom w:val="nil"/>
              <w:right w:val="nil"/>
            </w:tcBorders>
            <w:shd w:val="clear" w:color="000000" w:fill="E8B092"/>
            <w:noWrap/>
            <w:vAlign w:val="center"/>
            <w:hideMark/>
          </w:tcPr>
          <w:p w14:paraId="4BDB473D" w14:textId="77777777" w:rsidR="00572F25" w:rsidRPr="00774C15" w:rsidRDefault="00572F25" w:rsidP="00140544">
            <w:pPr>
              <w:spacing w:after="0"/>
              <w:jc w:val="center"/>
              <w:rPr>
                <w:rFonts w:cs="Arial"/>
                <w:color w:val="auto"/>
                <w:sz w:val="18"/>
                <w:szCs w:val="18"/>
              </w:rPr>
            </w:pPr>
            <w:r w:rsidRPr="00774C15">
              <w:rPr>
                <w:rFonts w:cs="Arial"/>
                <w:color w:val="auto"/>
                <w:sz w:val="18"/>
                <w:szCs w:val="18"/>
              </w:rPr>
              <w:t>9,599</w:t>
            </w:r>
          </w:p>
        </w:tc>
        <w:tc>
          <w:tcPr>
            <w:tcW w:w="847" w:type="dxa"/>
            <w:tcBorders>
              <w:top w:val="nil"/>
              <w:left w:val="nil"/>
              <w:bottom w:val="nil"/>
              <w:right w:val="nil"/>
            </w:tcBorders>
            <w:shd w:val="clear" w:color="000000" w:fill="E8B092"/>
            <w:noWrap/>
            <w:vAlign w:val="center"/>
            <w:hideMark/>
          </w:tcPr>
          <w:p w14:paraId="3648BDD6" w14:textId="77777777" w:rsidR="00572F25" w:rsidRPr="00774C15" w:rsidRDefault="00572F25" w:rsidP="00140544">
            <w:pPr>
              <w:spacing w:after="0"/>
              <w:jc w:val="center"/>
              <w:rPr>
                <w:rFonts w:cs="Arial"/>
                <w:color w:val="auto"/>
                <w:sz w:val="18"/>
                <w:szCs w:val="18"/>
              </w:rPr>
            </w:pPr>
            <w:r w:rsidRPr="00774C15">
              <w:rPr>
                <w:rFonts w:cs="Arial"/>
                <w:color w:val="auto"/>
                <w:sz w:val="18"/>
                <w:szCs w:val="18"/>
              </w:rPr>
              <w:t>3,153</w:t>
            </w:r>
          </w:p>
        </w:tc>
        <w:tc>
          <w:tcPr>
            <w:tcW w:w="995" w:type="dxa"/>
            <w:tcBorders>
              <w:top w:val="nil"/>
              <w:left w:val="nil"/>
              <w:bottom w:val="nil"/>
              <w:right w:val="nil"/>
            </w:tcBorders>
            <w:shd w:val="clear" w:color="000000" w:fill="E8B092"/>
            <w:vAlign w:val="center"/>
            <w:hideMark/>
          </w:tcPr>
          <w:p w14:paraId="1FA789F2" w14:textId="77777777" w:rsidR="00572F25" w:rsidRPr="00774C15" w:rsidRDefault="00572F25" w:rsidP="00140544">
            <w:pPr>
              <w:spacing w:after="0"/>
              <w:rPr>
                <w:rFonts w:cs="Arial"/>
                <w:color w:val="auto"/>
                <w:sz w:val="18"/>
                <w:szCs w:val="18"/>
              </w:rPr>
            </w:pPr>
            <w:r w:rsidRPr="00774C15">
              <w:rPr>
                <w:rFonts w:cs="Arial"/>
                <w:color w:val="auto"/>
                <w:sz w:val="18"/>
                <w:szCs w:val="18"/>
              </w:rPr>
              <w:t>32.8</w:t>
            </w:r>
          </w:p>
        </w:tc>
      </w:tr>
    </w:tbl>
    <w:p w14:paraId="02367A64" w14:textId="77777777" w:rsidR="00572F25" w:rsidRDefault="00572F25" w:rsidP="00572F25">
      <w:pPr>
        <w:spacing w:after="0"/>
      </w:pPr>
    </w:p>
    <w:p w14:paraId="7F020DCA" w14:textId="77777777" w:rsidR="00572F25" w:rsidRDefault="00572F25" w:rsidP="00977AD6">
      <w:pPr>
        <w:pStyle w:val="Heading3"/>
      </w:pPr>
      <w:r>
        <w:t>Post-pr</w:t>
      </w:r>
      <w:r w:rsidRPr="002E1055">
        <w:t xml:space="preserve">ocedural </w:t>
      </w:r>
    </w:p>
    <w:p w14:paraId="0CD7F8D2" w14:textId="77777777" w:rsidR="00572F25" w:rsidRPr="00497D29" w:rsidRDefault="00572F25" w:rsidP="00572F25">
      <w:pPr>
        <w:rPr>
          <w:rFonts w:cs="Arial"/>
        </w:rPr>
      </w:pPr>
      <w:r w:rsidRPr="00497D29">
        <w:t>Almost a quarter (23.9%) of all episodes were assessed as inappropriate, including when antimicrobials were prescribed and not prescribed post</w:t>
      </w:r>
      <w:r>
        <w:t>-</w:t>
      </w:r>
      <w:r w:rsidRPr="00497D29">
        <w:t xml:space="preserve">procedurally (Figure A3.2). </w:t>
      </w:r>
      <w:r w:rsidRPr="00497D29">
        <w:rPr>
          <w:rFonts w:cs="Arial"/>
        </w:rPr>
        <w:t>The procedure groups with the most post</w:t>
      </w:r>
      <w:r>
        <w:rPr>
          <w:rFonts w:cs="Arial"/>
        </w:rPr>
        <w:t>-</w:t>
      </w:r>
      <w:r w:rsidRPr="00497D29">
        <w:rPr>
          <w:rFonts w:cs="Arial"/>
        </w:rPr>
        <w:t xml:space="preserve">procedural prescribing deemed inappropriate overall were </w:t>
      </w:r>
      <w:r w:rsidR="00D671E7">
        <w:rPr>
          <w:rFonts w:cs="Arial"/>
        </w:rPr>
        <w:t xml:space="preserve">breast surgery, </w:t>
      </w:r>
      <w:r w:rsidRPr="00497D29">
        <w:rPr>
          <w:rFonts w:cs="Arial"/>
        </w:rPr>
        <w:t xml:space="preserve">dentoalveolar surgery </w:t>
      </w:r>
      <w:r w:rsidR="00D671E7">
        <w:rPr>
          <w:rFonts w:cs="Arial"/>
        </w:rPr>
        <w:t xml:space="preserve">and orthopaedic surgery </w:t>
      </w:r>
      <w:r w:rsidRPr="00497D29">
        <w:rPr>
          <w:rFonts w:cs="Arial"/>
        </w:rPr>
        <w:t>(50.8%, 44.3% and 38.5% respectively).</w:t>
      </w:r>
      <w:r w:rsidRPr="009C2288">
        <w:rPr>
          <w:rFonts w:cs="Arial"/>
        </w:rPr>
        <w:t xml:space="preserve"> </w:t>
      </w:r>
    </w:p>
    <w:p w14:paraId="54715333" w14:textId="77777777" w:rsidR="00572F25" w:rsidRDefault="00572F25" w:rsidP="00572F25">
      <w:pPr>
        <w:pStyle w:val="Captions"/>
      </w:pPr>
      <w:r w:rsidRPr="00854750">
        <w:lastRenderedPageBreak/>
        <w:t>Figure A3.2:</w:t>
      </w:r>
      <w:r w:rsidRPr="00854750">
        <w:tab/>
        <w:t>Percentage of post</w:t>
      </w:r>
      <w:r>
        <w:t>-</w:t>
      </w:r>
      <w:r w:rsidRPr="00854750">
        <w:t>procedural prophylactic prescribing appropriateness for surgical episodes by procedure group, Surgica</w:t>
      </w:r>
      <w:r w:rsidRPr="00E616EA">
        <w:t xml:space="preserve">l </w:t>
      </w:r>
      <w:r>
        <w:t>NAPS</w:t>
      </w:r>
      <w:r w:rsidRPr="00854750">
        <w:t xml:space="preserve"> contributor facilities, 2021</w:t>
      </w:r>
    </w:p>
    <w:p w14:paraId="1A91AD3D" w14:textId="77777777" w:rsidR="001B32A9" w:rsidRDefault="001B32A9" w:rsidP="00572F25">
      <w:pPr>
        <w:pStyle w:val="Captions"/>
      </w:pPr>
      <w:r>
        <w:rPr>
          <w:noProof/>
        </w:rPr>
        <w:drawing>
          <wp:inline distT="0" distB="0" distL="0" distR="0" wp14:anchorId="55A2505C" wp14:editId="28FE8C56">
            <wp:extent cx="6248400" cy="3790950"/>
            <wp:effectExtent l="0" t="0" r="0" b="0"/>
            <wp:docPr id="45" name="Chart 45" descr="This is a horizontal bar graph showing the percentage of post-procedural prophylactic prescribing appropriateness by procedure group in Surgical NAPS contributor facilities in 2021. ">
              <a:extLst xmlns:a="http://schemas.openxmlformats.org/drawingml/2006/main">
                <a:ext uri="{FF2B5EF4-FFF2-40B4-BE49-F238E27FC236}">
                  <a16:creationId xmlns:a16="http://schemas.microsoft.com/office/drawing/2014/main" id="{00000000-0008-0000-1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1AFAB3D" w14:textId="77777777" w:rsidR="001B32A9" w:rsidRDefault="001B32A9" w:rsidP="00572F25">
      <w:bookmarkStart w:id="148" w:name="_Hlk147319375"/>
    </w:p>
    <w:p w14:paraId="2B493833" w14:textId="77777777" w:rsidR="00572F25" w:rsidRPr="0079400B" w:rsidRDefault="00572F25" w:rsidP="00572F25">
      <w:r w:rsidRPr="00E121A6">
        <w:t>The procedure groups with the highest rates of prescribing at least one post</w:t>
      </w:r>
      <w:r>
        <w:t>-</w:t>
      </w:r>
      <w:r w:rsidRPr="00E121A6">
        <w:t xml:space="preserve">procedural antimicrobial for prophylaxis were orthopaedic surgery, cardiac </w:t>
      </w:r>
      <w:proofErr w:type="gramStart"/>
      <w:r w:rsidRPr="00E121A6">
        <w:t>surgery</w:t>
      </w:r>
      <w:proofErr w:type="gramEnd"/>
      <w:r w:rsidRPr="00E121A6">
        <w:t xml:space="preserve"> and ophthalmology (70.6%, 65.1% and 62.9% respectively), as shown in Table A3.8. Three procedure groups</w:t>
      </w:r>
      <w:r>
        <w:t xml:space="preserve"> – </w:t>
      </w:r>
      <w:r w:rsidRPr="00E121A6">
        <w:t xml:space="preserve">orthopaedic surgery (n=934 prescriptions), plastic and reconstructive surgery (n=308 prescriptions) and ophthalmology (n=245 prescriptions) </w:t>
      </w:r>
      <w:r>
        <w:t xml:space="preserve">– </w:t>
      </w:r>
      <w:r w:rsidRPr="00E121A6">
        <w:t>accounted for over half (52.6%) of all inappropriate post</w:t>
      </w:r>
      <w:r>
        <w:t>-</w:t>
      </w:r>
      <w:r w:rsidRPr="00E121A6">
        <w:t>procedural antimicrobial prescriptions.</w:t>
      </w:r>
      <w:r w:rsidRPr="0079400B">
        <w:t xml:space="preserve"> </w:t>
      </w:r>
    </w:p>
    <w:bookmarkEnd w:id="148"/>
    <w:p w14:paraId="32FDCBBA" w14:textId="77777777" w:rsidR="00572F25" w:rsidRPr="00B67DD8" w:rsidRDefault="00572F25" w:rsidP="00572F25">
      <w:pPr>
        <w:pStyle w:val="Captions"/>
      </w:pPr>
      <w:r w:rsidRPr="00B67DD8">
        <w:t>Table A</w:t>
      </w:r>
      <w:r>
        <w:t>3</w:t>
      </w:r>
      <w:r w:rsidRPr="00B67DD8">
        <w:t>.8:</w:t>
      </w:r>
      <w:r w:rsidRPr="00B67DD8">
        <w:tab/>
      </w:r>
      <w:proofErr w:type="gramStart"/>
      <w:r w:rsidRPr="00B67DD8">
        <w:t>Post</w:t>
      </w:r>
      <w:r>
        <w:t>-</w:t>
      </w:r>
      <w:r w:rsidRPr="00B67DD8">
        <w:t>procedural</w:t>
      </w:r>
      <w:proofErr w:type="gramEnd"/>
      <w:r w:rsidRPr="00B67DD8">
        <w:t xml:space="preserve"> prophylactic prescribing of antimicrobials and percentage inappropriate, by procedure group*, Surgical </w:t>
      </w:r>
      <w:r>
        <w:rPr>
          <w:rFonts w:cs="Arial"/>
        </w:rPr>
        <w:t xml:space="preserve">NAPS </w:t>
      </w:r>
      <w:r w:rsidRPr="00B67DD8">
        <w:t>contributor facilities, 20</w:t>
      </w:r>
      <w:r>
        <w:t>21</w:t>
      </w:r>
    </w:p>
    <w:tbl>
      <w:tblPr>
        <w:tblW w:w="9214" w:type="dxa"/>
        <w:tblLayout w:type="fixed"/>
        <w:tblLook w:val="04A0" w:firstRow="1" w:lastRow="0" w:firstColumn="1" w:lastColumn="0" w:noHBand="0" w:noVBand="1"/>
      </w:tblPr>
      <w:tblGrid>
        <w:gridCol w:w="3420"/>
        <w:gridCol w:w="1017"/>
        <w:gridCol w:w="1183"/>
        <w:gridCol w:w="1184"/>
        <w:gridCol w:w="993"/>
        <w:gridCol w:w="708"/>
        <w:gridCol w:w="709"/>
      </w:tblGrid>
      <w:tr w:rsidR="00572F25" w:rsidRPr="008528C0" w14:paraId="661CC17E" w14:textId="77777777" w:rsidTr="00140544">
        <w:trPr>
          <w:trHeight w:val="1100"/>
          <w:tblHeader/>
        </w:trPr>
        <w:tc>
          <w:tcPr>
            <w:tcW w:w="3420" w:type="dxa"/>
            <w:vMerge w:val="restart"/>
            <w:tcBorders>
              <w:top w:val="single" w:sz="8" w:space="0" w:color="BCBEC0"/>
              <w:left w:val="nil"/>
              <w:bottom w:val="nil"/>
              <w:right w:val="nil"/>
            </w:tcBorders>
            <w:shd w:val="clear" w:color="000000" w:fill="6DB2AD"/>
            <w:noWrap/>
            <w:vAlign w:val="center"/>
            <w:hideMark/>
          </w:tcPr>
          <w:p w14:paraId="4D7D782F" w14:textId="77777777" w:rsidR="00572F25" w:rsidRPr="00774C15" w:rsidRDefault="00572F25" w:rsidP="00140544">
            <w:pPr>
              <w:spacing w:after="0"/>
              <w:rPr>
                <w:rFonts w:cs="Arial"/>
                <w:color w:val="auto"/>
                <w:sz w:val="19"/>
                <w:szCs w:val="19"/>
              </w:rPr>
            </w:pPr>
            <w:r w:rsidRPr="00774C15">
              <w:rPr>
                <w:rFonts w:cs="Arial"/>
                <w:color w:val="auto"/>
                <w:sz w:val="19"/>
                <w:szCs w:val="19"/>
              </w:rPr>
              <w:t>Procedure group</w:t>
            </w:r>
          </w:p>
        </w:tc>
        <w:tc>
          <w:tcPr>
            <w:tcW w:w="1017" w:type="dxa"/>
            <w:tcBorders>
              <w:top w:val="single" w:sz="8" w:space="0" w:color="BCBEC0"/>
              <w:left w:val="nil"/>
              <w:bottom w:val="nil"/>
              <w:right w:val="nil"/>
            </w:tcBorders>
            <w:shd w:val="clear" w:color="000000" w:fill="6DB2AD"/>
            <w:vAlign w:val="center"/>
            <w:hideMark/>
          </w:tcPr>
          <w:p w14:paraId="61788634" w14:textId="77777777" w:rsidR="00572F25" w:rsidRPr="00774C15" w:rsidRDefault="00572F25" w:rsidP="00140544">
            <w:pPr>
              <w:spacing w:after="0"/>
              <w:jc w:val="center"/>
              <w:rPr>
                <w:rFonts w:cs="Arial"/>
                <w:color w:val="auto"/>
                <w:sz w:val="20"/>
                <w:szCs w:val="20"/>
              </w:rPr>
            </w:pPr>
            <w:r w:rsidRPr="00774C15">
              <w:rPr>
                <w:rFonts w:cs="Arial"/>
                <w:color w:val="auto"/>
                <w:sz w:val="20"/>
                <w:szCs w:val="20"/>
              </w:rPr>
              <w:t>Surgical episodes</w:t>
            </w:r>
          </w:p>
        </w:tc>
        <w:tc>
          <w:tcPr>
            <w:tcW w:w="2367" w:type="dxa"/>
            <w:gridSpan w:val="2"/>
            <w:tcBorders>
              <w:top w:val="single" w:sz="8" w:space="0" w:color="BCBEC0"/>
              <w:left w:val="nil"/>
              <w:right w:val="single" w:sz="8" w:space="0" w:color="00A79D"/>
            </w:tcBorders>
            <w:shd w:val="clear" w:color="000000" w:fill="6DB2AD"/>
            <w:noWrap/>
            <w:vAlign w:val="center"/>
            <w:hideMark/>
          </w:tcPr>
          <w:p w14:paraId="67C15EA4" w14:textId="77777777" w:rsidR="00572F25" w:rsidRPr="00774C15" w:rsidRDefault="00572F25" w:rsidP="00140544">
            <w:pPr>
              <w:spacing w:after="0"/>
              <w:jc w:val="center"/>
              <w:rPr>
                <w:rFonts w:cs="Arial"/>
                <w:color w:val="auto"/>
                <w:sz w:val="20"/>
                <w:szCs w:val="20"/>
              </w:rPr>
            </w:pPr>
            <w:r w:rsidRPr="00774C15">
              <w:rPr>
                <w:rFonts w:cs="Arial"/>
                <w:color w:val="auto"/>
                <w:sz w:val="20"/>
                <w:szCs w:val="20"/>
              </w:rPr>
              <w:t>At least one antimicrobial prescribed</w:t>
            </w:r>
          </w:p>
        </w:tc>
        <w:tc>
          <w:tcPr>
            <w:tcW w:w="993" w:type="dxa"/>
            <w:tcBorders>
              <w:top w:val="single" w:sz="8" w:space="0" w:color="BCBEC0"/>
              <w:left w:val="single" w:sz="8" w:space="0" w:color="00A79D"/>
              <w:bottom w:val="nil"/>
              <w:right w:val="nil"/>
            </w:tcBorders>
            <w:shd w:val="clear" w:color="000000" w:fill="6DB2AD"/>
            <w:vAlign w:val="center"/>
            <w:hideMark/>
          </w:tcPr>
          <w:p w14:paraId="0058AD0C" w14:textId="77777777" w:rsidR="00572F25" w:rsidRPr="00774C15" w:rsidRDefault="00572F25" w:rsidP="00140544">
            <w:pPr>
              <w:spacing w:after="0"/>
              <w:jc w:val="center"/>
              <w:rPr>
                <w:rFonts w:cs="Arial"/>
                <w:color w:val="auto"/>
                <w:sz w:val="20"/>
                <w:szCs w:val="20"/>
              </w:rPr>
            </w:pPr>
            <w:r w:rsidRPr="00774C15">
              <w:rPr>
                <w:rFonts w:cs="Arial"/>
                <w:color w:val="auto"/>
                <w:sz w:val="20"/>
                <w:szCs w:val="20"/>
              </w:rPr>
              <w:t xml:space="preserve">Total </w:t>
            </w:r>
            <w:proofErr w:type="spellStart"/>
            <w:r w:rsidR="00440D0B">
              <w:rPr>
                <w:rFonts w:cs="Arial"/>
                <w:color w:val="auto"/>
                <w:sz w:val="20"/>
                <w:szCs w:val="20"/>
              </w:rPr>
              <w:t>prescrip-tions</w:t>
            </w:r>
            <w:proofErr w:type="spellEnd"/>
          </w:p>
        </w:tc>
        <w:tc>
          <w:tcPr>
            <w:tcW w:w="1417" w:type="dxa"/>
            <w:gridSpan w:val="2"/>
            <w:tcBorders>
              <w:top w:val="single" w:sz="8" w:space="0" w:color="BCBEC0"/>
              <w:left w:val="nil"/>
              <w:bottom w:val="nil"/>
              <w:right w:val="nil"/>
            </w:tcBorders>
            <w:shd w:val="clear" w:color="000000" w:fill="6DB2AD"/>
            <w:vAlign w:val="center"/>
            <w:hideMark/>
          </w:tcPr>
          <w:p w14:paraId="64F35550" w14:textId="77777777" w:rsidR="00572F25" w:rsidRPr="00774C15" w:rsidRDefault="00572F25" w:rsidP="00140544">
            <w:pPr>
              <w:spacing w:after="0"/>
              <w:jc w:val="center"/>
              <w:rPr>
                <w:rFonts w:cs="Arial"/>
                <w:color w:val="auto"/>
                <w:sz w:val="20"/>
                <w:szCs w:val="20"/>
              </w:rPr>
            </w:pPr>
            <w:r w:rsidRPr="00774C15">
              <w:rPr>
                <w:rFonts w:cs="Arial"/>
                <w:color w:val="auto"/>
                <w:sz w:val="20"/>
                <w:szCs w:val="20"/>
              </w:rPr>
              <w:t>Inappropriate</w:t>
            </w:r>
          </w:p>
        </w:tc>
      </w:tr>
      <w:tr w:rsidR="00572F25" w:rsidRPr="008528C0" w14:paraId="736E3FE3" w14:textId="77777777" w:rsidTr="00140544">
        <w:trPr>
          <w:trHeight w:val="300"/>
          <w:tblHeader/>
        </w:trPr>
        <w:tc>
          <w:tcPr>
            <w:tcW w:w="3420" w:type="dxa"/>
            <w:vMerge/>
            <w:tcBorders>
              <w:top w:val="single" w:sz="8" w:space="0" w:color="BCBEC0"/>
              <w:left w:val="nil"/>
              <w:bottom w:val="nil"/>
              <w:right w:val="nil"/>
            </w:tcBorders>
            <w:vAlign w:val="center"/>
            <w:hideMark/>
          </w:tcPr>
          <w:p w14:paraId="7837E86B" w14:textId="77777777" w:rsidR="00572F25" w:rsidRPr="00774C15" w:rsidRDefault="00572F25" w:rsidP="00140544">
            <w:pPr>
              <w:spacing w:after="0"/>
              <w:rPr>
                <w:rFonts w:cs="Arial"/>
                <w:color w:val="auto"/>
                <w:sz w:val="19"/>
                <w:szCs w:val="19"/>
              </w:rPr>
            </w:pPr>
          </w:p>
        </w:tc>
        <w:tc>
          <w:tcPr>
            <w:tcW w:w="1017" w:type="dxa"/>
            <w:tcBorders>
              <w:top w:val="nil"/>
              <w:left w:val="nil"/>
              <w:bottom w:val="nil"/>
              <w:right w:val="nil"/>
            </w:tcBorders>
            <w:shd w:val="clear" w:color="000000" w:fill="6DB2AD"/>
            <w:noWrap/>
            <w:vAlign w:val="center"/>
            <w:hideMark/>
          </w:tcPr>
          <w:p w14:paraId="13DC556C" w14:textId="77777777" w:rsidR="00572F25" w:rsidRPr="00774C15" w:rsidRDefault="00572F25" w:rsidP="00140544">
            <w:pPr>
              <w:spacing w:after="0"/>
              <w:jc w:val="center"/>
              <w:rPr>
                <w:rFonts w:cs="Arial"/>
                <w:color w:val="auto"/>
                <w:sz w:val="20"/>
                <w:szCs w:val="20"/>
              </w:rPr>
            </w:pPr>
            <w:r w:rsidRPr="00774C15">
              <w:rPr>
                <w:rFonts w:cs="Arial"/>
                <w:color w:val="auto"/>
                <w:sz w:val="20"/>
                <w:szCs w:val="20"/>
              </w:rPr>
              <w:t>(n)</w:t>
            </w:r>
          </w:p>
        </w:tc>
        <w:tc>
          <w:tcPr>
            <w:tcW w:w="2367" w:type="dxa"/>
            <w:gridSpan w:val="2"/>
            <w:tcBorders>
              <w:top w:val="nil"/>
              <w:left w:val="nil"/>
              <w:bottom w:val="nil"/>
              <w:right w:val="single" w:sz="8" w:space="0" w:color="00A79D"/>
            </w:tcBorders>
            <w:shd w:val="clear" w:color="000000" w:fill="6DB2AD"/>
            <w:noWrap/>
            <w:vAlign w:val="center"/>
            <w:hideMark/>
          </w:tcPr>
          <w:p w14:paraId="06C5D027" w14:textId="77777777" w:rsidR="00572F25" w:rsidRPr="00774C15" w:rsidRDefault="00572F25" w:rsidP="00140544">
            <w:pPr>
              <w:spacing w:after="0"/>
              <w:jc w:val="center"/>
              <w:rPr>
                <w:rFonts w:cs="Arial"/>
                <w:color w:val="auto"/>
                <w:sz w:val="20"/>
                <w:szCs w:val="20"/>
              </w:rPr>
            </w:pPr>
            <w:r w:rsidRPr="00774C15">
              <w:rPr>
                <w:rFonts w:cs="Arial"/>
                <w:color w:val="auto"/>
                <w:sz w:val="20"/>
                <w:szCs w:val="20"/>
              </w:rPr>
              <w:t>(n) (%)</w:t>
            </w:r>
          </w:p>
        </w:tc>
        <w:tc>
          <w:tcPr>
            <w:tcW w:w="993" w:type="dxa"/>
            <w:tcBorders>
              <w:top w:val="nil"/>
              <w:left w:val="nil"/>
              <w:bottom w:val="nil"/>
              <w:right w:val="nil"/>
            </w:tcBorders>
            <w:shd w:val="clear" w:color="000000" w:fill="6DB2AD"/>
            <w:vAlign w:val="center"/>
            <w:hideMark/>
          </w:tcPr>
          <w:p w14:paraId="6DCF1952" w14:textId="77777777" w:rsidR="00572F25" w:rsidRPr="00774C15" w:rsidRDefault="00572F25" w:rsidP="00140544">
            <w:pPr>
              <w:spacing w:after="0"/>
              <w:jc w:val="center"/>
              <w:rPr>
                <w:rFonts w:cs="Arial"/>
                <w:color w:val="auto"/>
                <w:sz w:val="20"/>
                <w:szCs w:val="20"/>
              </w:rPr>
            </w:pPr>
            <w:r w:rsidRPr="00774C15">
              <w:rPr>
                <w:rFonts w:cs="Arial"/>
                <w:color w:val="auto"/>
                <w:sz w:val="20"/>
                <w:szCs w:val="20"/>
              </w:rPr>
              <w:t>(n)</w:t>
            </w:r>
          </w:p>
        </w:tc>
        <w:tc>
          <w:tcPr>
            <w:tcW w:w="1417" w:type="dxa"/>
            <w:gridSpan w:val="2"/>
            <w:tcBorders>
              <w:top w:val="nil"/>
              <w:left w:val="nil"/>
              <w:bottom w:val="nil"/>
              <w:right w:val="nil"/>
            </w:tcBorders>
            <w:shd w:val="clear" w:color="000000" w:fill="6DB2AD"/>
            <w:vAlign w:val="center"/>
            <w:hideMark/>
          </w:tcPr>
          <w:p w14:paraId="3D0B3E9F" w14:textId="77777777" w:rsidR="00572F25" w:rsidRPr="00774C15" w:rsidRDefault="00572F25" w:rsidP="00140544">
            <w:pPr>
              <w:spacing w:after="0"/>
              <w:jc w:val="center"/>
              <w:rPr>
                <w:rFonts w:cs="Arial"/>
                <w:color w:val="auto"/>
                <w:sz w:val="20"/>
                <w:szCs w:val="20"/>
              </w:rPr>
            </w:pPr>
            <w:r w:rsidRPr="00774C15">
              <w:rPr>
                <w:rFonts w:cs="Arial"/>
                <w:color w:val="auto"/>
                <w:sz w:val="20"/>
                <w:szCs w:val="20"/>
              </w:rPr>
              <w:t>(n) (%)</w:t>
            </w:r>
          </w:p>
        </w:tc>
      </w:tr>
      <w:tr w:rsidR="00572F25" w:rsidRPr="008528C0" w14:paraId="13E861F3" w14:textId="77777777" w:rsidTr="00140544">
        <w:trPr>
          <w:trHeight w:val="300"/>
        </w:trPr>
        <w:tc>
          <w:tcPr>
            <w:tcW w:w="3420" w:type="dxa"/>
            <w:tcBorders>
              <w:top w:val="nil"/>
              <w:left w:val="nil"/>
              <w:bottom w:val="nil"/>
              <w:right w:val="nil"/>
            </w:tcBorders>
            <w:shd w:val="clear" w:color="auto" w:fill="auto"/>
            <w:noWrap/>
            <w:vAlign w:val="center"/>
            <w:hideMark/>
          </w:tcPr>
          <w:p w14:paraId="6795D768" w14:textId="77777777" w:rsidR="00572F25" w:rsidRPr="008528C0" w:rsidRDefault="00572F25" w:rsidP="00140544">
            <w:pPr>
              <w:spacing w:after="0"/>
              <w:rPr>
                <w:rFonts w:cs="Arial"/>
                <w:color w:val="000000"/>
                <w:sz w:val="18"/>
                <w:szCs w:val="18"/>
              </w:rPr>
            </w:pPr>
            <w:r w:rsidRPr="008528C0">
              <w:rPr>
                <w:rFonts w:cs="Arial"/>
                <w:color w:val="000000"/>
                <w:sz w:val="18"/>
                <w:szCs w:val="18"/>
              </w:rPr>
              <w:t>Orthopaedic surgery</w:t>
            </w:r>
          </w:p>
        </w:tc>
        <w:tc>
          <w:tcPr>
            <w:tcW w:w="1017" w:type="dxa"/>
            <w:tcBorders>
              <w:top w:val="nil"/>
              <w:left w:val="nil"/>
              <w:bottom w:val="nil"/>
              <w:right w:val="nil"/>
            </w:tcBorders>
            <w:shd w:val="clear" w:color="auto" w:fill="auto"/>
            <w:noWrap/>
            <w:vAlign w:val="center"/>
            <w:hideMark/>
          </w:tcPr>
          <w:p w14:paraId="7A759901" w14:textId="77777777" w:rsidR="00572F25" w:rsidRPr="008528C0" w:rsidRDefault="00572F25" w:rsidP="00140544">
            <w:pPr>
              <w:spacing w:after="0"/>
              <w:jc w:val="center"/>
              <w:rPr>
                <w:rFonts w:cs="Arial"/>
                <w:color w:val="000000"/>
                <w:sz w:val="18"/>
                <w:szCs w:val="18"/>
              </w:rPr>
            </w:pPr>
            <w:r w:rsidRPr="008528C0">
              <w:rPr>
                <w:rFonts w:cs="Arial"/>
                <w:color w:val="000000"/>
                <w:sz w:val="18"/>
                <w:szCs w:val="18"/>
              </w:rPr>
              <w:t>2,293</w:t>
            </w:r>
          </w:p>
        </w:tc>
        <w:tc>
          <w:tcPr>
            <w:tcW w:w="1183" w:type="dxa"/>
            <w:tcBorders>
              <w:top w:val="nil"/>
              <w:left w:val="nil"/>
              <w:bottom w:val="nil"/>
              <w:right w:val="nil"/>
            </w:tcBorders>
            <w:shd w:val="clear" w:color="auto" w:fill="auto"/>
            <w:noWrap/>
            <w:vAlign w:val="center"/>
            <w:hideMark/>
          </w:tcPr>
          <w:p w14:paraId="0C7BAE9B" w14:textId="77777777" w:rsidR="00572F25" w:rsidRPr="008528C0" w:rsidRDefault="00572F25" w:rsidP="00140544">
            <w:pPr>
              <w:spacing w:after="0"/>
              <w:jc w:val="right"/>
              <w:rPr>
                <w:rFonts w:cs="Arial"/>
                <w:color w:val="000000"/>
                <w:sz w:val="18"/>
                <w:szCs w:val="18"/>
              </w:rPr>
            </w:pPr>
            <w:r w:rsidRPr="008528C0">
              <w:rPr>
                <w:rFonts w:cs="Arial"/>
                <w:color w:val="000000"/>
                <w:sz w:val="18"/>
                <w:szCs w:val="18"/>
              </w:rPr>
              <w:t>1,619</w:t>
            </w:r>
          </w:p>
        </w:tc>
        <w:tc>
          <w:tcPr>
            <w:tcW w:w="1184" w:type="dxa"/>
            <w:tcBorders>
              <w:top w:val="nil"/>
              <w:left w:val="nil"/>
              <w:bottom w:val="nil"/>
              <w:right w:val="single" w:sz="8" w:space="0" w:color="00A79D"/>
            </w:tcBorders>
            <w:shd w:val="clear" w:color="auto" w:fill="auto"/>
            <w:noWrap/>
            <w:vAlign w:val="center"/>
            <w:hideMark/>
          </w:tcPr>
          <w:p w14:paraId="7FE631DE" w14:textId="77777777" w:rsidR="00572F25" w:rsidRPr="008528C0" w:rsidRDefault="00572F25" w:rsidP="00140544">
            <w:pPr>
              <w:spacing w:after="0"/>
              <w:rPr>
                <w:rFonts w:cs="Arial"/>
                <w:color w:val="000000"/>
                <w:sz w:val="18"/>
                <w:szCs w:val="18"/>
              </w:rPr>
            </w:pPr>
            <w:r>
              <w:rPr>
                <w:rFonts w:cs="Arial"/>
                <w:color w:val="000000"/>
                <w:sz w:val="18"/>
                <w:szCs w:val="18"/>
              </w:rPr>
              <w:t>70.6</w:t>
            </w:r>
          </w:p>
        </w:tc>
        <w:tc>
          <w:tcPr>
            <w:tcW w:w="993" w:type="dxa"/>
            <w:tcBorders>
              <w:top w:val="nil"/>
              <w:left w:val="nil"/>
              <w:bottom w:val="nil"/>
              <w:right w:val="nil"/>
            </w:tcBorders>
            <w:shd w:val="clear" w:color="auto" w:fill="auto"/>
            <w:noWrap/>
            <w:vAlign w:val="center"/>
            <w:hideMark/>
          </w:tcPr>
          <w:p w14:paraId="3D140F61" w14:textId="77777777" w:rsidR="00572F25" w:rsidRPr="008528C0" w:rsidRDefault="00572F25" w:rsidP="00140544">
            <w:pPr>
              <w:spacing w:after="0"/>
              <w:jc w:val="center"/>
              <w:rPr>
                <w:rFonts w:cs="Arial"/>
                <w:color w:val="000000"/>
                <w:sz w:val="18"/>
                <w:szCs w:val="18"/>
              </w:rPr>
            </w:pPr>
            <w:r w:rsidRPr="008528C0">
              <w:rPr>
                <w:rFonts w:cs="Arial"/>
                <w:color w:val="000000"/>
                <w:sz w:val="18"/>
                <w:szCs w:val="18"/>
              </w:rPr>
              <w:t>1,713</w:t>
            </w:r>
          </w:p>
        </w:tc>
        <w:tc>
          <w:tcPr>
            <w:tcW w:w="708" w:type="dxa"/>
            <w:tcBorders>
              <w:top w:val="nil"/>
              <w:left w:val="nil"/>
              <w:bottom w:val="nil"/>
              <w:right w:val="nil"/>
            </w:tcBorders>
            <w:shd w:val="clear" w:color="auto" w:fill="auto"/>
            <w:noWrap/>
            <w:vAlign w:val="center"/>
            <w:hideMark/>
          </w:tcPr>
          <w:p w14:paraId="459ECE49" w14:textId="77777777" w:rsidR="00572F25" w:rsidRPr="008528C0" w:rsidRDefault="00572F25" w:rsidP="00140544">
            <w:pPr>
              <w:spacing w:after="0"/>
              <w:jc w:val="right"/>
              <w:rPr>
                <w:rFonts w:cs="Arial"/>
                <w:color w:val="000000"/>
                <w:sz w:val="18"/>
                <w:szCs w:val="18"/>
              </w:rPr>
            </w:pPr>
            <w:r w:rsidRPr="008528C0">
              <w:rPr>
                <w:rFonts w:cs="Arial"/>
                <w:color w:val="000000"/>
                <w:sz w:val="18"/>
                <w:szCs w:val="18"/>
              </w:rPr>
              <w:t>934</w:t>
            </w:r>
          </w:p>
        </w:tc>
        <w:tc>
          <w:tcPr>
            <w:tcW w:w="709" w:type="dxa"/>
            <w:tcBorders>
              <w:top w:val="nil"/>
              <w:left w:val="nil"/>
              <w:bottom w:val="nil"/>
              <w:right w:val="nil"/>
            </w:tcBorders>
            <w:shd w:val="clear" w:color="auto" w:fill="auto"/>
            <w:vAlign w:val="center"/>
            <w:hideMark/>
          </w:tcPr>
          <w:p w14:paraId="785C9C62" w14:textId="77777777" w:rsidR="00572F25" w:rsidRPr="008528C0" w:rsidRDefault="00572F25" w:rsidP="00140544">
            <w:pPr>
              <w:spacing w:after="0"/>
              <w:rPr>
                <w:rFonts w:cs="Arial"/>
                <w:color w:val="000000"/>
                <w:sz w:val="18"/>
                <w:szCs w:val="18"/>
              </w:rPr>
            </w:pPr>
            <w:r w:rsidRPr="008528C0">
              <w:rPr>
                <w:rFonts w:cs="Arial"/>
                <w:color w:val="000000"/>
                <w:sz w:val="18"/>
                <w:szCs w:val="18"/>
              </w:rPr>
              <w:t>54.5</w:t>
            </w:r>
          </w:p>
        </w:tc>
      </w:tr>
      <w:tr w:rsidR="00572F25" w:rsidRPr="008528C0" w14:paraId="76119965" w14:textId="77777777" w:rsidTr="00140544">
        <w:trPr>
          <w:trHeight w:val="300"/>
        </w:trPr>
        <w:tc>
          <w:tcPr>
            <w:tcW w:w="3420" w:type="dxa"/>
            <w:tcBorders>
              <w:top w:val="nil"/>
              <w:left w:val="nil"/>
              <w:bottom w:val="nil"/>
              <w:right w:val="nil"/>
            </w:tcBorders>
            <w:shd w:val="clear" w:color="000000" w:fill="F1F1F2"/>
            <w:noWrap/>
            <w:vAlign w:val="center"/>
            <w:hideMark/>
          </w:tcPr>
          <w:p w14:paraId="550274FA" w14:textId="77777777" w:rsidR="00572F25" w:rsidRPr="008528C0" w:rsidRDefault="00572F25" w:rsidP="00140544">
            <w:pPr>
              <w:spacing w:after="0"/>
              <w:rPr>
                <w:rFonts w:cs="Arial"/>
                <w:color w:val="000000"/>
                <w:sz w:val="18"/>
                <w:szCs w:val="18"/>
              </w:rPr>
            </w:pPr>
            <w:r w:rsidRPr="008528C0">
              <w:rPr>
                <w:rFonts w:cs="Arial"/>
                <w:color w:val="000000"/>
                <w:sz w:val="18"/>
                <w:szCs w:val="18"/>
              </w:rPr>
              <w:t>Abdominal surgery</w:t>
            </w:r>
          </w:p>
        </w:tc>
        <w:tc>
          <w:tcPr>
            <w:tcW w:w="1017" w:type="dxa"/>
            <w:tcBorders>
              <w:top w:val="nil"/>
              <w:left w:val="nil"/>
              <w:bottom w:val="nil"/>
              <w:right w:val="nil"/>
            </w:tcBorders>
            <w:shd w:val="clear" w:color="000000" w:fill="F1F1F2"/>
            <w:noWrap/>
            <w:vAlign w:val="center"/>
            <w:hideMark/>
          </w:tcPr>
          <w:p w14:paraId="5A4E8285" w14:textId="77777777" w:rsidR="00572F25" w:rsidRPr="008528C0" w:rsidRDefault="00572F25" w:rsidP="00140544">
            <w:pPr>
              <w:spacing w:after="0"/>
              <w:jc w:val="center"/>
              <w:rPr>
                <w:rFonts w:cs="Arial"/>
                <w:color w:val="000000"/>
                <w:sz w:val="18"/>
                <w:szCs w:val="18"/>
              </w:rPr>
            </w:pPr>
            <w:r w:rsidRPr="008528C0">
              <w:rPr>
                <w:rFonts w:cs="Arial"/>
                <w:color w:val="000000"/>
                <w:sz w:val="18"/>
                <w:szCs w:val="18"/>
              </w:rPr>
              <w:t>1,369</w:t>
            </w:r>
          </w:p>
        </w:tc>
        <w:tc>
          <w:tcPr>
            <w:tcW w:w="1183" w:type="dxa"/>
            <w:tcBorders>
              <w:top w:val="nil"/>
              <w:left w:val="nil"/>
              <w:bottom w:val="nil"/>
              <w:right w:val="nil"/>
            </w:tcBorders>
            <w:shd w:val="clear" w:color="000000" w:fill="F1F1F2"/>
            <w:noWrap/>
            <w:vAlign w:val="center"/>
            <w:hideMark/>
          </w:tcPr>
          <w:p w14:paraId="10F21125" w14:textId="77777777" w:rsidR="00572F25" w:rsidRPr="008528C0" w:rsidRDefault="00572F25" w:rsidP="00140544">
            <w:pPr>
              <w:spacing w:after="0"/>
              <w:jc w:val="right"/>
              <w:rPr>
                <w:rFonts w:cs="Arial"/>
                <w:color w:val="000000"/>
                <w:sz w:val="18"/>
                <w:szCs w:val="18"/>
              </w:rPr>
            </w:pPr>
            <w:r w:rsidRPr="008528C0">
              <w:rPr>
                <w:rFonts w:cs="Arial"/>
                <w:color w:val="000000"/>
                <w:sz w:val="18"/>
                <w:szCs w:val="18"/>
              </w:rPr>
              <w:t>172</w:t>
            </w:r>
          </w:p>
        </w:tc>
        <w:tc>
          <w:tcPr>
            <w:tcW w:w="1184" w:type="dxa"/>
            <w:tcBorders>
              <w:top w:val="nil"/>
              <w:left w:val="nil"/>
              <w:bottom w:val="nil"/>
              <w:right w:val="single" w:sz="8" w:space="0" w:color="00A79D"/>
            </w:tcBorders>
            <w:shd w:val="clear" w:color="000000" w:fill="F1F1F2"/>
            <w:noWrap/>
            <w:vAlign w:val="center"/>
            <w:hideMark/>
          </w:tcPr>
          <w:p w14:paraId="31887057" w14:textId="77777777" w:rsidR="00572F25" w:rsidRPr="008528C0" w:rsidRDefault="00572F25" w:rsidP="00140544">
            <w:pPr>
              <w:spacing w:after="0"/>
              <w:rPr>
                <w:rFonts w:cs="Arial"/>
                <w:color w:val="000000"/>
                <w:sz w:val="18"/>
                <w:szCs w:val="18"/>
              </w:rPr>
            </w:pPr>
            <w:r>
              <w:rPr>
                <w:rFonts w:cs="Arial"/>
                <w:color w:val="000000"/>
                <w:sz w:val="18"/>
                <w:szCs w:val="18"/>
              </w:rPr>
              <w:t>12.6</w:t>
            </w:r>
          </w:p>
        </w:tc>
        <w:tc>
          <w:tcPr>
            <w:tcW w:w="993" w:type="dxa"/>
            <w:tcBorders>
              <w:top w:val="nil"/>
              <w:left w:val="nil"/>
              <w:bottom w:val="nil"/>
              <w:right w:val="nil"/>
            </w:tcBorders>
            <w:shd w:val="clear" w:color="000000" w:fill="F1F1F2"/>
            <w:noWrap/>
            <w:vAlign w:val="center"/>
            <w:hideMark/>
          </w:tcPr>
          <w:p w14:paraId="5A4A8069" w14:textId="77777777" w:rsidR="00572F25" w:rsidRPr="008528C0" w:rsidRDefault="00572F25" w:rsidP="00140544">
            <w:pPr>
              <w:spacing w:after="0"/>
              <w:jc w:val="center"/>
              <w:rPr>
                <w:rFonts w:cs="Arial"/>
                <w:color w:val="000000"/>
                <w:sz w:val="18"/>
                <w:szCs w:val="18"/>
              </w:rPr>
            </w:pPr>
            <w:r w:rsidRPr="008528C0">
              <w:rPr>
                <w:rFonts w:cs="Arial"/>
                <w:color w:val="000000"/>
                <w:sz w:val="18"/>
                <w:szCs w:val="18"/>
              </w:rPr>
              <w:t>247</w:t>
            </w:r>
          </w:p>
        </w:tc>
        <w:tc>
          <w:tcPr>
            <w:tcW w:w="708" w:type="dxa"/>
            <w:tcBorders>
              <w:top w:val="nil"/>
              <w:left w:val="nil"/>
              <w:bottom w:val="nil"/>
              <w:right w:val="nil"/>
            </w:tcBorders>
            <w:shd w:val="clear" w:color="000000" w:fill="F1F1F2"/>
            <w:noWrap/>
            <w:vAlign w:val="center"/>
            <w:hideMark/>
          </w:tcPr>
          <w:p w14:paraId="772D2EEE" w14:textId="77777777" w:rsidR="00572F25" w:rsidRPr="008528C0" w:rsidRDefault="00572F25" w:rsidP="00140544">
            <w:pPr>
              <w:spacing w:after="0"/>
              <w:jc w:val="right"/>
              <w:rPr>
                <w:rFonts w:cs="Arial"/>
                <w:color w:val="000000"/>
                <w:sz w:val="18"/>
                <w:szCs w:val="18"/>
              </w:rPr>
            </w:pPr>
            <w:r w:rsidRPr="008528C0">
              <w:rPr>
                <w:rFonts w:cs="Arial"/>
                <w:color w:val="000000"/>
                <w:sz w:val="18"/>
                <w:szCs w:val="18"/>
              </w:rPr>
              <w:t>180</w:t>
            </w:r>
          </w:p>
        </w:tc>
        <w:tc>
          <w:tcPr>
            <w:tcW w:w="709" w:type="dxa"/>
            <w:tcBorders>
              <w:top w:val="nil"/>
              <w:left w:val="nil"/>
              <w:bottom w:val="nil"/>
              <w:right w:val="nil"/>
            </w:tcBorders>
            <w:shd w:val="clear" w:color="000000" w:fill="F1F1F2"/>
            <w:vAlign w:val="center"/>
            <w:hideMark/>
          </w:tcPr>
          <w:p w14:paraId="1B6E6B28" w14:textId="77777777" w:rsidR="00572F25" w:rsidRPr="008528C0" w:rsidRDefault="00572F25" w:rsidP="00140544">
            <w:pPr>
              <w:spacing w:after="0"/>
              <w:rPr>
                <w:rFonts w:cs="Arial"/>
                <w:color w:val="000000"/>
                <w:sz w:val="18"/>
                <w:szCs w:val="18"/>
              </w:rPr>
            </w:pPr>
            <w:r w:rsidRPr="008528C0">
              <w:rPr>
                <w:rFonts w:cs="Arial"/>
                <w:color w:val="000000"/>
                <w:sz w:val="18"/>
                <w:szCs w:val="18"/>
              </w:rPr>
              <w:t>72.9</w:t>
            </w:r>
          </w:p>
        </w:tc>
      </w:tr>
      <w:tr w:rsidR="00572F25" w:rsidRPr="008528C0" w14:paraId="587EAF4A" w14:textId="77777777" w:rsidTr="00140544">
        <w:trPr>
          <w:trHeight w:val="300"/>
        </w:trPr>
        <w:tc>
          <w:tcPr>
            <w:tcW w:w="3420" w:type="dxa"/>
            <w:tcBorders>
              <w:top w:val="nil"/>
              <w:left w:val="nil"/>
              <w:bottom w:val="nil"/>
              <w:right w:val="nil"/>
            </w:tcBorders>
            <w:shd w:val="clear" w:color="auto" w:fill="auto"/>
            <w:noWrap/>
            <w:vAlign w:val="center"/>
            <w:hideMark/>
          </w:tcPr>
          <w:p w14:paraId="1C36BCEB" w14:textId="77777777" w:rsidR="00572F25" w:rsidRPr="008528C0" w:rsidRDefault="00572F25" w:rsidP="00140544">
            <w:pPr>
              <w:spacing w:after="0"/>
              <w:rPr>
                <w:rFonts w:cs="Arial"/>
                <w:color w:val="000000"/>
                <w:sz w:val="18"/>
                <w:szCs w:val="18"/>
              </w:rPr>
            </w:pPr>
            <w:r w:rsidRPr="008528C0">
              <w:rPr>
                <w:rFonts w:cs="Arial"/>
                <w:color w:val="000000"/>
                <w:sz w:val="18"/>
                <w:szCs w:val="18"/>
              </w:rPr>
              <w:t>Obstetrics</w:t>
            </w:r>
          </w:p>
        </w:tc>
        <w:tc>
          <w:tcPr>
            <w:tcW w:w="1017" w:type="dxa"/>
            <w:tcBorders>
              <w:top w:val="nil"/>
              <w:left w:val="nil"/>
              <w:bottom w:val="nil"/>
              <w:right w:val="nil"/>
            </w:tcBorders>
            <w:shd w:val="clear" w:color="auto" w:fill="auto"/>
            <w:noWrap/>
            <w:vAlign w:val="center"/>
            <w:hideMark/>
          </w:tcPr>
          <w:p w14:paraId="7AFA3558" w14:textId="77777777" w:rsidR="00572F25" w:rsidRPr="008528C0" w:rsidRDefault="00572F25" w:rsidP="00140544">
            <w:pPr>
              <w:spacing w:after="0"/>
              <w:jc w:val="center"/>
              <w:rPr>
                <w:rFonts w:cs="Arial"/>
                <w:color w:val="000000"/>
                <w:sz w:val="18"/>
                <w:szCs w:val="18"/>
              </w:rPr>
            </w:pPr>
            <w:r w:rsidRPr="008528C0">
              <w:rPr>
                <w:rFonts w:cs="Arial"/>
                <w:color w:val="000000"/>
                <w:sz w:val="18"/>
                <w:szCs w:val="18"/>
              </w:rPr>
              <w:t>1,180</w:t>
            </w:r>
          </w:p>
        </w:tc>
        <w:tc>
          <w:tcPr>
            <w:tcW w:w="1183" w:type="dxa"/>
            <w:tcBorders>
              <w:top w:val="nil"/>
              <w:left w:val="nil"/>
              <w:bottom w:val="nil"/>
              <w:right w:val="nil"/>
            </w:tcBorders>
            <w:shd w:val="clear" w:color="auto" w:fill="auto"/>
            <w:noWrap/>
            <w:vAlign w:val="center"/>
            <w:hideMark/>
          </w:tcPr>
          <w:p w14:paraId="6BDD7717" w14:textId="77777777" w:rsidR="00572F25" w:rsidRPr="008528C0" w:rsidRDefault="00572F25" w:rsidP="00140544">
            <w:pPr>
              <w:spacing w:after="0"/>
              <w:jc w:val="right"/>
              <w:rPr>
                <w:rFonts w:cs="Arial"/>
                <w:color w:val="000000"/>
                <w:sz w:val="18"/>
                <w:szCs w:val="18"/>
              </w:rPr>
            </w:pPr>
            <w:r w:rsidRPr="008528C0">
              <w:rPr>
                <w:rFonts w:cs="Arial"/>
                <w:color w:val="000000"/>
                <w:sz w:val="18"/>
                <w:szCs w:val="18"/>
              </w:rPr>
              <w:t>49</w:t>
            </w:r>
          </w:p>
        </w:tc>
        <w:tc>
          <w:tcPr>
            <w:tcW w:w="1184" w:type="dxa"/>
            <w:tcBorders>
              <w:top w:val="nil"/>
              <w:left w:val="nil"/>
              <w:bottom w:val="nil"/>
              <w:right w:val="single" w:sz="8" w:space="0" w:color="00A79D"/>
            </w:tcBorders>
            <w:shd w:val="clear" w:color="auto" w:fill="auto"/>
            <w:noWrap/>
            <w:vAlign w:val="center"/>
            <w:hideMark/>
          </w:tcPr>
          <w:p w14:paraId="2A2E8C97" w14:textId="77777777" w:rsidR="00572F25" w:rsidRPr="008528C0" w:rsidRDefault="00572F25" w:rsidP="00140544">
            <w:pPr>
              <w:spacing w:after="0"/>
              <w:rPr>
                <w:rFonts w:cs="Arial"/>
                <w:color w:val="000000"/>
                <w:sz w:val="18"/>
                <w:szCs w:val="18"/>
              </w:rPr>
            </w:pPr>
            <w:r>
              <w:rPr>
                <w:rFonts w:cs="Arial"/>
                <w:color w:val="000000"/>
                <w:sz w:val="18"/>
                <w:szCs w:val="18"/>
              </w:rPr>
              <w:t>4.2</w:t>
            </w:r>
          </w:p>
        </w:tc>
        <w:tc>
          <w:tcPr>
            <w:tcW w:w="993" w:type="dxa"/>
            <w:tcBorders>
              <w:top w:val="nil"/>
              <w:left w:val="nil"/>
              <w:bottom w:val="nil"/>
              <w:right w:val="nil"/>
            </w:tcBorders>
            <w:shd w:val="clear" w:color="auto" w:fill="auto"/>
            <w:noWrap/>
            <w:vAlign w:val="center"/>
            <w:hideMark/>
          </w:tcPr>
          <w:p w14:paraId="56D45199" w14:textId="77777777" w:rsidR="00572F25" w:rsidRPr="008528C0" w:rsidRDefault="00572F25" w:rsidP="00140544">
            <w:pPr>
              <w:spacing w:after="0"/>
              <w:jc w:val="center"/>
              <w:rPr>
                <w:rFonts w:cs="Arial"/>
                <w:color w:val="000000"/>
                <w:sz w:val="18"/>
                <w:szCs w:val="18"/>
              </w:rPr>
            </w:pPr>
            <w:r w:rsidRPr="008528C0">
              <w:rPr>
                <w:rFonts w:cs="Arial"/>
                <w:color w:val="000000"/>
                <w:sz w:val="18"/>
                <w:szCs w:val="18"/>
              </w:rPr>
              <w:t>75</w:t>
            </w:r>
          </w:p>
        </w:tc>
        <w:tc>
          <w:tcPr>
            <w:tcW w:w="708" w:type="dxa"/>
            <w:tcBorders>
              <w:top w:val="nil"/>
              <w:left w:val="nil"/>
              <w:bottom w:val="nil"/>
              <w:right w:val="nil"/>
            </w:tcBorders>
            <w:shd w:val="clear" w:color="auto" w:fill="auto"/>
            <w:noWrap/>
            <w:vAlign w:val="center"/>
            <w:hideMark/>
          </w:tcPr>
          <w:p w14:paraId="2A4B4522" w14:textId="77777777" w:rsidR="00572F25" w:rsidRPr="008528C0" w:rsidRDefault="00572F25" w:rsidP="00140544">
            <w:pPr>
              <w:spacing w:after="0"/>
              <w:jc w:val="right"/>
              <w:rPr>
                <w:rFonts w:cs="Arial"/>
                <w:color w:val="000000"/>
                <w:sz w:val="18"/>
                <w:szCs w:val="18"/>
              </w:rPr>
            </w:pPr>
            <w:r w:rsidRPr="008528C0">
              <w:rPr>
                <w:rFonts w:cs="Arial"/>
                <w:color w:val="000000"/>
                <w:sz w:val="18"/>
                <w:szCs w:val="18"/>
              </w:rPr>
              <w:t>63</w:t>
            </w:r>
          </w:p>
        </w:tc>
        <w:tc>
          <w:tcPr>
            <w:tcW w:w="709" w:type="dxa"/>
            <w:tcBorders>
              <w:top w:val="nil"/>
              <w:left w:val="nil"/>
              <w:bottom w:val="nil"/>
              <w:right w:val="nil"/>
            </w:tcBorders>
            <w:shd w:val="clear" w:color="auto" w:fill="auto"/>
            <w:vAlign w:val="center"/>
            <w:hideMark/>
          </w:tcPr>
          <w:p w14:paraId="24A7E812" w14:textId="77777777" w:rsidR="00572F25" w:rsidRPr="008528C0" w:rsidRDefault="00572F25" w:rsidP="00140544">
            <w:pPr>
              <w:spacing w:after="0"/>
              <w:rPr>
                <w:rFonts w:cs="Arial"/>
                <w:color w:val="000000"/>
                <w:sz w:val="18"/>
                <w:szCs w:val="18"/>
              </w:rPr>
            </w:pPr>
            <w:r w:rsidRPr="008528C0">
              <w:rPr>
                <w:rFonts w:cs="Arial"/>
                <w:color w:val="000000"/>
                <w:sz w:val="18"/>
                <w:szCs w:val="18"/>
              </w:rPr>
              <w:t>84.0</w:t>
            </w:r>
          </w:p>
        </w:tc>
      </w:tr>
      <w:tr w:rsidR="00572F25" w:rsidRPr="008528C0" w14:paraId="00622145" w14:textId="77777777" w:rsidTr="00140544">
        <w:trPr>
          <w:trHeight w:val="300"/>
        </w:trPr>
        <w:tc>
          <w:tcPr>
            <w:tcW w:w="3420" w:type="dxa"/>
            <w:tcBorders>
              <w:top w:val="nil"/>
              <w:left w:val="nil"/>
              <w:bottom w:val="nil"/>
              <w:right w:val="nil"/>
            </w:tcBorders>
            <w:shd w:val="clear" w:color="000000" w:fill="F1F1F2"/>
            <w:noWrap/>
            <w:vAlign w:val="center"/>
            <w:hideMark/>
          </w:tcPr>
          <w:p w14:paraId="0F177EEE" w14:textId="77777777" w:rsidR="00572F25" w:rsidRPr="008528C0" w:rsidRDefault="00572F25" w:rsidP="00140544">
            <w:pPr>
              <w:spacing w:after="0"/>
              <w:rPr>
                <w:rFonts w:cs="Arial"/>
                <w:color w:val="000000"/>
                <w:sz w:val="18"/>
                <w:szCs w:val="18"/>
              </w:rPr>
            </w:pPr>
            <w:r w:rsidRPr="008528C0">
              <w:rPr>
                <w:rFonts w:cs="Arial"/>
                <w:color w:val="000000"/>
                <w:sz w:val="18"/>
                <w:szCs w:val="18"/>
              </w:rPr>
              <w:t>Plastic and reconstructive surgery</w:t>
            </w:r>
          </w:p>
        </w:tc>
        <w:tc>
          <w:tcPr>
            <w:tcW w:w="1017" w:type="dxa"/>
            <w:tcBorders>
              <w:top w:val="nil"/>
              <w:left w:val="nil"/>
              <w:bottom w:val="nil"/>
              <w:right w:val="nil"/>
            </w:tcBorders>
            <w:shd w:val="clear" w:color="000000" w:fill="F1F1F2"/>
            <w:noWrap/>
            <w:vAlign w:val="center"/>
            <w:hideMark/>
          </w:tcPr>
          <w:p w14:paraId="136D2A29" w14:textId="77777777" w:rsidR="00572F25" w:rsidRPr="008528C0" w:rsidRDefault="00572F25" w:rsidP="00140544">
            <w:pPr>
              <w:spacing w:after="0"/>
              <w:jc w:val="center"/>
              <w:rPr>
                <w:rFonts w:cs="Arial"/>
                <w:color w:val="000000"/>
                <w:sz w:val="18"/>
                <w:szCs w:val="18"/>
              </w:rPr>
            </w:pPr>
            <w:r w:rsidRPr="008528C0">
              <w:rPr>
                <w:rFonts w:cs="Arial"/>
                <w:color w:val="000000"/>
                <w:sz w:val="18"/>
                <w:szCs w:val="18"/>
              </w:rPr>
              <w:t>1,029</w:t>
            </w:r>
          </w:p>
        </w:tc>
        <w:tc>
          <w:tcPr>
            <w:tcW w:w="1183" w:type="dxa"/>
            <w:tcBorders>
              <w:top w:val="nil"/>
              <w:left w:val="nil"/>
              <w:bottom w:val="nil"/>
              <w:right w:val="nil"/>
            </w:tcBorders>
            <w:shd w:val="clear" w:color="000000" w:fill="F1F1F2"/>
            <w:noWrap/>
            <w:vAlign w:val="center"/>
            <w:hideMark/>
          </w:tcPr>
          <w:p w14:paraId="5DF71520" w14:textId="77777777" w:rsidR="00572F25" w:rsidRPr="008528C0" w:rsidRDefault="00572F25" w:rsidP="00140544">
            <w:pPr>
              <w:spacing w:after="0"/>
              <w:jc w:val="right"/>
              <w:rPr>
                <w:rFonts w:cs="Arial"/>
                <w:color w:val="000000"/>
                <w:sz w:val="18"/>
                <w:szCs w:val="18"/>
              </w:rPr>
            </w:pPr>
            <w:r w:rsidRPr="008528C0">
              <w:rPr>
                <w:rFonts w:cs="Arial"/>
                <w:color w:val="000000"/>
                <w:sz w:val="18"/>
                <w:szCs w:val="18"/>
              </w:rPr>
              <w:t>323</w:t>
            </w:r>
          </w:p>
        </w:tc>
        <w:tc>
          <w:tcPr>
            <w:tcW w:w="1184" w:type="dxa"/>
            <w:tcBorders>
              <w:top w:val="nil"/>
              <w:left w:val="nil"/>
              <w:bottom w:val="nil"/>
              <w:right w:val="single" w:sz="8" w:space="0" w:color="00A79D"/>
            </w:tcBorders>
            <w:shd w:val="clear" w:color="000000" w:fill="F1F1F2"/>
            <w:noWrap/>
            <w:vAlign w:val="center"/>
            <w:hideMark/>
          </w:tcPr>
          <w:p w14:paraId="6AF2493C" w14:textId="77777777" w:rsidR="00572F25" w:rsidRPr="008528C0" w:rsidRDefault="00572F25" w:rsidP="00140544">
            <w:pPr>
              <w:spacing w:after="0"/>
              <w:rPr>
                <w:rFonts w:cs="Arial"/>
                <w:color w:val="000000"/>
                <w:sz w:val="18"/>
                <w:szCs w:val="18"/>
              </w:rPr>
            </w:pPr>
            <w:r>
              <w:rPr>
                <w:rFonts w:cs="Arial"/>
                <w:color w:val="000000"/>
                <w:sz w:val="18"/>
                <w:szCs w:val="18"/>
              </w:rPr>
              <w:t>31.4</w:t>
            </w:r>
          </w:p>
        </w:tc>
        <w:tc>
          <w:tcPr>
            <w:tcW w:w="993" w:type="dxa"/>
            <w:tcBorders>
              <w:top w:val="nil"/>
              <w:left w:val="nil"/>
              <w:bottom w:val="nil"/>
              <w:right w:val="nil"/>
            </w:tcBorders>
            <w:shd w:val="clear" w:color="000000" w:fill="F1F1F2"/>
            <w:noWrap/>
            <w:vAlign w:val="center"/>
            <w:hideMark/>
          </w:tcPr>
          <w:p w14:paraId="6BF0701D" w14:textId="77777777" w:rsidR="00572F25" w:rsidRPr="008528C0" w:rsidRDefault="00572F25" w:rsidP="00140544">
            <w:pPr>
              <w:spacing w:after="0"/>
              <w:jc w:val="center"/>
              <w:rPr>
                <w:rFonts w:cs="Arial"/>
                <w:color w:val="000000"/>
                <w:sz w:val="18"/>
                <w:szCs w:val="18"/>
              </w:rPr>
            </w:pPr>
            <w:r w:rsidRPr="008528C0">
              <w:rPr>
                <w:rFonts w:cs="Arial"/>
                <w:color w:val="000000"/>
                <w:sz w:val="18"/>
                <w:szCs w:val="18"/>
              </w:rPr>
              <w:t>399</w:t>
            </w:r>
          </w:p>
        </w:tc>
        <w:tc>
          <w:tcPr>
            <w:tcW w:w="708" w:type="dxa"/>
            <w:tcBorders>
              <w:top w:val="nil"/>
              <w:left w:val="nil"/>
              <w:bottom w:val="nil"/>
              <w:right w:val="nil"/>
            </w:tcBorders>
            <w:shd w:val="clear" w:color="000000" w:fill="F1F1F2"/>
            <w:noWrap/>
            <w:vAlign w:val="center"/>
            <w:hideMark/>
          </w:tcPr>
          <w:p w14:paraId="020A0957" w14:textId="77777777" w:rsidR="00572F25" w:rsidRPr="008528C0" w:rsidRDefault="00572F25" w:rsidP="00140544">
            <w:pPr>
              <w:spacing w:after="0"/>
              <w:jc w:val="right"/>
              <w:rPr>
                <w:rFonts w:cs="Arial"/>
                <w:color w:val="000000"/>
                <w:sz w:val="18"/>
                <w:szCs w:val="18"/>
              </w:rPr>
            </w:pPr>
            <w:r w:rsidRPr="008528C0">
              <w:rPr>
                <w:rFonts w:cs="Arial"/>
                <w:color w:val="000000"/>
                <w:sz w:val="18"/>
                <w:szCs w:val="18"/>
              </w:rPr>
              <w:t>308</w:t>
            </w:r>
          </w:p>
        </w:tc>
        <w:tc>
          <w:tcPr>
            <w:tcW w:w="709" w:type="dxa"/>
            <w:tcBorders>
              <w:top w:val="nil"/>
              <w:left w:val="nil"/>
              <w:bottom w:val="nil"/>
              <w:right w:val="nil"/>
            </w:tcBorders>
            <w:shd w:val="clear" w:color="000000" w:fill="F1F1F2"/>
            <w:vAlign w:val="center"/>
            <w:hideMark/>
          </w:tcPr>
          <w:p w14:paraId="56150B5F" w14:textId="77777777" w:rsidR="00572F25" w:rsidRPr="008528C0" w:rsidRDefault="00572F25" w:rsidP="00140544">
            <w:pPr>
              <w:spacing w:after="0"/>
              <w:rPr>
                <w:rFonts w:cs="Arial"/>
                <w:color w:val="000000"/>
                <w:sz w:val="18"/>
                <w:szCs w:val="18"/>
              </w:rPr>
            </w:pPr>
            <w:r w:rsidRPr="008528C0">
              <w:rPr>
                <w:rFonts w:cs="Arial"/>
                <w:color w:val="000000"/>
                <w:sz w:val="18"/>
                <w:szCs w:val="18"/>
              </w:rPr>
              <w:t>77.2</w:t>
            </w:r>
          </w:p>
        </w:tc>
      </w:tr>
      <w:tr w:rsidR="00572F25" w:rsidRPr="008528C0" w14:paraId="32396976" w14:textId="77777777" w:rsidTr="00140544">
        <w:trPr>
          <w:trHeight w:val="300"/>
        </w:trPr>
        <w:tc>
          <w:tcPr>
            <w:tcW w:w="3420" w:type="dxa"/>
            <w:tcBorders>
              <w:top w:val="nil"/>
              <w:left w:val="nil"/>
              <w:bottom w:val="nil"/>
              <w:right w:val="nil"/>
            </w:tcBorders>
            <w:shd w:val="clear" w:color="auto" w:fill="auto"/>
            <w:noWrap/>
            <w:vAlign w:val="center"/>
            <w:hideMark/>
          </w:tcPr>
          <w:p w14:paraId="4FA311CF" w14:textId="77777777" w:rsidR="00572F25" w:rsidRPr="008528C0" w:rsidRDefault="00572F25" w:rsidP="00140544">
            <w:pPr>
              <w:spacing w:after="0"/>
              <w:rPr>
                <w:rFonts w:cs="Arial"/>
                <w:color w:val="000000"/>
                <w:sz w:val="18"/>
                <w:szCs w:val="18"/>
              </w:rPr>
            </w:pPr>
            <w:r w:rsidRPr="008528C0">
              <w:rPr>
                <w:rFonts w:cs="Arial"/>
                <w:color w:val="000000"/>
                <w:sz w:val="18"/>
                <w:szCs w:val="18"/>
              </w:rPr>
              <w:t>Ophthalmology</w:t>
            </w:r>
          </w:p>
        </w:tc>
        <w:tc>
          <w:tcPr>
            <w:tcW w:w="1017" w:type="dxa"/>
            <w:tcBorders>
              <w:top w:val="nil"/>
              <w:left w:val="nil"/>
              <w:bottom w:val="nil"/>
              <w:right w:val="nil"/>
            </w:tcBorders>
            <w:shd w:val="clear" w:color="auto" w:fill="auto"/>
            <w:noWrap/>
            <w:vAlign w:val="center"/>
            <w:hideMark/>
          </w:tcPr>
          <w:p w14:paraId="3DEEFF74" w14:textId="77777777" w:rsidR="00572F25" w:rsidRPr="008528C0" w:rsidRDefault="00572F25" w:rsidP="00140544">
            <w:pPr>
              <w:spacing w:after="0"/>
              <w:jc w:val="center"/>
              <w:rPr>
                <w:rFonts w:cs="Arial"/>
                <w:color w:val="000000"/>
                <w:sz w:val="18"/>
                <w:szCs w:val="18"/>
              </w:rPr>
            </w:pPr>
            <w:r w:rsidRPr="008528C0">
              <w:rPr>
                <w:rFonts w:cs="Arial"/>
                <w:color w:val="000000"/>
                <w:sz w:val="18"/>
                <w:szCs w:val="18"/>
              </w:rPr>
              <w:t>903</w:t>
            </w:r>
          </w:p>
        </w:tc>
        <w:tc>
          <w:tcPr>
            <w:tcW w:w="1183" w:type="dxa"/>
            <w:tcBorders>
              <w:top w:val="nil"/>
              <w:left w:val="nil"/>
              <w:bottom w:val="nil"/>
              <w:right w:val="nil"/>
            </w:tcBorders>
            <w:shd w:val="clear" w:color="auto" w:fill="auto"/>
            <w:noWrap/>
            <w:vAlign w:val="bottom"/>
            <w:hideMark/>
          </w:tcPr>
          <w:p w14:paraId="14CAD16C" w14:textId="77777777" w:rsidR="00572F25" w:rsidRPr="008528C0" w:rsidRDefault="00572F25" w:rsidP="00140544">
            <w:pPr>
              <w:spacing w:after="0"/>
              <w:jc w:val="right"/>
              <w:rPr>
                <w:rFonts w:cs="Arial"/>
                <w:color w:val="000000"/>
                <w:sz w:val="18"/>
                <w:szCs w:val="18"/>
              </w:rPr>
            </w:pPr>
            <w:r w:rsidRPr="008528C0">
              <w:rPr>
                <w:rFonts w:cs="Arial"/>
                <w:color w:val="000000"/>
                <w:sz w:val="18"/>
                <w:szCs w:val="18"/>
              </w:rPr>
              <w:t>568</w:t>
            </w:r>
          </w:p>
        </w:tc>
        <w:tc>
          <w:tcPr>
            <w:tcW w:w="1184" w:type="dxa"/>
            <w:tcBorders>
              <w:top w:val="nil"/>
              <w:left w:val="nil"/>
              <w:bottom w:val="nil"/>
              <w:right w:val="single" w:sz="8" w:space="0" w:color="00A79D"/>
            </w:tcBorders>
            <w:shd w:val="clear" w:color="auto" w:fill="auto"/>
            <w:noWrap/>
            <w:vAlign w:val="center"/>
            <w:hideMark/>
          </w:tcPr>
          <w:p w14:paraId="43D0CC43" w14:textId="77777777" w:rsidR="00572F25" w:rsidRPr="008528C0" w:rsidRDefault="00572F25" w:rsidP="00140544">
            <w:pPr>
              <w:spacing w:after="0"/>
              <w:rPr>
                <w:rFonts w:cs="Arial"/>
                <w:color w:val="000000"/>
                <w:sz w:val="18"/>
                <w:szCs w:val="18"/>
              </w:rPr>
            </w:pPr>
            <w:r>
              <w:rPr>
                <w:rFonts w:cs="Arial"/>
                <w:color w:val="000000"/>
                <w:sz w:val="18"/>
                <w:szCs w:val="18"/>
              </w:rPr>
              <w:t>62.9</w:t>
            </w:r>
          </w:p>
        </w:tc>
        <w:tc>
          <w:tcPr>
            <w:tcW w:w="993" w:type="dxa"/>
            <w:tcBorders>
              <w:top w:val="nil"/>
              <w:left w:val="nil"/>
              <w:bottom w:val="nil"/>
              <w:right w:val="nil"/>
            </w:tcBorders>
            <w:shd w:val="clear" w:color="auto" w:fill="auto"/>
            <w:noWrap/>
            <w:vAlign w:val="center"/>
            <w:hideMark/>
          </w:tcPr>
          <w:p w14:paraId="3C3910BD" w14:textId="77777777" w:rsidR="00572F25" w:rsidRPr="008528C0" w:rsidRDefault="00572F25" w:rsidP="00140544">
            <w:pPr>
              <w:spacing w:after="0"/>
              <w:jc w:val="center"/>
              <w:rPr>
                <w:rFonts w:cs="Arial"/>
                <w:color w:val="000000"/>
                <w:sz w:val="18"/>
                <w:szCs w:val="18"/>
              </w:rPr>
            </w:pPr>
            <w:r w:rsidRPr="008528C0">
              <w:rPr>
                <w:rFonts w:cs="Arial"/>
                <w:color w:val="000000"/>
                <w:sz w:val="18"/>
                <w:szCs w:val="18"/>
              </w:rPr>
              <w:t>673</w:t>
            </w:r>
          </w:p>
        </w:tc>
        <w:tc>
          <w:tcPr>
            <w:tcW w:w="708" w:type="dxa"/>
            <w:tcBorders>
              <w:top w:val="nil"/>
              <w:left w:val="nil"/>
              <w:bottom w:val="nil"/>
              <w:right w:val="nil"/>
            </w:tcBorders>
            <w:shd w:val="clear" w:color="auto" w:fill="auto"/>
            <w:noWrap/>
            <w:vAlign w:val="center"/>
            <w:hideMark/>
          </w:tcPr>
          <w:p w14:paraId="7443F9CD" w14:textId="77777777" w:rsidR="00572F25" w:rsidRPr="008528C0" w:rsidRDefault="00572F25" w:rsidP="00140544">
            <w:pPr>
              <w:spacing w:after="0"/>
              <w:jc w:val="right"/>
              <w:rPr>
                <w:rFonts w:cs="Arial"/>
                <w:color w:val="000000"/>
                <w:sz w:val="18"/>
                <w:szCs w:val="18"/>
              </w:rPr>
            </w:pPr>
            <w:r w:rsidRPr="008528C0">
              <w:rPr>
                <w:rFonts w:cs="Arial"/>
                <w:color w:val="000000"/>
                <w:sz w:val="18"/>
                <w:szCs w:val="18"/>
              </w:rPr>
              <w:t>245</w:t>
            </w:r>
          </w:p>
        </w:tc>
        <w:tc>
          <w:tcPr>
            <w:tcW w:w="709" w:type="dxa"/>
            <w:tcBorders>
              <w:top w:val="nil"/>
              <w:left w:val="nil"/>
              <w:bottom w:val="nil"/>
              <w:right w:val="nil"/>
            </w:tcBorders>
            <w:shd w:val="clear" w:color="auto" w:fill="auto"/>
            <w:vAlign w:val="center"/>
            <w:hideMark/>
          </w:tcPr>
          <w:p w14:paraId="6ED310D3" w14:textId="77777777" w:rsidR="00572F25" w:rsidRPr="008528C0" w:rsidRDefault="00572F25" w:rsidP="00140544">
            <w:pPr>
              <w:spacing w:after="0"/>
              <w:rPr>
                <w:rFonts w:cs="Arial"/>
                <w:color w:val="000000"/>
                <w:sz w:val="18"/>
                <w:szCs w:val="18"/>
              </w:rPr>
            </w:pPr>
            <w:r w:rsidRPr="008528C0">
              <w:rPr>
                <w:rFonts w:cs="Arial"/>
                <w:color w:val="000000"/>
                <w:sz w:val="18"/>
                <w:szCs w:val="18"/>
              </w:rPr>
              <w:t>36.4</w:t>
            </w:r>
          </w:p>
        </w:tc>
      </w:tr>
      <w:tr w:rsidR="00572F25" w:rsidRPr="008528C0" w14:paraId="79C44FA2" w14:textId="77777777" w:rsidTr="00140544">
        <w:trPr>
          <w:trHeight w:val="300"/>
        </w:trPr>
        <w:tc>
          <w:tcPr>
            <w:tcW w:w="3420" w:type="dxa"/>
            <w:tcBorders>
              <w:top w:val="nil"/>
              <w:left w:val="nil"/>
              <w:bottom w:val="nil"/>
              <w:right w:val="nil"/>
            </w:tcBorders>
            <w:shd w:val="clear" w:color="000000" w:fill="F1F1F2"/>
            <w:noWrap/>
            <w:vAlign w:val="center"/>
            <w:hideMark/>
          </w:tcPr>
          <w:p w14:paraId="5F8FA29D" w14:textId="77777777" w:rsidR="00572F25" w:rsidRPr="008528C0" w:rsidRDefault="00572F25" w:rsidP="00140544">
            <w:pPr>
              <w:spacing w:after="0"/>
              <w:rPr>
                <w:rFonts w:cs="Arial"/>
                <w:color w:val="000000"/>
                <w:sz w:val="18"/>
                <w:szCs w:val="18"/>
              </w:rPr>
            </w:pPr>
            <w:r w:rsidRPr="008528C0">
              <w:rPr>
                <w:rFonts w:cs="Arial"/>
                <w:color w:val="000000"/>
                <w:sz w:val="18"/>
                <w:szCs w:val="18"/>
              </w:rPr>
              <w:lastRenderedPageBreak/>
              <w:t>Urological surgery</w:t>
            </w:r>
          </w:p>
        </w:tc>
        <w:tc>
          <w:tcPr>
            <w:tcW w:w="1017" w:type="dxa"/>
            <w:tcBorders>
              <w:top w:val="nil"/>
              <w:left w:val="nil"/>
              <w:bottom w:val="nil"/>
              <w:right w:val="nil"/>
            </w:tcBorders>
            <w:shd w:val="clear" w:color="000000" w:fill="F1F1F2"/>
            <w:noWrap/>
            <w:vAlign w:val="center"/>
            <w:hideMark/>
          </w:tcPr>
          <w:p w14:paraId="245E5D91" w14:textId="77777777" w:rsidR="00572F25" w:rsidRPr="008528C0" w:rsidRDefault="00572F25" w:rsidP="00140544">
            <w:pPr>
              <w:spacing w:after="0"/>
              <w:jc w:val="center"/>
              <w:rPr>
                <w:rFonts w:cs="Arial"/>
                <w:color w:val="000000"/>
                <w:sz w:val="18"/>
                <w:szCs w:val="18"/>
              </w:rPr>
            </w:pPr>
            <w:r w:rsidRPr="008528C0">
              <w:rPr>
                <w:rFonts w:cs="Arial"/>
                <w:color w:val="000000"/>
                <w:sz w:val="18"/>
                <w:szCs w:val="18"/>
              </w:rPr>
              <w:t>787</w:t>
            </w:r>
          </w:p>
        </w:tc>
        <w:tc>
          <w:tcPr>
            <w:tcW w:w="1183" w:type="dxa"/>
            <w:tcBorders>
              <w:top w:val="nil"/>
              <w:left w:val="nil"/>
              <w:bottom w:val="nil"/>
              <w:right w:val="nil"/>
            </w:tcBorders>
            <w:shd w:val="clear" w:color="000000" w:fill="F1F1F2"/>
            <w:noWrap/>
            <w:vAlign w:val="center"/>
            <w:hideMark/>
          </w:tcPr>
          <w:p w14:paraId="5338592B" w14:textId="77777777" w:rsidR="00572F25" w:rsidRPr="008528C0" w:rsidRDefault="00572F25" w:rsidP="00140544">
            <w:pPr>
              <w:spacing w:after="0"/>
              <w:jc w:val="right"/>
              <w:rPr>
                <w:rFonts w:cs="Arial"/>
                <w:color w:val="000000"/>
                <w:sz w:val="18"/>
                <w:szCs w:val="18"/>
              </w:rPr>
            </w:pPr>
            <w:r w:rsidRPr="008528C0">
              <w:rPr>
                <w:rFonts w:cs="Arial"/>
                <w:color w:val="000000"/>
                <w:sz w:val="18"/>
                <w:szCs w:val="18"/>
              </w:rPr>
              <w:t>140</w:t>
            </w:r>
          </w:p>
        </w:tc>
        <w:tc>
          <w:tcPr>
            <w:tcW w:w="1184" w:type="dxa"/>
            <w:tcBorders>
              <w:top w:val="nil"/>
              <w:left w:val="nil"/>
              <w:bottom w:val="nil"/>
              <w:right w:val="single" w:sz="8" w:space="0" w:color="00A79D"/>
            </w:tcBorders>
            <w:shd w:val="clear" w:color="000000" w:fill="F1F1F2"/>
            <w:noWrap/>
            <w:vAlign w:val="center"/>
            <w:hideMark/>
          </w:tcPr>
          <w:p w14:paraId="33C1AA20" w14:textId="77777777" w:rsidR="00572F25" w:rsidRPr="008528C0" w:rsidRDefault="00572F25" w:rsidP="00140544">
            <w:pPr>
              <w:spacing w:after="0"/>
              <w:rPr>
                <w:rFonts w:cs="Arial"/>
                <w:color w:val="000000"/>
                <w:sz w:val="18"/>
                <w:szCs w:val="18"/>
              </w:rPr>
            </w:pPr>
            <w:r>
              <w:rPr>
                <w:rFonts w:cs="Arial"/>
                <w:color w:val="000000"/>
                <w:sz w:val="18"/>
                <w:szCs w:val="18"/>
              </w:rPr>
              <w:t>17.8</w:t>
            </w:r>
          </w:p>
        </w:tc>
        <w:tc>
          <w:tcPr>
            <w:tcW w:w="993" w:type="dxa"/>
            <w:tcBorders>
              <w:top w:val="nil"/>
              <w:left w:val="nil"/>
              <w:bottom w:val="nil"/>
              <w:right w:val="nil"/>
            </w:tcBorders>
            <w:shd w:val="clear" w:color="000000" w:fill="F1F1F2"/>
            <w:noWrap/>
            <w:vAlign w:val="center"/>
            <w:hideMark/>
          </w:tcPr>
          <w:p w14:paraId="27A86FDC" w14:textId="77777777" w:rsidR="00572F25" w:rsidRPr="008528C0" w:rsidRDefault="00572F25" w:rsidP="00140544">
            <w:pPr>
              <w:spacing w:after="0"/>
              <w:jc w:val="center"/>
              <w:rPr>
                <w:rFonts w:cs="Arial"/>
                <w:color w:val="000000"/>
                <w:sz w:val="18"/>
                <w:szCs w:val="18"/>
              </w:rPr>
            </w:pPr>
            <w:r w:rsidRPr="008528C0">
              <w:rPr>
                <w:rFonts w:cs="Arial"/>
                <w:color w:val="000000"/>
                <w:sz w:val="18"/>
                <w:szCs w:val="18"/>
              </w:rPr>
              <w:t>178</w:t>
            </w:r>
          </w:p>
        </w:tc>
        <w:tc>
          <w:tcPr>
            <w:tcW w:w="708" w:type="dxa"/>
            <w:tcBorders>
              <w:top w:val="nil"/>
              <w:left w:val="nil"/>
              <w:bottom w:val="nil"/>
              <w:right w:val="nil"/>
            </w:tcBorders>
            <w:shd w:val="clear" w:color="000000" w:fill="F1F1F2"/>
            <w:noWrap/>
            <w:vAlign w:val="center"/>
            <w:hideMark/>
          </w:tcPr>
          <w:p w14:paraId="03D8036C" w14:textId="77777777" w:rsidR="00572F25" w:rsidRPr="008528C0" w:rsidRDefault="00572F25" w:rsidP="00140544">
            <w:pPr>
              <w:spacing w:after="0"/>
              <w:jc w:val="right"/>
              <w:rPr>
                <w:rFonts w:cs="Arial"/>
                <w:color w:val="000000"/>
                <w:sz w:val="18"/>
                <w:szCs w:val="18"/>
              </w:rPr>
            </w:pPr>
            <w:r w:rsidRPr="008528C0">
              <w:rPr>
                <w:rFonts w:cs="Arial"/>
                <w:color w:val="000000"/>
                <w:sz w:val="18"/>
                <w:szCs w:val="18"/>
              </w:rPr>
              <w:t>159</w:t>
            </w:r>
          </w:p>
        </w:tc>
        <w:tc>
          <w:tcPr>
            <w:tcW w:w="709" w:type="dxa"/>
            <w:tcBorders>
              <w:top w:val="nil"/>
              <w:left w:val="nil"/>
              <w:bottom w:val="nil"/>
              <w:right w:val="nil"/>
            </w:tcBorders>
            <w:shd w:val="clear" w:color="000000" w:fill="F1F1F2"/>
            <w:vAlign w:val="center"/>
            <w:hideMark/>
          </w:tcPr>
          <w:p w14:paraId="1107F811" w14:textId="77777777" w:rsidR="00572F25" w:rsidRPr="008528C0" w:rsidRDefault="00572F25" w:rsidP="00140544">
            <w:pPr>
              <w:spacing w:after="0"/>
              <w:rPr>
                <w:rFonts w:cs="Arial"/>
                <w:color w:val="000000"/>
                <w:sz w:val="18"/>
                <w:szCs w:val="18"/>
              </w:rPr>
            </w:pPr>
            <w:r w:rsidRPr="008528C0">
              <w:rPr>
                <w:rFonts w:cs="Arial"/>
                <w:color w:val="000000"/>
                <w:sz w:val="18"/>
                <w:szCs w:val="18"/>
              </w:rPr>
              <w:t>89.3</w:t>
            </w:r>
          </w:p>
        </w:tc>
      </w:tr>
      <w:tr w:rsidR="00572F25" w:rsidRPr="008528C0" w14:paraId="79D47A62" w14:textId="77777777" w:rsidTr="00140544">
        <w:trPr>
          <w:trHeight w:val="300"/>
        </w:trPr>
        <w:tc>
          <w:tcPr>
            <w:tcW w:w="3420" w:type="dxa"/>
            <w:tcBorders>
              <w:top w:val="nil"/>
              <w:left w:val="nil"/>
              <w:bottom w:val="nil"/>
              <w:right w:val="nil"/>
            </w:tcBorders>
            <w:shd w:val="clear" w:color="auto" w:fill="auto"/>
            <w:noWrap/>
            <w:vAlign w:val="center"/>
            <w:hideMark/>
          </w:tcPr>
          <w:p w14:paraId="7B2FE12D" w14:textId="77777777" w:rsidR="00572F25" w:rsidRPr="008528C0" w:rsidRDefault="00572F25" w:rsidP="00140544">
            <w:pPr>
              <w:spacing w:after="0"/>
              <w:rPr>
                <w:rFonts w:cs="Arial"/>
                <w:color w:val="000000"/>
                <w:sz w:val="18"/>
                <w:szCs w:val="18"/>
              </w:rPr>
            </w:pPr>
            <w:r w:rsidRPr="008528C0">
              <w:rPr>
                <w:rFonts w:cs="Arial"/>
                <w:color w:val="000000"/>
                <w:sz w:val="18"/>
                <w:szCs w:val="18"/>
              </w:rPr>
              <w:t>Gastrointestinal endoscopic procedures</w:t>
            </w:r>
          </w:p>
        </w:tc>
        <w:tc>
          <w:tcPr>
            <w:tcW w:w="1017" w:type="dxa"/>
            <w:tcBorders>
              <w:top w:val="nil"/>
              <w:left w:val="nil"/>
              <w:bottom w:val="nil"/>
              <w:right w:val="nil"/>
            </w:tcBorders>
            <w:shd w:val="clear" w:color="auto" w:fill="auto"/>
            <w:noWrap/>
            <w:vAlign w:val="center"/>
            <w:hideMark/>
          </w:tcPr>
          <w:p w14:paraId="76DE67C4" w14:textId="77777777" w:rsidR="00572F25" w:rsidRPr="008528C0" w:rsidRDefault="00572F25" w:rsidP="00140544">
            <w:pPr>
              <w:spacing w:after="0"/>
              <w:jc w:val="center"/>
              <w:rPr>
                <w:rFonts w:cs="Arial"/>
                <w:color w:val="000000"/>
                <w:sz w:val="18"/>
                <w:szCs w:val="18"/>
              </w:rPr>
            </w:pPr>
            <w:r w:rsidRPr="008528C0">
              <w:rPr>
                <w:rFonts w:cs="Arial"/>
                <w:color w:val="000000"/>
                <w:sz w:val="18"/>
                <w:szCs w:val="18"/>
              </w:rPr>
              <w:t>697</w:t>
            </w:r>
          </w:p>
        </w:tc>
        <w:tc>
          <w:tcPr>
            <w:tcW w:w="1183" w:type="dxa"/>
            <w:tcBorders>
              <w:top w:val="nil"/>
              <w:left w:val="nil"/>
              <w:bottom w:val="nil"/>
              <w:right w:val="nil"/>
            </w:tcBorders>
            <w:shd w:val="clear" w:color="auto" w:fill="auto"/>
            <w:noWrap/>
            <w:vAlign w:val="center"/>
            <w:hideMark/>
          </w:tcPr>
          <w:p w14:paraId="4D3FC41C" w14:textId="77777777" w:rsidR="00572F25" w:rsidRPr="008528C0" w:rsidRDefault="00572F25" w:rsidP="00140544">
            <w:pPr>
              <w:spacing w:after="0"/>
              <w:jc w:val="right"/>
              <w:rPr>
                <w:rFonts w:cs="Arial"/>
                <w:color w:val="000000"/>
                <w:sz w:val="18"/>
                <w:szCs w:val="18"/>
              </w:rPr>
            </w:pPr>
            <w:r w:rsidRPr="008528C0">
              <w:rPr>
                <w:rFonts w:cs="Arial"/>
                <w:color w:val="000000"/>
                <w:sz w:val="18"/>
                <w:szCs w:val="18"/>
              </w:rPr>
              <w:t>4</w:t>
            </w:r>
          </w:p>
        </w:tc>
        <w:tc>
          <w:tcPr>
            <w:tcW w:w="1184" w:type="dxa"/>
            <w:tcBorders>
              <w:top w:val="nil"/>
              <w:left w:val="nil"/>
              <w:bottom w:val="nil"/>
              <w:right w:val="single" w:sz="8" w:space="0" w:color="00A79D"/>
            </w:tcBorders>
            <w:shd w:val="clear" w:color="auto" w:fill="auto"/>
            <w:noWrap/>
            <w:vAlign w:val="center"/>
            <w:hideMark/>
          </w:tcPr>
          <w:p w14:paraId="22535465" w14:textId="77777777" w:rsidR="00572F25" w:rsidRPr="008528C0" w:rsidRDefault="00572F25" w:rsidP="00140544">
            <w:pPr>
              <w:spacing w:after="0"/>
              <w:rPr>
                <w:rFonts w:cs="Arial"/>
                <w:color w:val="000000"/>
                <w:sz w:val="18"/>
                <w:szCs w:val="18"/>
              </w:rPr>
            </w:pPr>
            <w:r>
              <w:rPr>
                <w:rFonts w:cs="Arial"/>
                <w:color w:val="000000"/>
                <w:sz w:val="18"/>
                <w:szCs w:val="18"/>
              </w:rPr>
              <w:t>–</w:t>
            </w:r>
          </w:p>
        </w:tc>
        <w:tc>
          <w:tcPr>
            <w:tcW w:w="993" w:type="dxa"/>
            <w:tcBorders>
              <w:top w:val="nil"/>
              <w:left w:val="nil"/>
              <w:bottom w:val="nil"/>
              <w:right w:val="nil"/>
            </w:tcBorders>
            <w:shd w:val="clear" w:color="auto" w:fill="auto"/>
            <w:noWrap/>
            <w:vAlign w:val="center"/>
            <w:hideMark/>
          </w:tcPr>
          <w:p w14:paraId="71D96195" w14:textId="77777777" w:rsidR="00572F25" w:rsidRPr="008528C0" w:rsidRDefault="00572F25" w:rsidP="00140544">
            <w:pPr>
              <w:spacing w:after="0"/>
              <w:jc w:val="center"/>
              <w:rPr>
                <w:rFonts w:cs="Arial"/>
                <w:color w:val="000000"/>
                <w:sz w:val="18"/>
                <w:szCs w:val="18"/>
              </w:rPr>
            </w:pPr>
            <w:r w:rsidRPr="008528C0">
              <w:rPr>
                <w:rFonts w:cs="Arial"/>
                <w:color w:val="000000"/>
                <w:sz w:val="18"/>
                <w:szCs w:val="18"/>
              </w:rPr>
              <w:t>4</w:t>
            </w:r>
          </w:p>
        </w:tc>
        <w:tc>
          <w:tcPr>
            <w:tcW w:w="708" w:type="dxa"/>
            <w:tcBorders>
              <w:top w:val="nil"/>
              <w:left w:val="nil"/>
              <w:bottom w:val="nil"/>
              <w:right w:val="nil"/>
            </w:tcBorders>
            <w:shd w:val="clear" w:color="auto" w:fill="auto"/>
            <w:noWrap/>
            <w:vAlign w:val="center"/>
            <w:hideMark/>
          </w:tcPr>
          <w:p w14:paraId="3B81887E" w14:textId="77777777" w:rsidR="00572F25" w:rsidRPr="008528C0" w:rsidRDefault="00572F25" w:rsidP="00140544">
            <w:pPr>
              <w:spacing w:after="0"/>
              <w:jc w:val="right"/>
              <w:rPr>
                <w:rFonts w:cs="Arial"/>
                <w:color w:val="000000"/>
                <w:sz w:val="18"/>
                <w:szCs w:val="18"/>
              </w:rPr>
            </w:pPr>
            <w:r>
              <w:rPr>
                <w:rFonts w:cs="Arial"/>
                <w:color w:val="000000"/>
                <w:sz w:val="18"/>
                <w:szCs w:val="18"/>
              </w:rPr>
              <w:t>–</w:t>
            </w:r>
          </w:p>
        </w:tc>
        <w:tc>
          <w:tcPr>
            <w:tcW w:w="709" w:type="dxa"/>
            <w:tcBorders>
              <w:top w:val="nil"/>
              <w:left w:val="nil"/>
              <w:bottom w:val="nil"/>
              <w:right w:val="nil"/>
            </w:tcBorders>
            <w:shd w:val="clear" w:color="auto" w:fill="auto"/>
            <w:vAlign w:val="center"/>
            <w:hideMark/>
          </w:tcPr>
          <w:p w14:paraId="735E0AE2" w14:textId="77777777" w:rsidR="00572F25" w:rsidRPr="008528C0" w:rsidRDefault="00572F25" w:rsidP="00140544">
            <w:pPr>
              <w:spacing w:after="0"/>
              <w:rPr>
                <w:rFonts w:cs="Arial"/>
                <w:color w:val="000000"/>
                <w:sz w:val="18"/>
                <w:szCs w:val="18"/>
              </w:rPr>
            </w:pPr>
            <w:r>
              <w:rPr>
                <w:rFonts w:cs="Arial"/>
                <w:color w:val="000000"/>
                <w:sz w:val="18"/>
                <w:szCs w:val="18"/>
              </w:rPr>
              <w:t>–</w:t>
            </w:r>
          </w:p>
        </w:tc>
      </w:tr>
      <w:tr w:rsidR="00572F25" w:rsidRPr="008528C0" w14:paraId="5C791B9B" w14:textId="77777777" w:rsidTr="00140544">
        <w:trPr>
          <w:trHeight w:val="300"/>
        </w:trPr>
        <w:tc>
          <w:tcPr>
            <w:tcW w:w="3420" w:type="dxa"/>
            <w:tcBorders>
              <w:top w:val="nil"/>
              <w:left w:val="nil"/>
              <w:bottom w:val="nil"/>
              <w:right w:val="nil"/>
            </w:tcBorders>
            <w:shd w:val="clear" w:color="000000" w:fill="F1F1F2"/>
            <w:noWrap/>
            <w:vAlign w:val="center"/>
            <w:hideMark/>
          </w:tcPr>
          <w:p w14:paraId="6767EC39" w14:textId="77777777" w:rsidR="00572F25" w:rsidRPr="008528C0" w:rsidRDefault="00572F25" w:rsidP="00140544">
            <w:pPr>
              <w:spacing w:after="0"/>
              <w:rPr>
                <w:rFonts w:cs="Arial"/>
                <w:color w:val="000000"/>
                <w:sz w:val="18"/>
                <w:szCs w:val="18"/>
              </w:rPr>
            </w:pPr>
            <w:r w:rsidRPr="008528C0">
              <w:rPr>
                <w:rFonts w:cs="Arial"/>
                <w:color w:val="000000"/>
                <w:sz w:val="18"/>
                <w:szCs w:val="18"/>
              </w:rPr>
              <w:t>Head and neck surgery</w:t>
            </w:r>
          </w:p>
        </w:tc>
        <w:tc>
          <w:tcPr>
            <w:tcW w:w="1017" w:type="dxa"/>
            <w:tcBorders>
              <w:top w:val="nil"/>
              <w:left w:val="nil"/>
              <w:bottom w:val="nil"/>
              <w:right w:val="nil"/>
            </w:tcBorders>
            <w:shd w:val="clear" w:color="000000" w:fill="F1F1F2"/>
            <w:noWrap/>
            <w:vAlign w:val="center"/>
            <w:hideMark/>
          </w:tcPr>
          <w:p w14:paraId="18DE32D5" w14:textId="77777777" w:rsidR="00572F25" w:rsidRPr="008528C0" w:rsidRDefault="00572F25" w:rsidP="00140544">
            <w:pPr>
              <w:spacing w:after="0"/>
              <w:jc w:val="center"/>
              <w:rPr>
                <w:rFonts w:cs="Arial"/>
                <w:color w:val="000000"/>
                <w:sz w:val="18"/>
                <w:szCs w:val="18"/>
              </w:rPr>
            </w:pPr>
            <w:r w:rsidRPr="008528C0">
              <w:rPr>
                <w:rFonts w:cs="Arial"/>
                <w:color w:val="000000"/>
                <w:sz w:val="18"/>
                <w:szCs w:val="18"/>
              </w:rPr>
              <w:t>519</w:t>
            </w:r>
          </w:p>
        </w:tc>
        <w:tc>
          <w:tcPr>
            <w:tcW w:w="1183" w:type="dxa"/>
            <w:tcBorders>
              <w:top w:val="nil"/>
              <w:left w:val="nil"/>
              <w:bottom w:val="nil"/>
              <w:right w:val="nil"/>
            </w:tcBorders>
            <w:shd w:val="clear" w:color="000000" w:fill="F1F1F2"/>
            <w:noWrap/>
            <w:vAlign w:val="center"/>
            <w:hideMark/>
          </w:tcPr>
          <w:p w14:paraId="1F50CCFA" w14:textId="77777777" w:rsidR="00572F25" w:rsidRPr="008528C0" w:rsidRDefault="00572F25" w:rsidP="00140544">
            <w:pPr>
              <w:spacing w:after="0"/>
              <w:jc w:val="right"/>
              <w:rPr>
                <w:rFonts w:cs="Arial"/>
                <w:color w:val="000000"/>
                <w:sz w:val="18"/>
                <w:szCs w:val="18"/>
              </w:rPr>
            </w:pPr>
            <w:r w:rsidRPr="008528C0">
              <w:rPr>
                <w:rFonts w:cs="Arial"/>
                <w:color w:val="000000"/>
                <w:sz w:val="18"/>
                <w:szCs w:val="18"/>
              </w:rPr>
              <w:t>203</w:t>
            </w:r>
          </w:p>
        </w:tc>
        <w:tc>
          <w:tcPr>
            <w:tcW w:w="1184" w:type="dxa"/>
            <w:tcBorders>
              <w:top w:val="nil"/>
              <w:left w:val="nil"/>
              <w:bottom w:val="nil"/>
              <w:right w:val="single" w:sz="8" w:space="0" w:color="00A79D"/>
            </w:tcBorders>
            <w:shd w:val="clear" w:color="000000" w:fill="F1F1F2"/>
            <w:noWrap/>
            <w:vAlign w:val="center"/>
            <w:hideMark/>
          </w:tcPr>
          <w:p w14:paraId="79D4641D" w14:textId="77777777" w:rsidR="00572F25" w:rsidRPr="008528C0" w:rsidRDefault="00572F25" w:rsidP="00140544">
            <w:pPr>
              <w:spacing w:after="0"/>
              <w:rPr>
                <w:rFonts w:cs="Arial"/>
                <w:color w:val="000000"/>
                <w:sz w:val="18"/>
                <w:szCs w:val="18"/>
              </w:rPr>
            </w:pPr>
            <w:r>
              <w:rPr>
                <w:rFonts w:cs="Arial"/>
                <w:color w:val="000000"/>
                <w:sz w:val="18"/>
                <w:szCs w:val="18"/>
              </w:rPr>
              <w:t>39.1</w:t>
            </w:r>
          </w:p>
        </w:tc>
        <w:tc>
          <w:tcPr>
            <w:tcW w:w="993" w:type="dxa"/>
            <w:tcBorders>
              <w:top w:val="nil"/>
              <w:left w:val="nil"/>
              <w:bottom w:val="nil"/>
              <w:right w:val="nil"/>
            </w:tcBorders>
            <w:shd w:val="clear" w:color="000000" w:fill="F1F1F2"/>
            <w:noWrap/>
            <w:vAlign w:val="center"/>
            <w:hideMark/>
          </w:tcPr>
          <w:p w14:paraId="6411AFCF" w14:textId="77777777" w:rsidR="00572F25" w:rsidRPr="008528C0" w:rsidRDefault="00572F25" w:rsidP="00140544">
            <w:pPr>
              <w:spacing w:after="0"/>
              <w:jc w:val="center"/>
              <w:rPr>
                <w:rFonts w:cs="Arial"/>
                <w:color w:val="000000"/>
                <w:sz w:val="18"/>
                <w:szCs w:val="18"/>
              </w:rPr>
            </w:pPr>
            <w:r w:rsidRPr="008528C0">
              <w:rPr>
                <w:rFonts w:cs="Arial"/>
                <w:color w:val="000000"/>
                <w:sz w:val="18"/>
                <w:szCs w:val="18"/>
              </w:rPr>
              <w:t>253</w:t>
            </w:r>
          </w:p>
        </w:tc>
        <w:tc>
          <w:tcPr>
            <w:tcW w:w="708" w:type="dxa"/>
            <w:tcBorders>
              <w:top w:val="nil"/>
              <w:left w:val="nil"/>
              <w:bottom w:val="nil"/>
              <w:right w:val="nil"/>
            </w:tcBorders>
            <w:shd w:val="clear" w:color="000000" w:fill="F1F1F2"/>
            <w:noWrap/>
            <w:vAlign w:val="center"/>
            <w:hideMark/>
          </w:tcPr>
          <w:p w14:paraId="15927B08" w14:textId="77777777" w:rsidR="00572F25" w:rsidRPr="008528C0" w:rsidRDefault="00572F25" w:rsidP="00140544">
            <w:pPr>
              <w:spacing w:after="0"/>
              <w:jc w:val="right"/>
              <w:rPr>
                <w:rFonts w:cs="Arial"/>
                <w:color w:val="000000"/>
                <w:sz w:val="18"/>
                <w:szCs w:val="18"/>
              </w:rPr>
            </w:pPr>
            <w:r w:rsidRPr="008528C0">
              <w:rPr>
                <w:rFonts w:cs="Arial"/>
                <w:color w:val="000000"/>
                <w:sz w:val="18"/>
                <w:szCs w:val="18"/>
              </w:rPr>
              <w:t>218</w:t>
            </w:r>
          </w:p>
        </w:tc>
        <w:tc>
          <w:tcPr>
            <w:tcW w:w="709" w:type="dxa"/>
            <w:tcBorders>
              <w:top w:val="nil"/>
              <w:left w:val="nil"/>
              <w:bottom w:val="nil"/>
              <w:right w:val="nil"/>
            </w:tcBorders>
            <w:shd w:val="clear" w:color="000000" w:fill="F1F1F2"/>
            <w:vAlign w:val="center"/>
            <w:hideMark/>
          </w:tcPr>
          <w:p w14:paraId="2F86ABC9" w14:textId="77777777" w:rsidR="00572F25" w:rsidRPr="008528C0" w:rsidRDefault="00572F25" w:rsidP="00140544">
            <w:pPr>
              <w:spacing w:after="0"/>
              <w:rPr>
                <w:rFonts w:cs="Arial"/>
                <w:color w:val="000000"/>
                <w:sz w:val="18"/>
                <w:szCs w:val="18"/>
              </w:rPr>
            </w:pPr>
            <w:r w:rsidRPr="008528C0">
              <w:rPr>
                <w:rFonts w:cs="Arial"/>
                <w:color w:val="000000"/>
                <w:sz w:val="18"/>
                <w:szCs w:val="18"/>
              </w:rPr>
              <w:t>86.2</w:t>
            </w:r>
          </w:p>
        </w:tc>
      </w:tr>
      <w:tr w:rsidR="00572F25" w:rsidRPr="008528C0" w14:paraId="0136F66B" w14:textId="77777777" w:rsidTr="00140544">
        <w:trPr>
          <w:trHeight w:val="300"/>
        </w:trPr>
        <w:tc>
          <w:tcPr>
            <w:tcW w:w="3420" w:type="dxa"/>
            <w:tcBorders>
              <w:top w:val="nil"/>
              <w:left w:val="nil"/>
              <w:bottom w:val="nil"/>
              <w:right w:val="nil"/>
            </w:tcBorders>
            <w:shd w:val="clear" w:color="auto" w:fill="auto"/>
            <w:noWrap/>
            <w:vAlign w:val="center"/>
            <w:hideMark/>
          </w:tcPr>
          <w:p w14:paraId="2D24DE21" w14:textId="77777777" w:rsidR="00572F25" w:rsidRPr="008528C0" w:rsidRDefault="00572F25" w:rsidP="00140544">
            <w:pPr>
              <w:spacing w:after="0"/>
              <w:rPr>
                <w:rFonts w:cs="Arial"/>
                <w:color w:val="000000"/>
                <w:sz w:val="18"/>
                <w:szCs w:val="18"/>
              </w:rPr>
            </w:pPr>
            <w:r w:rsidRPr="008528C0">
              <w:rPr>
                <w:rFonts w:cs="Arial"/>
                <w:color w:val="000000"/>
                <w:sz w:val="18"/>
                <w:szCs w:val="18"/>
              </w:rPr>
              <w:t>Gynaecological surgery</w:t>
            </w:r>
          </w:p>
        </w:tc>
        <w:tc>
          <w:tcPr>
            <w:tcW w:w="1017" w:type="dxa"/>
            <w:tcBorders>
              <w:top w:val="nil"/>
              <w:left w:val="nil"/>
              <w:bottom w:val="nil"/>
              <w:right w:val="nil"/>
            </w:tcBorders>
            <w:shd w:val="clear" w:color="auto" w:fill="auto"/>
            <w:noWrap/>
            <w:vAlign w:val="center"/>
            <w:hideMark/>
          </w:tcPr>
          <w:p w14:paraId="7A6A6323" w14:textId="77777777" w:rsidR="00572F25" w:rsidRPr="008528C0" w:rsidRDefault="00572F25" w:rsidP="00140544">
            <w:pPr>
              <w:spacing w:after="0"/>
              <w:jc w:val="center"/>
              <w:rPr>
                <w:rFonts w:cs="Arial"/>
                <w:color w:val="000000"/>
                <w:sz w:val="18"/>
                <w:szCs w:val="18"/>
              </w:rPr>
            </w:pPr>
            <w:r w:rsidRPr="008528C0">
              <w:rPr>
                <w:rFonts w:cs="Arial"/>
                <w:color w:val="000000"/>
                <w:sz w:val="18"/>
                <w:szCs w:val="18"/>
              </w:rPr>
              <w:t>504</w:t>
            </w:r>
          </w:p>
        </w:tc>
        <w:tc>
          <w:tcPr>
            <w:tcW w:w="1183" w:type="dxa"/>
            <w:tcBorders>
              <w:top w:val="nil"/>
              <w:left w:val="nil"/>
              <w:bottom w:val="nil"/>
              <w:right w:val="nil"/>
            </w:tcBorders>
            <w:shd w:val="clear" w:color="auto" w:fill="auto"/>
            <w:noWrap/>
            <w:vAlign w:val="center"/>
            <w:hideMark/>
          </w:tcPr>
          <w:p w14:paraId="5E6A3D09" w14:textId="77777777" w:rsidR="00572F25" w:rsidRPr="008528C0" w:rsidRDefault="00572F25" w:rsidP="00140544">
            <w:pPr>
              <w:spacing w:after="0"/>
              <w:jc w:val="right"/>
              <w:rPr>
                <w:rFonts w:cs="Arial"/>
                <w:color w:val="000000"/>
                <w:sz w:val="18"/>
                <w:szCs w:val="18"/>
              </w:rPr>
            </w:pPr>
            <w:r w:rsidRPr="008528C0">
              <w:rPr>
                <w:rFonts w:cs="Arial"/>
                <w:color w:val="000000"/>
                <w:sz w:val="18"/>
                <w:szCs w:val="18"/>
              </w:rPr>
              <w:t>52</w:t>
            </w:r>
          </w:p>
        </w:tc>
        <w:tc>
          <w:tcPr>
            <w:tcW w:w="1184" w:type="dxa"/>
            <w:tcBorders>
              <w:top w:val="nil"/>
              <w:left w:val="nil"/>
              <w:bottom w:val="nil"/>
              <w:right w:val="single" w:sz="8" w:space="0" w:color="00A79D"/>
            </w:tcBorders>
            <w:shd w:val="clear" w:color="auto" w:fill="auto"/>
            <w:noWrap/>
            <w:vAlign w:val="center"/>
            <w:hideMark/>
          </w:tcPr>
          <w:p w14:paraId="2CB45DE9" w14:textId="77777777" w:rsidR="00572F25" w:rsidRPr="008528C0" w:rsidRDefault="00572F25" w:rsidP="00140544">
            <w:pPr>
              <w:spacing w:after="0"/>
              <w:rPr>
                <w:rFonts w:cs="Arial"/>
                <w:color w:val="000000"/>
                <w:sz w:val="18"/>
                <w:szCs w:val="18"/>
              </w:rPr>
            </w:pPr>
            <w:r>
              <w:rPr>
                <w:rFonts w:cs="Arial"/>
                <w:color w:val="000000"/>
                <w:sz w:val="18"/>
                <w:szCs w:val="18"/>
              </w:rPr>
              <w:t>10.3</w:t>
            </w:r>
          </w:p>
        </w:tc>
        <w:tc>
          <w:tcPr>
            <w:tcW w:w="993" w:type="dxa"/>
            <w:tcBorders>
              <w:top w:val="nil"/>
              <w:left w:val="nil"/>
              <w:bottom w:val="nil"/>
              <w:right w:val="nil"/>
            </w:tcBorders>
            <w:shd w:val="clear" w:color="auto" w:fill="auto"/>
            <w:noWrap/>
            <w:vAlign w:val="center"/>
            <w:hideMark/>
          </w:tcPr>
          <w:p w14:paraId="1E836CBE" w14:textId="77777777" w:rsidR="00572F25" w:rsidRPr="008528C0" w:rsidRDefault="00572F25" w:rsidP="00140544">
            <w:pPr>
              <w:spacing w:after="0"/>
              <w:jc w:val="center"/>
              <w:rPr>
                <w:rFonts w:cs="Arial"/>
                <w:color w:val="000000"/>
                <w:sz w:val="18"/>
                <w:szCs w:val="18"/>
              </w:rPr>
            </w:pPr>
            <w:r w:rsidRPr="008528C0">
              <w:rPr>
                <w:rFonts w:cs="Arial"/>
                <w:color w:val="000000"/>
                <w:sz w:val="18"/>
                <w:szCs w:val="18"/>
              </w:rPr>
              <w:t>78</w:t>
            </w:r>
          </w:p>
        </w:tc>
        <w:tc>
          <w:tcPr>
            <w:tcW w:w="708" w:type="dxa"/>
            <w:tcBorders>
              <w:top w:val="nil"/>
              <w:left w:val="nil"/>
              <w:bottom w:val="nil"/>
              <w:right w:val="nil"/>
            </w:tcBorders>
            <w:shd w:val="clear" w:color="auto" w:fill="auto"/>
            <w:noWrap/>
            <w:vAlign w:val="center"/>
            <w:hideMark/>
          </w:tcPr>
          <w:p w14:paraId="32EF783C" w14:textId="77777777" w:rsidR="00572F25" w:rsidRPr="008528C0" w:rsidRDefault="00572F25" w:rsidP="00140544">
            <w:pPr>
              <w:spacing w:after="0"/>
              <w:jc w:val="right"/>
              <w:rPr>
                <w:rFonts w:cs="Arial"/>
                <w:color w:val="000000"/>
                <w:sz w:val="18"/>
                <w:szCs w:val="18"/>
              </w:rPr>
            </w:pPr>
            <w:r w:rsidRPr="008528C0">
              <w:rPr>
                <w:rFonts w:cs="Arial"/>
                <w:color w:val="000000"/>
                <w:sz w:val="18"/>
                <w:szCs w:val="18"/>
              </w:rPr>
              <w:t>76</w:t>
            </w:r>
          </w:p>
        </w:tc>
        <w:tc>
          <w:tcPr>
            <w:tcW w:w="709" w:type="dxa"/>
            <w:tcBorders>
              <w:top w:val="nil"/>
              <w:left w:val="nil"/>
              <w:bottom w:val="nil"/>
              <w:right w:val="nil"/>
            </w:tcBorders>
            <w:shd w:val="clear" w:color="auto" w:fill="auto"/>
            <w:vAlign w:val="center"/>
            <w:hideMark/>
          </w:tcPr>
          <w:p w14:paraId="27E46D04" w14:textId="77777777" w:rsidR="00572F25" w:rsidRPr="008528C0" w:rsidRDefault="00572F25" w:rsidP="00140544">
            <w:pPr>
              <w:spacing w:after="0"/>
              <w:rPr>
                <w:rFonts w:cs="Arial"/>
                <w:color w:val="000000"/>
                <w:sz w:val="18"/>
                <w:szCs w:val="18"/>
              </w:rPr>
            </w:pPr>
            <w:r w:rsidRPr="008528C0">
              <w:rPr>
                <w:rFonts w:cs="Arial"/>
                <w:color w:val="000000"/>
                <w:sz w:val="18"/>
                <w:szCs w:val="18"/>
              </w:rPr>
              <w:t>97.4</w:t>
            </w:r>
          </w:p>
        </w:tc>
      </w:tr>
      <w:tr w:rsidR="00572F25" w:rsidRPr="008528C0" w14:paraId="096CC6FA" w14:textId="77777777" w:rsidTr="00140544">
        <w:trPr>
          <w:trHeight w:val="300"/>
        </w:trPr>
        <w:tc>
          <w:tcPr>
            <w:tcW w:w="3420" w:type="dxa"/>
            <w:tcBorders>
              <w:top w:val="nil"/>
              <w:left w:val="nil"/>
              <w:bottom w:val="nil"/>
              <w:right w:val="nil"/>
            </w:tcBorders>
            <w:shd w:val="clear" w:color="000000" w:fill="F1F1F2"/>
            <w:noWrap/>
            <w:vAlign w:val="center"/>
            <w:hideMark/>
          </w:tcPr>
          <w:p w14:paraId="349810AF" w14:textId="77777777" w:rsidR="00572F25" w:rsidRPr="008528C0" w:rsidRDefault="00572F25" w:rsidP="00140544">
            <w:pPr>
              <w:spacing w:after="0"/>
              <w:rPr>
                <w:rFonts w:cs="Arial"/>
                <w:color w:val="000000"/>
                <w:sz w:val="18"/>
                <w:szCs w:val="18"/>
              </w:rPr>
            </w:pPr>
            <w:r w:rsidRPr="008528C0">
              <w:rPr>
                <w:rFonts w:cs="Arial"/>
                <w:color w:val="000000"/>
                <w:sz w:val="18"/>
                <w:szCs w:val="18"/>
              </w:rPr>
              <w:t>Cardiac surgery</w:t>
            </w:r>
          </w:p>
        </w:tc>
        <w:tc>
          <w:tcPr>
            <w:tcW w:w="1017" w:type="dxa"/>
            <w:tcBorders>
              <w:top w:val="nil"/>
              <w:left w:val="nil"/>
              <w:bottom w:val="nil"/>
              <w:right w:val="nil"/>
            </w:tcBorders>
            <w:shd w:val="clear" w:color="000000" w:fill="F1F1F2"/>
            <w:noWrap/>
            <w:vAlign w:val="center"/>
            <w:hideMark/>
          </w:tcPr>
          <w:p w14:paraId="48C4CAB0" w14:textId="77777777" w:rsidR="00572F25" w:rsidRPr="008528C0" w:rsidRDefault="00572F25" w:rsidP="00140544">
            <w:pPr>
              <w:spacing w:after="0"/>
              <w:jc w:val="center"/>
              <w:rPr>
                <w:rFonts w:cs="Arial"/>
                <w:color w:val="000000"/>
                <w:sz w:val="18"/>
                <w:szCs w:val="18"/>
              </w:rPr>
            </w:pPr>
            <w:r w:rsidRPr="008528C0">
              <w:rPr>
                <w:rFonts w:cs="Arial"/>
                <w:color w:val="000000"/>
                <w:sz w:val="18"/>
                <w:szCs w:val="18"/>
              </w:rPr>
              <w:t>459</w:t>
            </w:r>
          </w:p>
        </w:tc>
        <w:tc>
          <w:tcPr>
            <w:tcW w:w="1183" w:type="dxa"/>
            <w:tcBorders>
              <w:top w:val="nil"/>
              <w:left w:val="nil"/>
              <w:bottom w:val="nil"/>
              <w:right w:val="nil"/>
            </w:tcBorders>
            <w:shd w:val="clear" w:color="000000" w:fill="F1F1F2"/>
            <w:noWrap/>
            <w:vAlign w:val="center"/>
            <w:hideMark/>
          </w:tcPr>
          <w:p w14:paraId="40A0A15C" w14:textId="77777777" w:rsidR="00572F25" w:rsidRPr="008528C0" w:rsidRDefault="00572F25" w:rsidP="00140544">
            <w:pPr>
              <w:spacing w:after="0"/>
              <w:jc w:val="right"/>
              <w:rPr>
                <w:rFonts w:cs="Arial"/>
                <w:color w:val="000000"/>
                <w:sz w:val="18"/>
                <w:szCs w:val="18"/>
              </w:rPr>
            </w:pPr>
            <w:r w:rsidRPr="008528C0">
              <w:rPr>
                <w:rFonts w:cs="Arial"/>
                <w:color w:val="000000"/>
                <w:sz w:val="18"/>
                <w:szCs w:val="18"/>
              </w:rPr>
              <w:t>299</w:t>
            </w:r>
          </w:p>
        </w:tc>
        <w:tc>
          <w:tcPr>
            <w:tcW w:w="1184" w:type="dxa"/>
            <w:tcBorders>
              <w:top w:val="nil"/>
              <w:left w:val="nil"/>
              <w:bottom w:val="nil"/>
              <w:right w:val="single" w:sz="8" w:space="0" w:color="00A79D"/>
            </w:tcBorders>
            <w:shd w:val="clear" w:color="000000" w:fill="F1F1F2"/>
            <w:noWrap/>
            <w:vAlign w:val="center"/>
            <w:hideMark/>
          </w:tcPr>
          <w:p w14:paraId="6D5B194A" w14:textId="77777777" w:rsidR="00572F25" w:rsidRPr="008528C0" w:rsidRDefault="00572F25" w:rsidP="00140544">
            <w:pPr>
              <w:spacing w:after="0"/>
              <w:rPr>
                <w:rFonts w:cs="Arial"/>
                <w:color w:val="000000"/>
                <w:sz w:val="18"/>
                <w:szCs w:val="18"/>
              </w:rPr>
            </w:pPr>
            <w:r>
              <w:rPr>
                <w:rFonts w:cs="Arial"/>
                <w:color w:val="000000"/>
                <w:sz w:val="18"/>
                <w:szCs w:val="18"/>
              </w:rPr>
              <w:t>65.1</w:t>
            </w:r>
          </w:p>
        </w:tc>
        <w:tc>
          <w:tcPr>
            <w:tcW w:w="993" w:type="dxa"/>
            <w:tcBorders>
              <w:top w:val="nil"/>
              <w:left w:val="nil"/>
              <w:bottom w:val="nil"/>
              <w:right w:val="nil"/>
            </w:tcBorders>
            <w:shd w:val="clear" w:color="000000" w:fill="F1F1F2"/>
            <w:noWrap/>
            <w:vAlign w:val="center"/>
            <w:hideMark/>
          </w:tcPr>
          <w:p w14:paraId="5AE6280A" w14:textId="77777777" w:rsidR="00572F25" w:rsidRPr="008528C0" w:rsidRDefault="00572F25" w:rsidP="00140544">
            <w:pPr>
              <w:spacing w:after="0"/>
              <w:jc w:val="center"/>
              <w:rPr>
                <w:rFonts w:cs="Arial"/>
                <w:color w:val="000000"/>
                <w:sz w:val="18"/>
                <w:szCs w:val="18"/>
              </w:rPr>
            </w:pPr>
            <w:r w:rsidRPr="008528C0">
              <w:rPr>
                <w:rFonts w:cs="Arial"/>
                <w:color w:val="000000"/>
                <w:sz w:val="18"/>
                <w:szCs w:val="18"/>
              </w:rPr>
              <w:t>355</w:t>
            </w:r>
          </w:p>
        </w:tc>
        <w:tc>
          <w:tcPr>
            <w:tcW w:w="708" w:type="dxa"/>
            <w:tcBorders>
              <w:top w:val="nil"/>
              <w:left w:val="nil"/>
              <w:bottom w:val="nil"/>
              <w:right w:val="nil"/>
            </w:tcBorders>
            <w:shd w:val="clear" w:color="000000" w:fill="F1F1F2"/>
            <w:noWrap/>
            <w:vAlign w:val="center"/>
            <w:hideMark/>
          </w:tcPr>
          <w:p w14:paraId="4A9AE0B9" w14:textId="77777777" w:rsidR="00572F25" w:rsidRPr="008528C0" w:rsidRDefault="00572F25" w:rsidP="00140544">
            <w:pPr>
              <w:spacing w:after="0"/>
              <w:jc w:val="right"/>
              <w:rPr>
                <w:rFonts w:cs="Arial"/>
                <w:color w:val="000000"/>
                <w:sz w:val="18"/>
                <w:szCs w:val="18"/>
              </w:rPr>
            </w:pPr>
            <w:r w:rsidRPr="008528C0">
              <w:rPr>
                <w:rFonts w:cs="Arial"/>
                <w:color w:val="000000"/>
                <w:sz w:val="18"/>
                <w:szCs w:val="18"/>
              </w:rPr>
              <w:t>199</w:t>
            </w:r>
          </w:p>
        </w:tc>
        <w:tc>
          <w:tcPr>
            <w:tcW w:w="709" w:type="dxa"/>
            <w:tcBorders>
              <w:top w:val="nil"/>
              <w:left w:val="nil"/>
              <w:bottom w:val="nil"/>
              <w:right w:val="nil"/>
            </w:tcBorders>
            <w:shd w:val="clear" w:color="000000" w:fill="F1F1F2"/>
            <w:vAlign w:val="center"/>
            <w:hideMark/>
          </w:tcPr>
          <w:p w14:paraId="32ABF1EC" w14:textId="77777777" w:rsidR="00572F25" w:rsidRPr="008528C0" w:rsidRDefault="00572F25" w:rsidP="00140544">
            <w:pPr>
              <w:spacing w:after="0"/>
              <w:rPr>
                <w:rFonts w:cs="Arial"/>
                <w:color w:val="000000"/>
                <w:sz w:val="18"/>
                <w:szCs w:val="18"/>
              </w:rPr>
            </w:pPr>
            <w:r w:rsidRPr="008528C0">
              <w:rPr>
                <w:rFonts w:cs="Arial"/>
                <w:color w:val="000000"/>
                <w:sz w:val="18"/>
                <w:szCs w:val="18"/>
              </w:rPr>
              <w:t>56.1</w:t>
            </w:r>
          </w:p>
        </w:tc>
      </w:tr>
      <w:tr w:rsidR="00572F25" w:rsidRPr="008528C0" w14:paraId="51090646" w14:textId="77777777" w:rsidTr="00140544">
        <w:trPr>
          <w:trHeight w:val="300"/>
        </w:trPr>
        <w:tc>
          <w:tcPr>
            <w:tcW w:w="3420" w:type="dxa"/>
            <w:tcBorders>
              <w:top w:val="nil"/>
              <w:left w:val="nil"/>
              <w:bottom w:val="nil"/>
              <w:right w:val="nil"/>
            </w:tcBorders>
            <w:shd w:val="clear" w:color="auto" w:fill="auto"/>
            <w:noWrap/>
            <w:vAlign w:val="center"/>
            <w:hideMark/>
          </w:tcPr>
          <w:p w14:paraId="2D1A08F0" w14:textId="77777777" w:rsidR="00572F25" w:rsidRPr="008528C0" w:rsidRDefault="00572F25" w:rsidP="00140544">
            <w:pPr>
              <w:spacing w:after="0"/>
              <w:rPr>
                <w:rFonts w:cs="Arial"/>
                <w:color w:val="000000"/>
                <w:sz w:val="18"/>
                <w:szCs w:val="18"/>
              </w:rPr>
            </w:pPr>
            <w:r w:rsidRPr="008528C0">
              <w:rPr>
                <w:rFonts w:cs="Arial"/>
                <w:color w:val="000000"/>
                <w:sz w:val="18"/>
                <w:szCs w:val="18"/>
              </w:rPr>
              <w:t>Neurosurgery</w:t>
            </w:r>
          </w:p>
        </w:tc>
        <w:tc>
          <w:tcPr>
            <w:tcW w:w="1017" w:type="dxa"/>
            <w:tcBorders>
              <w:top w:val="nil"/>
              <w:left w:val="nil"/>
              <w:bottom w:val="nil"/>
              <w:right w:val="nil"/>
            </w:tcBorders>
            <w:shd w:val="clear" w:color="auto" w:fill="auto"/>
            <w:noWrap/>
            <w:vAlign w:val="center"/>
            <w:hideMark/>
          </w:tcPr>
          <w:p w14:paraId="5AD5A7CB" w14:textId="77777777" w:rsidR="00572F25" w:rsidRPr="008528C0" w:rsidRDefault="00572F25" w:rsidP="00140544">
            <w:pPr>
              <w:spacing w:after="0"/>
              <w:jc w:val="center"/>
              <w:rPr>
                <w:rFonts w:cs="Arial"/>
                <w:color w:val="000000"/>
                <w:sz w:val="18"/>
                <w:szCs w:val="18"/>
              </w:rPr>
            </w:pPr>
            <w:r w:rsidRPr="008528C0">
              <w:rPr>
                <w:rFonts w:cs="Arial"/>
                <w:color w:val="000000"/>
                <w:sz w:val="18"/>
                <w:szCs w:val="18"/>
              </w:rPr>
              <w:t>399</w:t>
            </w:r>
          </w:p>
        </w:tc>
        <w:tc>
          <w:tcPr>
            <w:tcW w:w="1183" w:type="dxa"/>
            <w:tcBorders>
              <w:top w:val="nil"/>
              <w:left w:val="nil"/>
              <w:bottom w:val="nil"/>
              <w:right w:val="nil"/>
            </w:tcBorders>
            <w:shd w:val="clear" w:color="auto" w:fill="auto"/>
            <w:noWrap/>
            <w:vAlign w:val="center"/>
            <w:hideMark/>
          </w:tcPr>
          <w:p w14:paraId="5192F0F6" w14:textId="77777777" w:rsidR="00572F25" w:rsidRPr="008528C0" w:rsidRDefault="00572F25" w:rsidP="00140544">
            <w:pPr>
              <w:spacing w:after="0"/>
              <w:jc w:val="right"/>
              <w:rPr>
                <w:rFonts w:cs="Arial"/>
                <w:color w:val="000000"/>
                <w:sz w:val="18"/>
                <w:szCs w:val="18"/>
              </w:rPr>
            </w:pPr>
            <w:r w:rsidRPr="008528C0">
              <w:rPr>
                <w:rFonts w:cs="Arial"/>
                <w:color w:val="000000"/>
                <w:sz w:val="18"/>
                <w:szCs w:val="18"/>
              </w:rPr>
              <w:t>201</w:t>
            </w:r>
          </w:p>
        </w:tc>
        <w:tc>
          <w:tcPr>
            <w:tcW w:w="1184" w:type="dxa"/>
            <w:tcBorders>
              <w:top w:val="nil"/>
              <w:left w:val="nil"/>
              <w:bottom w:val="nil"/>
              <w:right w:val="single" w:sz="8" w:space="0" w:color="00A79D"/>
            </w:tcBorders>
            <w:shd w:val="clear" w:color="auto" w:fill="auto"/>
            <w:noWrap/>
            <w:vAlign w:val="center"/>
            <w:hideMark/>
          </w:tcPr>
          <w:p w14:paraId="0D32DB85" w14:textId="77777777" w:rsidR="00572F25" w:rsidRPr="008528C0" w:rsidRDefault="00572F25" w:rsidP="00140544">
            <w:pPr>
              <w:spacing w:after="0"/>
              <w:rPr>
                <w:rFonts w:cs="Arial"/>
                <w:color w:val="000000"/>
                <w:sz w:val="18"/>
                <w:szCs w:val="18"/>
              </w:rPr>
            </w:pPr>
            <w:r>
              <w:rPr>
                <w:rFonts w:cs="Arial"/>
                <w:color w:val="000000"/>
                <w:sz w:val="18"/>
                <w:szCs w:val="18"/>
              </w:rPr>
              <w:t>50.4</w:t>
            </w:r>
          </w:p>
        </w:tc>
        <w:tc>
          <w:tcPr>
            <w:tcW w:w="993" w:type="dxa"/>
            <w:tcBorders>
              <w:top w:val="nil"/>
              <w:left w:val="nil"/>
              <w:bottom w:val="nil"/>
              <w:right w:val="nil"/>
            </w:tcBorders>
            <w:shd w:val="clear" w:color="auto" w:fill="auto"/>
            <w:noWrap/>
            <w:vAlign w:val="center"/>
            <w:hideMark/>
          </w:tcPr>
          <w:p w14:paraId="731C4219" w14:textId="77777777" w:rsidR="00572F25" w:rsidRPr="008528C0" w:rsidRDefault="00572F25" w:rsidP="00140544">
            <w:pPr>
              <w:spacing w:after="0"/>
              <w:jc w:val="center"/>
              <w:rPr>
                <w:rFonts w:cs="Arial"/>
                <w:color w:val="000000"/>
                <w:sz w:val="18"/>
                <w:szCs w:val="18"/>
              </w:rPr>
            </w:pPr>
            <w:r w:rsidRPr="008528C0">
              <w:rPr>
                <w:rFonts w:cs="Arial"/>
                <w:color w:val="000000"/>
                <w:sz w:val="18"/>
                <w:szCs w:val="18"/>
              </w:rPr>
              <w:t>215</w:t>
            </w:r>
          </w:p>
        </w:tc>
        <w:tc>
          <w:tcPr>
            <w:tcW w:w="708" w:type="dxa"/>
            <w:tcBorders>
              <w:top w:val="nil"/>
              <w:left w:val="nil"/>
              <w:bottom w:val="nil"/>
              <w:right w:val="nil"/>
            </w:tcBorders>
            <w:shd w:val="clear" w:color="auto" w:fill="auto"/>
            <w:noWrap/>
            <w:vAlign w:val="center"/>
            <w:hideMark/>
          </w:tcPr>
          <w:p w14:paraId="1E20AF8C" w14:textId="77777777" w:rsidR="00572F25" w:rsidRPr="008528C0" w:rsidRDefault="00572F25" w:rsidP="00140544">
            <w:pPr>
              <w:spacing w:after="0"/>
              <w:jc w:val="right"/>
              <w:rPr>
                <w:rFonts w:cs="Arial"/>
                <w:color w:val="000000"/>
                <w:sz w:val="18"/>
                <w:szCs w:val="18"/>
              </w:rPr>
            </w:pPr>
            <w:r w:rsidRPr="008528C0">
              <w:rPr>
                <w:rFonts w:cs="Arial"/>
                <w:color w:val="000000"/>
                <w:sz w:val="18"/>
                <w:szCs w:val="18"/>
              </w:rPr>
              <w:t>113</w:t>
            </w:r>
          </w:p>
        </w:tc>
        <w:tc>
          <w:tcPr>
            <w:tcW w:w="709" w:type="dxa"/>
            <w:tcBorders>
              <w:top w:val="nil"/>
              <w:left w:val="nil"/>
              <w:bottom w:val="nil"/>
              <w:right w:val="nil"/>
            </w:tcBorders>
            <w:shd w:val="clear" w:color="auto" w:fill="auto"/>
            <w:vAlign w:val="center"/>
            <w:hideMark/>
          </w:tcPr>
          <w:p w14:paraId="66FB4814" w14:textId="77777777" w:rsidR="00572F25" w:rsidRPr="008528C0" w:rsidRDefault="00572F25" w:rsidP="00140544">
            <w:pPr>
              <w:spacing w:after="0"/>
              <w:rPr>
                <w:rFonts w:cs="Arial"/>
                <w:color w:val="000000"/>
                <w:sz w:val="18"/>
                <w:szCs w:val="18"/>
              </w:rPr>
            </w:pPr>
            <w:r w:rsidRPr="008528C0">
              <w:rPr>
                <w:rFonts w:cs="Arial"/>
                <w:color w:val="000000"/>
                <w:sz w:val="18"/>
                <w:szCs w:val="18"/>
              </w:rPr>
              <w:t>52.6</w:t>
            </w:r>
          </w:p>
        </w:tc>
      </w:tr>
      <w:tr w:rsidR="00572F25" w:rsidRPr="008528C0" w14:paraId="36102E75" w14:textId="77777777" w:rsidTr="00140544">
        <w:trPr>
          <w:trHeight w:val="300"/>
        </w:trPr>
        <w:tc>
          <w:tcPr>
            <w:tcW w:w="3420" w:type="dxa"/>
            <w:tcBorders>
              <w:top w:val="nil"/>
              <w:left w:val="nil"/>
              <w:bottom w:val="nil"/>
              <w:right w:val="nil"/>
            </w:tcBorders>
            <w:shd w:val="clear" w:color="000000" w:fill="F1F1F2"/>
            <w:noWrap/>
            <w:vAlign w:val="center"/>
            <w:hideMark/>
          </w:tcPr>
          <w:p w14:paraId="6242918E" w14:textId="77777777" w:rsidR="00572F25" w:rsidRPr="008528C0" w:rsidRDefault="00572F25" w:rsidP="00140544">
            <w:pPr>
              <w:spacing w:after="0"/>
              <w:rPr>
                <w:rFonts w:cs="Arial"/>
                <w:color w:val="000000"/>
                <w:sz w:val="18"/>
                <w:szCs w:val="18"/>
              </w:rPr>
            </w:pPr>
            <w:r w:rsidRPr="008528C0">
              <w:rPr>
                <w:rFonts w:cs="Arial"/>
                <w:color w:val="000000"/>
                <w:sz w:val="18"/>
                <w:szCs w:val="18"/>
              </w:rPr>
              <w:t>Breast surgery</w:t>
            </w:r>
          </w:p>
        </w:tc>
        <w:tc>
          <w:tcPr>
            <w:tcW w:w="1017" w:type="dxa"/>
            <w:tcBorders>
              <w:top w:val="nil"/>
              <w:left w:val="nil"/>
              <w:bottom w:val="nil"/>
              <w:right w:val="nil"/>
            </w:tcBorders>
            <w:shd w:val="clear" w:color="000000" w:fill="F1F1F2"/>
            <w:noWrap/>
            <w:vAlign w:val="center"/>
            <w:hideMark/>
          </w:tcPr>
          <w:p w14:paraId="2ED6E488" w14:textId="77777777" w:rsidR="00572F25" w:rsidRPr="008528C0" w:rsidRDefault="00572F25" w:rsidP="00140544">
            <w:pPr>
              <w:spacing w:after="0"/>
              <w:jc w:val="center"/>
              <w:rPr>
                <w:rFonts w:cs="Arial"/>
                <w:color w:val="000000"/>
                <w:sz w:val="18"/>
                <w:szCs w:val="18"/>
              </w:rPr>
            </w:pPr>
            <w:r w:rsidRPr="008528C0">
              <w:rPr>
                <w:rFonts w:cs="Arial"/>
                <w:color w:val="000000"/>
                <w:sz w:val="18"/>
                <w:szCs w:val="18"/>
              </w:rPr>
              <w:t>273</w:t>
            </w:r>
          </w:p>
        </w:tc>
        <w:tc>
          <w:tcPr>
            <w:tcW w:w="1183" w:type="dxa"/>
            <w:tcBorders>
              <w:top w:val="nil"/>
              <w:left w:val="nil"/>
              <w:bottom w:val="nil"/>
              <w:right w:val="nil"/>
            </w:tcBorders>
            <w:shd w:val="clear" w:color="000000" w:fill="F1F1F2"/>
            <w:noWrap/>
            <w:vAlign w:val="center"/>
            <w:hideMark/>
          </w:tcPr>
          <w:p w14:paraId="0509F71F" w14:textId="77777777" w:rsidR="00572F25" w:rsidRPr="008528C0" w:rsidRDefault="00572F25" w:rsidP="00140544">
            <w:pPr>
              <w:spacing w:after="0"/>
              <w:jc w:val="right"/>
              <w:rPr>
                <w:rFonts w:cs="Arial"/>
                <w:color w:val="000000"/>
                <w:sz w:val="18"/>
                <w:szCs w:val="18"/>
              </w:rPr>
            </w:pPr>
            <w:r w:rsidRPr="008528C0">
              <w:rPr>
                <w:rFonts w:cs="Arial"/>
                <w:color w:val="000000"/>
                <w:sz w:val="18"/>
                <w:szCs w:val="18"/>
              </w:rPr>
              <w:t>143</w:t>
            </w:r>
          </w:p>
        </w:tc>
        <w:tc>
          <w:tcPr>
            <w:tcW w:w="1184" w:type="dxa"/>
            <w:tcBorders>
              <w:top w:val="nil"/>
              <w:left w:val="nil"/>
              <w:bottom w:val="nil"/>
              <w:right w:val="single" w:sz="8" w:space="0" w:color="00A79D"/>
            </w:tcBorders>
            <w:shd w:val="clear" w:color="000000" w:fill="F1F1F2"/>
            <w:noWrap/>
            <w:vAlign w:val="center"/>
            <w:hideMark/>
          </w:tcPr>
          <w:p w14:paraId="6A5A1F33" w14:textId="77777777" w:rsidR="00572F25" w:rsidRPr="008528C0" w:rsidRDefault="00572F25" w:rsidP="00140544">
            <w:pPr>
              <w:spacing w:after="0"/>
              <w:rPr>
                <w:rFonts w:cs="Arial"/>
                <w:color w:val="000000"/>
                <w:sz w:val="18"/>
                <w:szCs w:val="18"/>
              </w:rPr>
            </w:pPr>
            <w:r>
              <w:rPr>
                <w:rFonts w:cs="Arial"/>
                <w:color w:val="000000"/>
                <w:sz w:val="18"/>
                <w:szCs w:val="18"/>
              </w:rPr>
              <w:t>52.4</w:t>
            </w:r>
          </w:p>
        </w:tc>
        <w:tc>
          <w:tcPr>
            <w:tcW w:w="993" w:type="dxa"/>
            <w:tcBorders>
              <w:top w:val="nil"/>
              <w:left w:val="nil"/>
              <w:bottom w:val="nil"/>
              <w:right w:val="nil"/>
            </w:tcBorders>
            <w:shd w:val="clear" w:color="000000" w:fill="F1F1F2"/>
            <w:noWrap/>
            <w:vAlign w:val="center"/>
            <w:hideMark/>
          </w:tcPr>
          <w:p w14:paraId="1E6BD78C" w14:textId="77777777" w:rsidR="00572F25" w:rsidRPr="008528C0" w:rsidRDefault="00572F25" w:rsidP="00140544">
            <w:pPr>
              <w:spacing w:after="0"/>
              <w:jc w:val="center"/>
              <w:rPr>
                <w:rFonts w:cs="Arial"/>
                <w:color w:val="000000"/>
                <w:sz w:val="18"/>
                <w:szCs w:val="18"/>
              </w:rPr>
            </w:pPr>
            <w:r w:rsidRPr="008528C0">
              <w:rPr>
                <w:rFonts w:cs="Arial"/>
                <w:color w:val="000000"/>
                <w:sz w:val="18"/>
                <w:szCs w:val="18"/>
              </w:rPr>
              <w:t>186</w:t>
            </w:r>
          </w:p>
        </w:tc>
        <w:tc>
          <w:tcPr>
            <w:tcW w:w="708" w:type="dxa"/>
            <w:tcBorders>
              <w:top w:val="nil"/>
              <w:left w:val="nil"/>
              <w:bottom w:val="nil"/>
              <w:right w:val="nil"/>
            </w:tcBorders>
            <w:shd w:val="clear" w:color="000000" w:fill="F1F1F2"/>
            <w:noWrap/>
            <w:vAlign w:val="center"/>
            <w:hideMark/>
          </w:tcPr>
          <w:p w14:paraId="2A38DE8B" w14:textId="77777777" w:rsidR="00572F25" w:rsidRPr="008528C0" w:rsidRDefault="00572F25" w:rsidP="00140544">
            <w:pPr>
              <w:spacing w:after="0"/>
              <w:jc w:val="right"/>
              <w:rPr>
                <w:rFonts w:cs="Arial"/>
                <w:color w:val="000000"/>
                <w:sz w:val="18"/>
                <w:szCs w:val="18"/>
              </w:rPr>
            </w:pPr>
            <w:r w:rsidRPr="008528C0">
              <w:rPr>
                <w:rFonts w:cs="Arial"/>
                <w:color w:val="000000"/>
                <w:sz w:val="18"/>
                <w:szCs w:val="18"/>
              </w:rPr>
              <w:t>172</w:t>
            </w:r>
          </w:p>
        </w:tc>
        <w:tc>
          <w:tcPr>
            <w:tcW w:w="709" w:type="dxa"/>
            <w:tcBorders>
              <w:top w:val="nil"/>
              <w:left w:val="nil"/>
              <w:bottom w:val="nil"/>
              <w:right w:val="nil"/>
            </w:tcBorders>
            <w:shd w:val="clear" w:color="000000" w:fill="F1F1F2"/>
            <w:vAlign w:val="center"/>
            <w:hideMark/>
          </w:tcPr>
          <w:p w14:paraId="62BE3550" w14:textId="77777777" w:rsidR="00572F25" w:rsidRPr="008528C0" w:rsidRDefault="00572F25" w:rsidP="00140544">
            <w:pPr>
              <w:spacing w:after="0"/>
              <w:rPr>
                <w:rFonts w:cs="Arial"/>
                <w:color w:val="000000"/>
                <w:sz w:val="18"/>
                <w:szCs w:val="18"/>
              </w:rPr>
            </w:pPr>
            <w:r w:rsidRPr="008528C0">
              <w:rPr>
                <w:rFonts w:cs="Arial"/>
                <w:color w:val="000000"/>
                <w:sz w:val="18"/>
                <w:szCs w:val="18"/>
              </w:rPr>
              <w:t>92.5</w:t>
            </w:r>
          </w:p>
        </w:tc>
      </w:tr>
      <w:tr w:rsidR="00572F25" w:rsidRPr="008528C0" w14:paraId="6FDDE5D8" w14:textId="77777777" w:rsidTr="00140544">
        <w:trPr>
          <w:trHeight w:val="300"/>
        </w:trPr>
        <w:tc>
          <w:tcPr>
            <w:tcW w:w="3420" w:type="dxa"/>
            <w:tcBorders>
              <w:top w:val="nil"/>
              <w:left w:val="nil"/>
              <w:bottom w:val="nil"/>
              <w:right w:val="nil"/>
            </w:tcBorders>
            <w:shd w:val="clear" w:color="auto" w:fill="auto"/>
            <w:noWrap/>
            <w:vAlign w:val="center"/>
            <w:hideMark/>
          </w:tcPr>
          <w:p w14:paraId="25D303AA" w14:textId="77777777" w:rsidR="00572F25" w:rsidRPr="008528C0" w:rsidRDefault="00572F25" w:rsidP="00140544">
            <w:pPr>
              <w:spacing w:after="0"/>
              <w:rPr>
                <w:rFonts w:cs="Arial"/>
                <w:color w:val="000000"/>
                <w:sz w:val="18"/>
                <w:szCs w:val="18"/>
              </w:rPr>
            </w:pPr>
            <w:r w:rsidRPr="008528C0">
              <w:rPr>
                <w:rFonts w:cs="Arial"/>
                <w:color w:val="000000"/>
                <w:sz w:val="18"/>
                <w:szCs w:val="18"/>
              </w:rPr>
              <w:t>Dentoalveolar surgery</w:t>
            </w:r>
          </w:p>
        </w:tc>
        <w:tc>
          <w:tcPr>
            <w:tcW w:w="1017" w:type="dxa"/>
            <w:tcBorders>
              <w:top w:val="nil"/>
              <w:left w:val="nil"/>
              <w:bottom w:val="nil"/>
              <w:right w:val="nil"/>
            </w:tcBorders>
            <w:shd w:val="clear" w:color="auto" w:fill="auto"/>
            <w:noWrap/>
            <w:vAlign w:val="center"/>
            <w:hideMark/>
          </w:tcPr>
          <w:p w14:paraId="2B405D56" w14:textId="77777777" w:rsidR="00572F25" w:rsidRPr="008528C0" w:rsidRDefault="00572F25" w:rsidP="00140544">
            <w:pPr>
              <w:spacing w:after="0"/>
              <w:jc w:val="center"/>
              <w:rPr>
                <w:rFonts w:cs="Arial"/>
                <w:color w:val="000000"/>
                <w:sz w:val="18"/>
                <w:szCs w:val="18"/>
              </w:rPr>
            </w:pPr>
            <w:r w:rsidRPr="008528C0">
              <w:rPr>
                <w:rFonts w:cs="Arial"/>
                <w:color w:val="000000"/>
                <w:sz w:val="18"/>
                <w:szCs w:val="18"/>
              </w:rPr>
              <w:t>261</w:t>
            </w:r>
          </w:p>
        </w:tc>
        <w:tc>
          <w:tcPr>
            <w:tcW w:w="1183" w:type="dxa"/>
            <w:tcBorders>
              <w:top w:val="nil"/>
              <w:left w:val="nil"/>
              <w:bottom w:val="nil"/>
              <w:right w:val="nil"/>
            </w:tcBorders>
            <w:shd w:val="clear" w:color="auto" w:fill="auto"/>
            <w:noWrap/>
            <w:vAlign w:val="center"/>
            <w:hideMark/>
          </w:tcPr>
          <w:p w14:paraId="5F497825" w14:textId="77777777" w:rsidR="00572F25" w:rsidRPr="008528C0" w:rsidRDefault="00572F25" w:rsidP="00140544">
            <w:pPr>
              <w:spacing w:after="0"/>
              <w:jc w:val="right"/>
              <w:rPr>
                <w:rFonts w:cs="Arial"/>
                <w:color w:val="000000"/>
                <w:sz w:val="18"/>
                <w:szCs w:val="18"/>
              </w:rPr>
            </w:pPr>
            <w:r w:rsidRPr="008528C0">
              <w:rPr>
                <w:rFonts w:cs="Arial"/>
                <w:color w:val="000000"/>
                <w:sz w:val="18"/>
                <w:szCs w:val="18"/>
              </w:rPr>
              <w:t>128</w:t>
            </w:r>
          </w:p>
        </w:tc>
        <w:tc>
          <w:tcPr>
            <w:tcW w:w="1184" w:type="dxa"/>
            <w:tcBorders>
              <w:top w:val="nil"/>
              <w:left w:val="nil"/>
              <w:bottom w:val="nil"/>
              <w:right w:val="single" w:sz="8" w:space="0" w:color="00A79D"/>
            </w:tcBorders>
            <w:shd w:val="clear" w:color="auto" w:fill="auto"/>
            <w:noWrap/>
            <w:vAlign w:val="center"/>
            <w:hideMark/>
          </w:tcPr>
          <w:p w14:paraId="2092FD5C" w14:textId="77777777" w:rsidR="00572F25" w:rsidRPr="008528C0" w:rsidRDefault="00572F25" w:rsidP="00140544">
            <w:pPr>
              <w:spacing w:after="0"/>
              <w:rPr>
                <w:rFonts w:cs="Arial"/>
                <w:color w:val="000000"/>
                <w:sz w:val="18"/>
                <w:szCs w:val="18"/>
              </w:rPr>
            </w:pPr>
            <w:r>
              <w:rPr>
                <w:rFonts w:cs="Arial"/>
                <w:color w:val="000000"/>
                <w:sz w:val="18"/>
                <w:szCs w:val="18"/>
              </w:rPr>
              <w:t>49.0</w:t>
            </w:r>
          </w:p>
        </w:tc>
        <w:tc>
          <w:tcPr>
            <w:tcW w:w="993" w:type="dxa"/>
            <w:tcBorders>
              <w:top w:val="nil"/>
              <w:left w:val="nil"/>
              <w:bottom w:val="nil"/>
              <w:right w:val="nil"/>
            </w:tcBorders>
            <w:shd w:val="clear" w:color="auto" w:fill="auto"/>
            <w:noWrap/>
            <w:vAlign w:val="center"/>
            <w:hideMark/>
          </w:tcPr>
          <w:p w14:paraId="420E64B3" w14:textId="77777777" w:rsidR="00572F25" w:rsidRPr="008528C0" w:rsidRDefault="00572F25" w:rsidP="00140544">
            <w:pPr>
              <w:spacing w:after="0"/>
              <w:jc w:val="center"/>
              <w:rPr>
                <w:rFonts w:cs="Arial"/>
                <w:color w:val="000000"/>
                <w:sz w:val="18"/>
                <w:szCs w:val="18"/>
              </w:rPr>
            </w:pPr>
            <w:r w:rsidRPr="008528C0">
              <w:rPr>
                <w:rFonts w:cs="Arial"/>
                <w:color w:val="000000"/>
                <w:sz w:val="18"/>
                <w:szCs w:val="18"/>
              </w:rPr>
              <w:t>130</w:t>
            </w:r>
          </w:p>
        </w:tc>
        <w:tc>
          <w:tcPr>
            <w:tcW w:w="708" w:type="dxa"/>
            <w:tcBorders>
              <w:top w:val="nil"/>
              <w:left w:val="nil"/>
              <w:bottom w:val="nil"/>
              <w:right w:val="nil"/>
            </w:tcBorders>
            <w:shd w:val="clear" w:color="auto" w:fill="auto"/>
            <w:noWrap/>
            <w:vAlign w:val="center"/>
            <w:hideMark/>
          </w:tcPr>
          <w:p w14:paraId="3D39FC4C" w14:textId="77777777" w:rsidR="00572F25" w:rsidRPr="008528C0" w:rsidRDefault="00572F25" w:rsidP="00140544">
            <w:pPr>
              <w:spacing w:after="0"/>
              <w:jc w:val="right"/>
              <w:rPr>
                <w:rFonts w:cs="Arial"/>
                <w:color w:val="000000"/>
                <w:sz w:val="18"/>
                <w:szCs w:val="18"/>
              </w:rPr>
            </w:pPr>
            <w:r w:rsidRPr="008528C0">
              <w:rPr>
                <w:rFonts w:cs="Arial"/>
                <w:color w:val="000000"/>
                <w:sz w:val="18"/>
                <w:szCs w:val="18"/>
              </w:rPr>
              <w:t>111</w:t>
            </w:r>
          </w:p>
        </w:tc>
        <w:tc>
          <w:tcPr>
            <w:tcW w:w="709" w:type="dxa"/>
            <w:tcBorders>
              <w:top w:val="nil"/>
              <w:left w:val="nil"/>
              <w:bottom w:val="nil"/>
              <w:right w:val="nil"/>
            </w:tcBorders>
            <w:shd w:val="clear" w:color="auto" w:fill="auto"/>
            <w:vAlign w:val="center"/>
            <w:hideMark/>
          </w:tcPr>
          <w:p w14:paraId="7490BE35" w14:textId="77777777" w:rsidR="00572F25" w:rsidRPr="008528C0" w:rsidRDefault="00572F25" w:rsidP="00140544">
            <w:pPr>
              <w:spacing w:after="0"/>
              <w:rPr>
                <w:rFonts w:cs="Arial"/>
                <w:color w:val="000000"/>
                <w:sz w:val="18"/>
                <w:szCs w:val="18"/>
              </w:rPr>
            </w:pPr>
            <w:r w:rsidRPr="008528C0">
              <w:rPr>
                <w:rFonts w:cs="Arial"/>
                <w:color w:val="000000"/>
                <w:sz w:val="18"/>
                <w:szCs w:val="18"/>
              </w:rPr>
              <w:t>85.4</w:t>
            </w:r>
          </w:p>
        </w:tc>
      </w:tr>
      <w:tr w:rsidR="00572F25" w:rsidRPr="008528C0" w14:paraId="61E8EAAB" w14:textId="77777777" w:rsidTr="00140544">
        <w:trPr>
          <w:trHeight w:val="300"/>
        </w:trPr>
        <w:tc>
          <w:tcPr>
            <w:tcW w:w="3420" w:type="dxa"/>
            <w:tcBorders>
              <w:top w:val="nil"/>
              <w:left w:val="nil"/>
              <w:bottom w:val="nil"/>
              <w:right w:val="nil"/>
            </w:tcBorders>
            <w:shd w:val="clear" w:color="000000" w:fill="F1F1F2"/>
            <w:noWrap/>
            <w:vAlign w:val="center"/>
            <w:hideMark/>
          </w:tcPr>
          <w:p w14:paraId="2EC79392" w14:textId="77777777" w:rsidR="00572F25" w:rsidRPr="008528C0" w:rsidRDefault="00572F25" w:rsidP="00140544">
            <w:pPr>
              <w:spacing w:after="0"/>
              <w:rPr>
                <w:rFonts w:cs="Arial"/>
                <w:color w:val="000000"/>
                <w:sz w:val="18"/>
                <w:szCs w:val="18"/>
              </w:rPr>
            </w:pPr>
            <w:r w:rsidRPr="008528C0">
              <w:rPr>
                <w:rFonts w:cs="Arial"/>
                <w:color w:val="000000"/>
                <w:sz w:val="18"/>
                <w:szCs w:val="18"/>
              </w:rPr>
              <w:t>Vascular surgery</w:t>
            </w:r>
          </w:p>
        </w:tc>
        <w:tc>
          <w:tcPr>
            <w:tcW w:w="1017" w:type="dxa"/>
            <w:tcBorders>
              <w:top w:val="nil"/>
              <w:left w:val="nil"/>
              <w:bottom w:val="nil"/>
              <w:right w:val="nil"/>
            </w:tcBorders>
            <w:shd w:val="clear" w:color="000000" w:fill="F1F1F2"/>
            <w:noWrap/>
            <w:vAlign w:val="center"/>
            <w:hideMark/>
          </w:tcPr>
          <w:p w14:paraId="39750482" w14:textId="77777777" w:rsidR="00572F25" w:rsidRPr="008528C0" w:rsidRDefault="00572F25" w:rsidP="00140544">
            <w:pPr>
              <w:spacing w:after="0"/>
              <w:jc w:val="center"/>
              <w:rPr>
                <w:rFonts w:cs="Arial"/>
                <w:color w:val="000000"/>
                <w:sz w:val="18"/>
                <w:szCs w:val="18"/>
              </w:rPr>
            </w:pPr>
            <w:r w:rsidRPr="008528C0">
              <w:rPr>
                <w:rFonts w:cs="Arial"/>
                <w:color w:val="000000"/>
                <w:sz w:val="18"/>
                <w:szCs w:val="18"/>
              </w:rPr>
              <w:t>168</w:t>
            </w:r>
          </w:p>
        </w:tc>
        <w:tc>
          <w:tcPr>
            <w:tcW w:w="1183" w:type="dxa"/>
            <w:tcBorders>
              <w:top w:val="nil"/>
              <w:left w:val="nil"/>
              <w:bottom w:val="nil"/>
              <w:right w:val="nil"/>
            </w:tcBorders>
            <w:shd w:val="clear" w:color="000000" w:fill="F1F1F2"/>
            <w:noWrap/>
            <w:vAlign w:val="center"/>
            <w:hideMark/>
          </w:tcPr>
          <w:p w14:paraId="593AB91B" w14:textId="77777777" w:rsidR="00572F25" w:rsidRPr="008528C0" w:rsidRDefault="00572F25" w:rsidP="00140544">
            <w:pPr>
              <w:spacing w:after="0"/>
              <w:jc w:val="right"/>
              <w:rPr>
                <w:rFonts w:cs="Arial"/>
                <w:color w:val="000000"/>
                <w:sz w:val="18"/>
                <w:szCs w:val="18"/>
              </w:rPr>
            </w:pPr>
            <w:r w:rsidRPr="008528C0">
              <w:rPr>
                <w:rFonts w:cs="Arial"/>
                <w:color w:val="000000"/>
                <w:sz w:val="18"/>
                <w:szCs w:val="18"/>
              </w:rPr>
              <w:t>29</w:t>
            </w:r>
          </w:p>
        </w:tc>
        <w:tc>
          <w:tcPr>
            <w:tcW w:w="1184" w:type="dxa"/>
            <w:tcBorders>
              <w:top w:val="nil"/>
              <w:left w:val="nil"/>
              <w:bottom w:val="nil"/>
              <w:right w:val="single" w:sz="8" w:space="0" w:color="00A79D"/>
            </w:tcBorders>
            <w:shd w:val="clear" w:color="000000" w:fill="F1F1F2"/>
            <w:noWrap/>
            <w:vAlign w:val="center"/>
            <w:hideMark/>
          </w:tcPr>
          <w:p w14:paraId="3CDC1E65" w14:textId="77777777" w:rsidR="00572F25" w:rsidRPr="008528C0" w:rsidRDefault="00572F25" w:rsidP="00140544">
            <w:pPr>
              <w:spacing w:after="0"/>
              <w:rPr>
                <w:rFonts w:cs="Arial"/>
                <w:color w:val="000000"/>
                <w:sz w:val="18"/>
                <w:szCs w:val="18"/>
              </w:rPr>
            </w:pPr>
            <w:r>
              <w:rPr>
                <w:rFonts w:cs="Arial"/>
                <w:color w:val="000000"/>
                <w:sz w:val="18"/>
                <w:szCs w:val="18"/>
              </w:rPr>
              <w:t>17.3</w:t>
            </w:r>
          </w:p>
        </w:tc>
        <w:tc>
          <w:tcPr>
            <w:tcW w:w="993" w:type="dxa"/>
            <w:tcBorders>
              <w:top w:val="nil"/>
              <w:left w:val="nil"/>
              <w:bottom w:val="nil"/>
              <w:right w:val="nil"/>
            </w:tcBorders>
            <w:shd w:val="clear" w:color="000000" w:fill="F1F1F2"/>
            <w:noWrap/>
            <w:vAlign w:val="center"/>
            <w:hideMark/>
          </w:tcPr>
          <w:p w14:paraId="6386DD82" w14:textId="77777777" w:rsidR="00572F25" w:rsidRPr="008528C0" w:rsidRDefault="00572F25" w:rsidP="00140544">
            <w:pPr>
              <w:spacing w:after="0"/>
              <w:jc w:val="center"/>
              <w:rPr>
                <w:rFonts w:cs="Arial"/>
                <w:color w:val="000000"/>
                <w:sz w:val="18"/>
                <w:szCs w:val="18"/>
              </w:rPr>
            </w:pPr>
            <w:r w:rsidRPr="008528C0">
              <w:rPr>
                <w:rFonts w:cs="Arial"/>
                <w:color w:val="000000"/>
                <w:sz w:val="18"/>
                <w:szCs w:val="18"/>
              </w:rPr>
              <w:t>30</w:t>
            </w:r>
          </w:p>
        </w:tc>
        <w:tc>
          <w:tcPr>
            <w:tcW w:w="708" w:type="dxa"/>
            <w:tcBorders>
              <w:top w:val="nil"/>
              <w:left w:val="nil"/>
              <w:bottom w:val="nil"/>
              <w:right w:val="nil"/>
            </w:tcBorders>
            <w:shd w:val="clear" w:color="000000" w:fill="F1F1F2"/>
            <w:noWrap/>
            <w:vAlign w:val="center"/>
            <w:hideMark/>
          </w:tcPr>
          <w:p w14:paraId="47ECB5BE" w14:textId="77777777" w:rsidR="00572F25" w:rsidRPr="008528C0" w:rsidRDefault="00572F25" w:rsidP="00140544">
            <w:pPr>
              <w:spacing w:after="0"/>
              <w:jc w:val="right"/>
              <w:rPr>
                <w:rFonts w:cs="Arial"/>
                <w:color w:val="000000"/>
                <w:sz w:val="18"/>
                <w:szCs w:val="18"/>
              </w:rPr>
            </w:pPr>
            <w:r w:rsidRPr="008528C0">
              <w:rPr>
                <w:rFonts w:cs="Arial"/>
                <w:color w:val="000000"/>
                <w:sz w:val="18"/>
                <w:szCs w:val="18"/>
              </w:rPr>
              <w:t>19</w:t>
            </w:r>
          </w:p>
        </w:tc>
        <w:tc>
          <w:tcPr>
            <w:tcW w:w="709" w:type="dxa"/>
            <w:tcBorders>
              <w:top w:val="nil"/>
              <w:left w:val="nil"/>
              <w:bottom w:val="nil"/>
              <w:right w:val="nil"/>
            </w:tcBorders>
            <w:shd w:val="clear" w:color="000000" w:fill="F1F1F2"/>
            <w:vAlign w:val="center"/>
            <w:hideMark/>
          </w:tcPr>
          <w:p w14:paraId="5F051AFB" w14:textId="77777777" w:rsidR="00572F25" w:rsidRPr="008528C0" w:rsidRDefault="00572F25" w:rsidP="00140544">
            <w:pPr>
              <w:spacing w:after="0"/>
              <w:rPr>
                <w:rFonts w:cs="Arial"/>
                <w:color w:val="000000"/>
                <w:sz w:val="18"/>
                <w:szCs w:val="18"/>
              </w:rPr>
            </w:pPr>
            <w:r w:rsidRPr="008528C0">
              <w:rPr>
                <w:rFonts w:cs="Arial"/>
                <w:color w:val="000000"/>
                <w:sz w:val="18"/>
                <w:szCs w:val="18"/>
              </w:rPr>
              <w:t>63.3</w:t>
            </w:r>
          </w:p>
        </w:tc>
      </w:tr>
      <w:tr w:rsidR="00572F25" w:rsidRPr="008528C0" w14:paraId="5B3420C0" w14:textId="77777777" w:rsidTr="00140544">
        <w:trPr>
          <w:trHeight w:val="315"/>
        </w:trPr>
        <w:tc>
          <w:tcPr>
            <w:tcW w:w="3420" w:type="dxa"/>
            <w:tcBorders>
              <w:top w:val="nil"/>
              <w:left w:val="nil"/>
              <w:bottom w:val="nil"/>
              <w:right w:val="nil"/>
            </w:tcBorders>
            <w:shd w:val="clear" w:color="auto" w:fill="auto"/>
            <w:noWrap/>
            <w:vAlign w:val="center"/>
            <w:hideMark/>
          </w:tcPr>
          <w:p w14:paraId="3F7F9A02" w14:textId="77777777" w:rsidR="00572F25" w:rsidRPr="008528C0" w:rsidRDefault="00572F25" w:rsidP="00140544">
            <w:pPr>
              <w:spacing w:after="0"/>
              <w:rPr>
                <w:rFonts w:cs="Arial"/>
                <w:color w:val="000000"/>
                <w:sz w:val="18"/>
                <w:szCs w:val="18"/>
              </w:rPr>
            </w:pPr>
            <w:r w:rsidRPr="008528C0">
              <w:rPr>
                <w:rFonts w:cs="Arial"/>
                <w:color w:val="000000"/>
                <w:sz w:val="18"/>
                <w:szCs w:val="18"/>
              </w:rPr>
              <w:t>Thoracic surgery</w:t>
            </w:r>
          </w:p>
        </w:tc>
        <w:tc>
          <w:tcPr>
            <w:tcW w:w="1017" w:type="dxa"/>
            <w:tcBorders>
              <w:top w:val="nil"/>
              <w:left w:val="nil"/>
              <w:bottom w:val="nil"/>
              <w:right w:val="nil"/>
            </w:tcBorders>
            <w:shd w:val="clear" w:color="auto" w:fill="auto"/>
            <w:noWrap/>
            <w:vAlign w:val="center"/>
            <w:hideMark/>
          </w:tcPr>
          <w:p w14:paraId="1D440A2F" w14:textId="77777777" w:rsidR="00572F25" w:rsidRPr="008528C0" w:rsidRDefault="00572F25" w:rsidP="00140544">
            <w:pPr>
              <w:spacing w:after="0"/>
              <w:jc w:val="center"/>
              <w:rPr>
                <w:rFonts w:cs="Arial"/>
                <w:color w:val="000000"/>
                <w:sz w:val="18"/>
                <w:szCs w:val="18"/>
              </w:rPr>
            </w:pPr>
            <w:r w:rsidRPr="008528C0">
              <w:rPr>
                <w:rFonts w:cs="Arial"/>
                <w:color w:val="000000"/>
                <w:sz w:val="18"/>
                <w:szCs w:val="18"/>
              </w:rPr>
              <w:t>86</w:t>
            </w:r>
          </w:p>
        </w:tc>
        <w:tc>
          <w:tcPr>
            <w:tcW w:w="1183" w:type="dxa"/>
            <w:tcBorders>
              <w:top w:val="nil"/>
              <w:left w:val="nil"/>
              <w:bottom w:val="nil"/>
              <w:right w:val="nil"/>
            </w:tcBorders>
            <w:shd w:val="clear" w:color="auto" w:fill="auto"/>
            <w:noWrap/>
            <w:vAlign w:val="center"/>
            <w:hideMark/>
          </w:tcPr>
          <w:p w14:paraId="56475D2D" w14:textId="77777777" w:rsidR="00572F25" w:rsidRPr="008528C0" w:rsidRDefault="00572F25" w:rsidP="00140544">
            <w:pPr>
              <w:spacing w:after="0"/>
              <w:jc w:val="right"/>
              <w:rPr>
                <w:rFonts w:cs="Arial"/>
                <w:color w:val="000000"/>
                <w:sz w:val="18"/>
                <w:szCs w:val="18"/>
              </w:rPr>
            </w:pPr>
            <w:r w:rsidRPr="008528C0">
              <w:rPr>
                <w:rFonts w:cs="Arial"/>
                <w:color w:val="000000"/>
                <w:sz w:val="18"/>
                <w:szCs w:val="18"/>
              </w:rPr>
              <w:t>48</w:t>
            </w:r>
          </w:p>
        </w:tc>
        <w:tc>
          <w:tcPr>
            <w:tcW w:w="1184" w:type="dxa"/>
            <w:tcBorders>
              <w:top w:val="nil"/>
              <w:left w:val="nil"/>
              <w:bottom w:val="nil"/>
              <w:right w:val="single" w:sz="8" w:space="0" w:color="00A79D"/>
            </w:tcBorders>
            <w:shd w:val="clear" w:color="auto" w:fill="auto"/>
            <w:noWrap/>
            <w:vAlign w:val="center"/>
            <w:hideMark/>
          </w:tcPr>
          <w:p w14:paraId="0ACE78B8" w14:textId="77777777" w:rsidR="00572F25" w:rsidRPr="008528C0" w:rsidRDefault="00572F25" w:rsidP="00140544">
            <w:pPr>
              <w:spacing w:after="0"/>
              <w:rPr>
                <w:rFonts w:cs="Arial"/>
                <w:color w:val="000000"/>
                <w:sz w:val="18"/>
                <w:szCs w:val="18"/>
              </w:rPr>
            </w:pPr>
            <w:r>
              <w:rPr>
                <w:rFonts w:cs="Arial"/>
                <w:color w:val="000000"/>
                <w:sz w:val="18"/>
                <w:szCs w:val="18"/>
              </w:rPr>
              <w:t>55.8</w:t>
            </w:r>
          </w:p>
        </w:tc>
        <w:tc>
          <w:tcPr>
            <w:tcW w:w="993" w:type="dxa"/>
            <w:tcBorders>
              <w:top w:val="nil"/>
              <w:left w:val="nil"/>
              <w:bottom w:val="nil"/>
              <w:right w:val="nil"/>
            </w:tcBorders>
            <w:shd w:val="clear" w:color="auto" w:fill="auto"/>
            <w:noWrap/>
            <w:vAlign w:val="center"/>
            <w:hideMark/>
          </w:tcPr>
          <w:p w14:paraId="2DF9D781" w14:textId="77777777" w:rsidR="00572F25" w:rsidRPr="008528C0" w:rsidRDefault="00572F25" w:rsidP="00140544">
            <w:pPr>
              <w:spacing w:after="0"/>
              <w:jc w:val="center"/>
              <w:rPr>
                <w:rFonts w:cs="Arial"/>
                <w:color w:val="000000"/>
                <w:sz w:val="18"/>
                <w:szCs w:val="18"/>
              </w:rPr>
            </w:pPr>
            <w:r w:rsidRPr="008528C0">
              <w:rPr>
                <w:rFonts w:cs="Arial"/>
                <w:color w:val="000000"/>
                <w:sz w:val="18"/>
                <w:szCs w:val="18"/>
              </w:rPr>
              <w:t>49</w:t>
            </w:r>
          </w:p>
        </w:tc>
        <w:tc>
          <w:tcPr>
            <w:tcW w:w="708" w:type="dxa"/>
            <w:tcBorders>
              <w:top w:val="nil"/>
              <w:left w:val="nil"/>
              <w:bottom w:val="nil"/>
              <w:right w:val="nil"/>
            </w:tcBorders>
            <w:shd w:val="clear" w:color="auto" w:fill="auto"/>
            <w:noWrap/>
            <w:vAlign w:val="center"/>
            <w:hideMark/>
          </w:tcPr>
          <w:p w14:paraId="64CD2D3A" w14:textId="77777777" w:rsidR="00572F25" w:rsidRPr="008528C0" w:rsidRDefault="00572F25" w:rsidP="00140544">
            <w:pPr>
              <w:spacing w:after="0"/>
              <w:jc w:val="right"/>
              <w:rPr>
                <w:rFonts w:cs="Arial"/>
                <w:color w:val="000000"/>
                <w:sz w:val="18"/>
                <w:szCs w:val="18"/>
              </w:rPr>
            </w:pPr>
            <w:r w:rsidRPr="008528C0">
              <w:rPr>
                <w:rFonts w:cs="Arial"/>
                <w:color w:val="000000"/>
                <w:sz w:val="18"/>
                <w:szCs w:val="18"/>
              </w:rPr>
              <w:t>30</w:t>
            </w:r>
          </w:p>
        </w:tc>
        <w:tc>
          <w:tcPr>
            <w:tcW w:w="709" w:type="dxa"/>
            <w:tcBorders>
              <w:top w:val="nil"/>
              <w:left w:val="nil"/>
              <w:bottom w:val="nil"/>
              <w:right w:val="nil"/>
            </w:tcBorders>
            <w:shd w:val="clear" w:color="auto" w:fill="auto"/>
            <w:vAlign w:val="center"/>
            <w:hideMark/>
          </w:tcPr>
          <w:p w14:paraId="2E4D0135" w14:textId="77777777" w:rsidR="00572F25" w:rsidRPr="008528C0" w:rsidRDefault="00572F25" w:rsidP="00140544">
            <w:pPr>
              <w:spacing w:after="0"/>
              <w:rPr>
                <w:rFonts w:cs="Arial"/>
                <w:color w:val="000000"/>
                <w:sz w:val="18"/>
                <w:szCs w:val="18"/>
              </w:rPr>
            </w:pPr>
            <w:r w:rsidRPr="008528C0">
              <w:rPr>
                <w:rFonts w:cs="Arial"/>
                <w:color w:val="000000"/>
                <w:sz w:val="18"/>
                <w:szCs w:val="18"/>
              </w:rPr>
              <w:t>61.2</w:t>
            </w:r>
          </w:p>
        </w:tc>
      </w:tr>
      <w:tr w:rsidR="00572F25" w:rsidRPr="008528C0" w14:paraId="18DA863D" w14:textId="77777777" w:rsidTr="00140544">
        <w:trPr>
          <w:trHeight w:val="315"/>
        </w:trPr>
        <w:tc>
          <w:tcPr>
            <w:tcW w:w="3420" w:type="dxa"/>
            <w:tcBorders>
              <w:top w:val="double" w:sz="6" w:space="0" w:color="BCBEC0"/>
              <w:left w:val="nil"/>
              <w:bottom w:val="nil"/>
              <w:right w:val="nil"/>
            </w:tcBorders>
            <w:shd w:val="clear" w:color="000000" w:fill="6DB2AD"/>
            <w:noWrap/>
            <w:vAlign w:val="center"/>
            <w:hideMark/>
          </w:tcPr>
          <w:p w14:paraId="79D93F10" w14:textId="77777777" w:rsidR="00572F25" w:rsidRPr="00774C15" w:rsidRDefault="00572F25" w:rsidP="00140544">
            <w:pPr>
              <w:spacing w:after="0"/>
              <w:rPr>
                <w:rFonts w:cs="Arial"/>
                <w:color w:val="auto"/>
                <w:sz w:val="18"/>
                <w:szCs w:val="18"/>
              </w:rPr>
            </w:pPr>
            <w:r w:rsidRPr="00774C15">
              <w:rPr>
                <w:rFonts w:cs="Arial"/>
                <w:color w:val="auto"/>
                <w:sz w:val="18"/>
                <w:szCs w:val="18"/>
              </w:rPr>
              <w:t>Total</w:t>
            </w:r>
          </w:p>
        </w:tc>
        <w:tc>
          <w:tcPr>
            <w:tcW w:w="1017" w:type="dxa"/>
            <w:tcBorders>
              <w:top w:val="double" w:sz="6" w:space="0" w:color="BCBEC0"/>
              <w:left w:val="nil"/>
              <w:bottom w:val="nil"/>
              <w:right w:val="nil"/>
            </w:tcBorders>
            <w:shd w:val="clear" w:color="000000" w:fill="6DB2AD"/>
            <w:noWrap/>
            <w:vAlign w:val="center"/>
            <w:hideMark/>
          </w:tcPr>
          <w:p w14:paraId="1E55366F" w14:textId="77777777" w:rsidR="00572F25" w:rsidRPr="00774C15" w:rsidRDefault="00572F25" w:rsidP="00140544">
            <w:pPr>
              <w:spacing w:after="0"/>
              <w:jc w:val="center"/>
              <w:rPr>
                <w:rFonts w:cs="Arial"/>
                <w:color w:val="auto"/>
                <w:sz w:val="18"/>
                <w:szCs w:val="18"/>
              </w:rPr>
            </w:pPr>
            <w:r w:rsidRPr="00774C15">
              <w:rPr>
                <w:rFonts w:cs="Arial"/>
                <w:color w:val="auto"/>
                <w:sz w:val="18"/>
                <w:szCs w:val="18"/>
              </w:rPr>
              <w:t>10,927</w:t>
            </w:r>
          </w:p>
        </w:tc>
        <w:tc>
          <w:tcPr>
            <w:tcW w:w="1183" w:type="dxa"/>
            <w:tcBorders>
              <w:top w:val="double" w:sz="6" w:space="0" w:color="BCBEC0"/>
              <w:left w:val="nil"/>
              <w:bottom w:val="nil"/>
              <w:right w:val="nil"/>
            </w:tcBorders>
            <w:shd w:val="clear" w:color="000000" w:fill="6DB2AD"/>
            <w:noWrap/>
            <w:vAlign w:val="center"/>
            <w:hideMark/>
          </w:tcPr>
          <w:p w14:paraId="46161046" w14:textId="77777777" w:rsidR="00572F25" w:rsidRPr="00774C15" w:rsidRDefault="00572F25" w:rsidP="00140544">
            <w:pPr>
              <w:spacing w:after="0"/>
              <w:jc w:val="right"/>
              <w:rPr>
                <w:rFonts w:cs="Arial"/>
                <w:color w:val="auto"/>
                <w:sz w:val="18"/>
                <w:szCs w:val="18"/>
              </w:rPr>
            </w:pPr>
            <w:r w:rsidRPr="00774C15">
              <w:rPr>
                <w:rFonts w:cs="Arial"/>
                <w:color w:val="auto"/>
                <w:sz w:val="18"/>
                <w:szCs w:val="18"/>
              </w:rPr>
              <w:t>3,978</w:t>
            </w:r>
          </w:p>
        </w:tc>
        <w:tc>
          <w:tcPr>
            <w:tcW w:w="1184" w:type="dxa"/>
            <w:tcBorders>
              <w:top w:val="double" w:sz="6" w:space="0" w:color="BCBEC0"/>
              <w:left w:val="nil"/>
              <w:bottom w:val="nil"/>
              <w:right w:val="single" w:sz="8" w:space="0" w:color="00A79D"/>
            </w:tcBorders>
            <w:shd w:val="clear" w:color="000000" w:fill="6DB2AD"/>
            <w:noWrap/>
            <w:vAlign w:val="center"/>
            <w:hideMark/>
          </w:tcPr>
          <w:p w14:paraId="577B2000" w14:textId="77777777" w:rsidR="00572F25" w:rsidRPr="00774C15" w:rsidRDefault="00572F25" w:rsidP="00140544">
            <w:pPr>
              <w:spacing w:after="0"/>
              <w:rPr>
                <w:rFonts w:cs="Arial"/>
                <w:color w:val="auto"/>
                <w:sz w:val="18"/>
                <w:szCs w:val="18"/>
              </w:rPr>
            </w:pPr>
            <w:r w:rsidRPr="00774C15">
              <w:rPr>
                <w:rFonts w:cs="Arial"/>
                <w:color w:val="auto"/>
                <w:sz w:val="18"/>
                <w:szCs w:val="18"/>
              </w:rPr>
              <w:t>36.4</w:t>
            </w:r>
          </w:p>
        </w:tc>
        <w:tc>
          <w:tcPr>
            <w:tcW w:w="993" w:type="dxa"/>
            <w:tcBorders>
              <w:top w:val="double" w:sz="6" w:space="0" w:color="BCBEC0"/>
              <w:left w:val="nil"/>
              <w:bottom w:val="nil"/>
              <w:right w:val="nil"/>
            </w:tcBorders>
            <w:shd w:val="clear" w:color="000000" w:fill="6DB2AD"/>
            <w:noWrap/>
            <w:vAlign w:val="center"/>
            <w:hideMark/>
          </w:tcPr>
          <w:p w14:paraId="29878049" w14:textId="77777777" w:rsidR="00572F25" w:rsidRPr="00774C15" w:rsidRDefault="00572F25" w:rsidP="00140544">
            <w:pPr>
              <w:spacing w:after="0"/>
              <w:jc w:val="center"/>
              <w:rPr>
                <w:rFonts w:cs="Arial"/>
                <w:color w:val="auto"/>
                <w:sz w:val="18"/>
                <w:szCs w:val="18"/>
              </w:rPr>
            </w:pPr>
            <w:r w:rsidRPr="00774C15">
              <w:rPr>
                <w:rFonts w:cs="Arial"/>
                <w:color w:val="auto"/>
                <w:sz w:val="18"/>
                <w:szCs w:val="18"/>
              </w:rPr>
              <w:t>4,585</w:t>
            </w:r>
          </w:p>
        </w:tc>
        <w:tc>
          <w:tcPr>
            <w:tcW w:w="708" w:type="dxa"/>
            <w:tcBorders>
              <w:top w:val="double" w:sz="6" w:space="0" w:color="BCBEC0"/>
              <w:left w:val="nil"/>
              <w:bottom w:val="nil"/>
              <w:right w:val="nil"/>
            </w:tcBorders>
            <w:shd w:val="clear" w:color="000000" w:fill="6DB2AD"/>
            <w:noWrap/>
            <w:vAlign w:val="center"/>
            <w:hideMark/>
          </w:tcPr>
          <w:p w14:paraId="4E5133A8" w14:textId="77777777" w:rsidR="00572F25" w:rsidRPr="00774C15" w:rsidRDefault="00572F25" w:rsidP="00140544">
            <w:pPr>
              <w:spacing w:after="0"/>
              <w:jc w:val="right"/>
              <w:rPr>
                <w:rFonts w:cs="Arial"/>
                <w:color w:val="auto"/>
                <w:sz w:val="18"/>
                <w:szCs w:val="18"/>
              </w:rPr>
            </w:pPr>
            <w:r w:rsidRPr="00774C15">
              <w:rPr>
                <w:rFonts w:cs="Arial"/>
                <w:color w:val="auto"/>
                <w:sz w:val="18"/>
                <w:szCs w:val="18"/>
              </w:rPr>
              <w:t>2,828</w:t>
            </w:r>
          </w:p>
        </w:tc>
        <w:tc>
          <w:tcPr>
            <w:tcW w:w="709" w:type="dxa"/>
            <w:tcBorders>
              <w:top w:val="double" w:sz="6" w:space="0" w:color="BCBEC0"/>
              <w:left w:val="nil"/>
              <w:bottom w:val="nil"/>
              <w:right w:val="nil"/>
            </w:tcBorders>
            <w:shd w:val="clear" w:color="000000" w:fill="6DB2AD"/>
            <w:vAlign w:val="center"/>
            <w:hideMark/>
          </w:tcPr>
          <w:p w14:paraId="1C378448" w14:textId="77777777" w:rsidR="00572F25" w:rsidRPr="00774C15" w:rsidRDefault="00572F25" w:rsidP="00140544">
            <w:pPr>
              <w:spacing w:after="0"/>
              <w:rPr>
                <w:rFonts w:cs="Arial"/>
                <w:color w:val="auto"/>
                <w:sz w:val="18"/>
                <w:szCs w:val="18"/>
              </w:rPr>
            </w:pPr>
            <w:r w:rsidRPr="00774C15">
              <w:rPr>
                <w:rFonts w:cs="Arial"/>
                <w:color w:val="auto"/>
                <w:sz w:val="18"/>
                <w:szCs w:val="18"/>
              </w:rPr>
              <w:t>61.7</w:t>
            </w:r>
          </w:p>
        </w:tc>
      </w:tr>
    </w:tbl>
    <w:p w14:paraId="125CA1F6" w14:textId="77777777" w:rsidR="00572F25" w:rsidRPr="00C27AA2" w:rsidRDefault="00572F25" w:rsidP="00572F25">
      <w:pPr>
        <w:spacing w:before="240"/>
        <w:rPr>
          <w:sz w:val="18"/>
          <w:szCs w:val="18"/>
        </w:rPr>
      </w:pPr>
      <w:r w:rsidRPr="00C27AA2">
        <w:rPr>
          <w:sz w:val="18"/>
          <w:szCs w:val="18"/>
        </w:rPr>
        <w:t>* Percentages are not shown for antimicrobials where n &lt;10</w:t>
      </w:r>
      <w:r>
        <w:rPr>
          <w:sz w:val="18"/>
          <w:szCs w:val="18"/>
        </w:rPr>
        <w:t>.</w:t>
      </w:r>
    </w:p>
    <w:p w14:paraId="06BE1F01" w14:textId="77777777" w:rsidR="00572F25" w:rsidRPr="0072278A" w:rsidRDefault="00572F25" w:rsidP="00977AD6">
      <w:pPr>
        <w:pStyle w:val="Heading3"/>
      </w:pPr>
      <w:r>
        <w:t>Duration of prophylaxis</w:t>
      </w:r>
    </w:p>
    <w:p w14:paraId="46B82B86" w14:textId="77777777" w:rsidR="00572F25" w:rsidRDefault="00572F25" w:rsidP="00572F25">
      <w:r w:rsidRPr="00A51539">
        <w:t>Of all surgical episodes, prophylaxis was prescribed in over a quarter (26.9%) for up to or greater than 24 hours, and in 16.5% for up to or greater than 48 hours (Table A3.9). Three procedure groups accounted for 58.0% of all episodes with prescriptions up to or greater than 24 hours: orthopaedic surgery (</w:t>
      </w:r>
      <w:r w:rsidRPr="00A51539">
        <w:rPr>
          <w:iCs/>
        </w:rPr>
        <w:t>n</w:t>
      </w:r>
      <w:r w:rsidRPr="00A51539">
        <w:t>=863 episodes), ophthalmology (</w:t>
      </w:r>
      <w:r w:rsidRPr="00A51539">
        <w:rPr>
          <w:iCs/>
        </w:rPr>
        <w:t>n</w:t>
      </w:r>
      <w:r w:rsidRPr="00A51539">
        <w:t xml:space="preserve">=541 episodes) and plastic and reconstructive </w:t>
      </w:r>
      <w:r w:rsidRPr="00921BCD">
        <w:t>surgery</w:t>
      </w:r>
      <w:r w:rsidRPr="00A51539">
        <w:t xml:space="preserve"> (</w:t>
      </w:r>
      <w:r w:rsidRPr="00A51539">
        <w:rPr>
          <w:iCs/>
        </w:rPr>
        <w:t>n</w:t>
      </w:r>
      <w:r w:rsidRPr="00A51539">
        <w:t>=299 episodes). Of these, the greatest reduction</w:t>
      </w:r>
      <w:r>
        <w:t>s</w:t>
      </w:r>
      <w:r w:rsidRPr="00A51539">
        <w:t xml:space="preserve"> in episodes where prophylaxis was prescribed </w:t>
      </w:r>
      <w:r>
        <w:t>were</w:t>
      </w:r>
      <w:r w:rsidRPr="00A51539">
        <w:t xml:space="preserve"> for neurosurgery, from 35.3% at 24 hours to 7.8% at 48</w:t>
      </w:r>
      <w:r>
        <w:t> </w:t>
      </w:r>
      <w:r w:rsidRPr="00A51539">
        <w:t xml:space="preserve">hours; and for orthopaedic surgery, from 37.6% at 24 hours to </w:t>
      </w:r>
      <w:r>
        <w:t>10.5% at 48 hours.</w:t>
      </w:r>
      <w:r>
        <w:br w:type="page"/>
      </w:r>
    </w:p>
    <w:p w14:paraId="226A9C6E" w14:textId="77777777" w:rsidR="00572F25" w:rsidRPr="00990770" w:rsidRDefault="00572F25" w:rsidP="00572F25">
      <w:pPr>
        <w:pStyle w:val="Captions"/>
      </w:pPr>
      <w:r w:rsidRPr="00990770">
        <w:lastRenderedPageBreak/>
        <w:t>Table A</w:t>
      </w:r>
      <w:r>
        <w:t>3</w:t>
      </w:r>
      <w:r w:rsidRPr="00990770">
        <w:t>.9:</w:t>
      </w:r>
      <w:r w:rsidRPr="00990770">
        <w:tab/>
        <w:t>Percentage of surgical prophylaxis prescribed for greater than 24 and 48 hours, by surgical episode</w:t>
      </w:r>
      <w:r>
        <w:t>*</w:t>
      </w:r>
      <w:r w:rsidRPr="00990770">
        <w:t>, Surgical</w:t>
      </w:r>
      <w:r>
        <w:t xml:space="preserve"> </w:t>
      </w:r>
      <w:r>
        <w:rPr>
          <w:rFonts w:cs="Arial"/>
        </w:rPr>
        <w:t>NAPS</w:t>
      </w:r>
      <w:r w:rsidRPr="00990770">
        <w:t xml:space="preserve"> contributor facilities, </w:t>
      </w:r>
      <w:proofErr w:type="gramStart"/>
      <w:r w:rsidRPr="00990770">
        <w:t>20</w:t>
      </w:r>
      <w:r>
        <w:t>21</w:t>
      </w:r>
      <w:proofErr w:type="gramEnd"/>
    </w:p>
    <w:tbl>
      <w:tblPr>
        <w:tblW w:w="9214" w:type="dxa"/>
        <w:tblLayout w:type="fixed"/>
        <w:tblLook w:val="04A0" w:firstRow="1" w:lastRow="0" w:firstColumn="1" w:lastColumn="0" w:noHBand="0" w:noVBand="1"/>
      </w:tblPr>
      <w:tblGrid>
        <w:gridCol w:w="3520"/>
        <w:gridCol w:w="1180"/>
        <w:gridCol w:w="1128"/>
        <w:gridCol w:w="1129"/>
        <w:gridCol w:w="1128"/>
        <w:gridCol w:w="1129"/>
      </w:tblGrid>
      <w:tr w:rsidR="00572F25" w:rsidRPr="00A92AA5" w14:paraId="36D58763" w14:textId="77777777" w:rsidTr="00140544">
        <w:trPr>
          <w:cantSplit/>
          <w:trHeight w:val="300"/>
          <w:tblHeader/>
        </w:trPr>
        <w:tc>
          <w:tcPr>
            <w:tcW w:w="3520" w:type="dxa"/>
            <w:vMerge w:val="restart"/>
            <w:tcBorders>
              <w:top w:val="nil"/>
              <w:left w:val="nil"/>
              <w:bottom w:val="nil"/>
              <w:right w:val="nil"/>
            </w:tcBorders>
            <w:shd w:val="clear" w:color="000000" w:fill="007D75"/>
            <w:noWrap/>
            <w:vAlign w:val="center"/>
            <w:hideMark/>
          </w:tcPr>
          <w:p w14:paraId="6EFFFF40" w14:textId="77777777" w:rsidR="00572F25" w:rsidRPr="00A92AA5" w:rsidRDefault="00572F25" w:rsidP="00140544">
            <w:pPr>
              <w:spacing w:after="0"/>
              <w:rPr>
                <w:rFonts w:cs="Arial"/>
                <w:color w:val="FFFFFF"/>
                <w:sz w:val="20"/>
                <w:szCs w:val="20"/>
              </w:rPr>
            </w:pPr>
            <w:r w:rsidRPr="00A92AA5">
              <w:rPr>
                <w:rFonts w:cs="Arial"/>
                <w:color w:val="FFFFFF"/>
                <w:sz w:val="20"/>
                <w:szCs w:val="20"/>
              </w:rPr>
              <w:t>Procedure group</w:t>
            </w:r>
          </w:p>
        </w:tc>
        <w:tc>
          <w:tcPr>
            <w:tcW w:w="1180" w:type="dxa"/>
            <w:vMerge w:val="restart"/>
            <w:tcBorders>
              <w:top w:val="nil"/>
              <w:left w:val="nil"/>
              <w:bottom w:val="nil"/>
              <w:right w:val="nil"/>
            </w:tcBorders>
            <w:shd w:val="clear" w:color="000000" w:fill="007D75"/>
            <w:vAlign w:val="center"/>
            <w:hideMark/>
          </w:tcPr>
          <w:p w14:paraId="6DF02B8A" w14:textId="77777777" w:rsidR="00572F25" w:rsidRPr="00A92AA5" w:rsidRDefault="00572F25" w:rsidP="00140544">
            <w:pPr>
              <w:spacing w:after="0"/>
              <w:jc w:val="center"/>
              <w:rPr>
                <w:rFonts w:cs="Arial"/>
                <w:color w:val="FFFFFF"/>
                <w:sz w:val="20"/>
                <w:szCs w:val="20"/>
              </w:rPr>
            </w:pPr>
            <w:r w:rsidRPr="00A92AA5">
              <w:rPr>
                <w:rFonts w:cs="Arial"/>
                <w:color w:val="FFFFFF"/>
                <w:sz w:val="20"/>
                <w:szCs w:val="20"/>
              </w:rPr>
              <w:t>Surgical episodes</w:t>
            </w:r>
          </w:p>
        </w:tc>
        <w:tc>
          <w:tcPr>
            <w:tcW w:w="2257" w:type="dxa"/>
            <w:gridSpan w:val="2"/>
            <w:tcBorders>
              <w:top w:val="nil"/>
              <w:left w:val="nil"/>
              <w:bottom w:val="nil"/>
              <w:right w:val="nil"/>
            </w:tcBorders>
            <w:shd w:val="clear" w:color="000000" w:fill="007D75"/>
            <w:vAlign w:val="center"/>
            <w:hideMark/>
          </w:tcPr>
          <w:p w14:paraId="31C33F8D" w14:textId="77777777" w:rsidR="00572F25" w:rsidRPr="00A92AA5" w:rsidRDefault="00572F25" w:rsidP="00140544">
            <w:pPr>
              <w:spacing w:after="0"/>
              <w:jc w:val="center"/>
              <w:rPr>
                <w:rFonts w:cs="Arial"/>
                <w:color w:val="FFFFFF"/>
                <w:sz w:val="20"/>
                <w:szCs w:val="20"/>
              </w:rPr>
            </w:pPr>
            <w:r w:rsidRPr="00A92AA5">
              <w:rPr>
                <w:rFonts w:cs="Arial"/>
                <w:color w:val="FFFFFF"/>
                <w:sz w:val="20"/>
                <w:szCs w:val="20"/>
              </w:rPr>
              <w:t>Duration</w:t>
            </w:r>
          </w:p>
        </w:tc>
        <w:tc>
          <w:tcPr>
            <w:tcW w:w="2257" w:type="dxa"/>
            <w:gridSpan w:val="2"/>
            <w:tcBorders>
              <w:top w:val="nil"/>
              <w:left w:val="nil"/>
              <w:bottom w:val="nil"/>
              <w:right w:val="nil"/>
            </w:tcBorders>
            <w:shd w:val="clear" w:color="000000" w:fill="007D75"/>
            <w:vAlign w:val="center"/>
            <w:hideMark/>
          </w:tcPr>
          <w:p w14:paraId="2A69C5C9" w14:textId="77777777" w:rsidR="00572F25" w:rsidRPr="00A92AA5" w:rsidRDefault="00572F25" w:rsidP="00140544">
            <w:pPr>
              <w:spacing w:after="0"/>
              <w:jc w:val="center"/>
              <w:rPr>
                <w:rFonts w:cs="Arial"/>
                <w:color w:val="FFFFFF"/>
                <w:sz w:val="20"/>
                <w:szCs w:val="20"/>
              </w:rPr>
            </w:pPr>
            <w:r w:rsidRPr="00A92AA5">
              <w:rPr>
                <w:rFonts w:cs="Arial"/>
                <w:color w:val="FFFFFF"/>
                <w:sz w:val="20"/>
                <w:szCs w:val="20"/>
              </w:rPr>
              <w:t>Duration</w:t>
            </w:r>
          </w:p>
        </w:tc>
      </w:tr>
      <w:tr w:rsidR="00572F25" w:rsidRPr="00A92AA5" w14:paraId="2CA665A3" w14:textId="77777777" w:rsidTr="00140544">
        <w:trPr>
          <w:trHeight w:val="300"/>
          <w:tblHeader/>
        </w:trPr>
        <w:tc>
          <w:tcPr>
            <w:tcW w:w="3520" w:type="dxa"/>
            <w:vMerge/>
            <w:tcBorders>
              <w:top w:val="nil"/>
              <w:left w:val="nil"/>
              <w:bottom w:val="nil"/>
              <w:right w:val="nil"/>
            </w:tcBorders>
            <w:vAlign w:val="center"/>
            <w:hideMark/>
          </w:tcPr>
          <w:p w14:paraId="38B7B2DD" w14:textId="77777777" w:rsidR="00572F25" w:rsidRPr="00A92AA5" w:rsidRDefault="00572F25" w:rsidP="00140544">
            <w:pPr>
              <w:spacing w:after="0"/>
              <w:rPr>
                <w:rFonts w:cs="Arial"/>
                <w:color w:val="FFFFFF"/>
                <w:sz w:val="20"/>
                <w:szCs w:val="20"/>
              </w:rPr>
            </w:pPr>
          </w:p>
        </w:tc>
        <w:tc>
          <w:tcPr>
            <w:tcW w:w="1180" w:type="dxa"/>
            <w:vMerge/>
            <w:tcBorders>
              <w:top w:val="nil"/>
              <w:left w:val="nil"/>
              <w:bottom w:val="nil"/>
              <w:right w:val="nil"/>
            </w:tcBorders>
            <w:vAlign w:val="center"/>
            <w:hideMark/>
          </w:tcPr>
          <w:p w14:paraId="7A559037" w14:textId="77777777" w:rsidR="00572F25" w:rsidRPr="00A92AA5" w:rsidRDefault="00572F25" w:rsidP="00140544">
            <w:pPr>
              <w:spacing w:after="0"/>
              <w:rPr>
                <w:rFonts w:cs="Arial"/>
                <w:color w:val="FFFFFF"/>
                <w:sz w:val="20"/>
                <w:szCs w:val="20"/>
              </w:rPr>
            </w:pPr>
          </w:p>
        </w:tc>
        <w:tc>
          <w:tcPr>
            <w:tcW w:w="2257" w:type="dxa"/>
            <w:gridSpan w:val="2"/>
            <w:tcBorders>
              <w:top w:val="nil"/>
              <w:left w:val="nil"/>
              <w:bottom w:val="nil"/>
              <w:right w:val="nil"/>
            </w:tcBorders>
            <w:shd w:val="clear" w:color="000000" w:fill="007D75"/>
            <w:vAlign w:val="center"/>
            <w:hideMark/>
          </w:tcPr>
          <w:p w14:paraId="3F8A7635" w14:textId="77777777" w:rsidR="00572F25" w:rsidRPr="00A92AA5" w:rsidRDefault="00312892" w:rsidP="00140544">
            <w:pPr>
              <w:spacing w:after="0"/>
              <w:jc w:val="center"/>
              <w:rPr>
                <w:rFonts w:cs="Arial"/>
                <w:color w:val="FFFFFF"/>
                <w:sz w:val="20"/>
                <w:szCs w:val="20"/>
              </w:rPr>
            </w:pPr>
            <w:r>
              <w:rPr>
                <w:rFonts w:cs="Arial"/>
                <w:color w:val="FFFFFF"/>
                <w:sz w:val="20"/>
                <w:szCs w:val="20"/>
              </w:rPr>
              <w:t>&gt;</w:t>
            </w:r>
            <w:r w:rsidR="00572F25" w:rsidRPr="00A92AA5">
              <w:rPr>
                <w:rFonts w:cs="Arial"/>
                <w:color w:val="FFFFFF"/>
                <w:sz w:val="20"/>
                <w:szCs w:val="20"/>
              </w:rPr>
              <w:t>24 hours</w:t>
            </w:r>
          </w:p>
        </w:tc>
        <w:tc>
          <w:tcPr>
            <w:tcW w:w="2257" w:type="dxa"/>
            <w:gridSpan w:val="2"/>
            <w:tcBorders>
              <w:top w:val="nil"/>
              <w:left w:val="nil"/>
              <w:bottom w:val="nil"/>
              <w:right w:val="nil"/>
            </w:tcBorders>
            <w:shd w:val="clear" w:color="000000" w:fill="007D75"/>
            <w:vAlign w:val="center"/>
            <w:hideMark/>
          </w:tcPr>
          <w:p w14:paraId="3DE59C35" w14:textId="77777777" w:rsidR="00572F25" w:rsidRPr="00A92AA5" w:rsidRDefault="00312892" w:rsidP="00140544">
            <w:pPr>
              <w:spacing w:after="0"/>
              <w:jc w:val="center"/>
              <w:rPr>
                <w:rFonts w:cs="Arial"/>
                <w:color w:val="FFFFFF"/>
                <w:sz w:val="20"/>
                <w:szCs w:val="20"/>
              </w:rPr>
            </w:pPr>
            <w:r>
              <w:rPr>
                <w:rFonts w:cs="Arial"/>
                <w:color w:val="FFFFFF"/>
                <w:sz w:val="20"/>
                <w:szCs w:val="20"/>
              </w:rPr>
              <w:t>&gt;</w:t>
            </w:r>
            <w:r w:rsidR="00572F25" w:rsidRPr="00A92AA5">
              <w:rPr>
                <w:rFonts w:cs="Arial"/>
                <w:color w:val="FFFFFF"/>
                <w:sz w:val="20"/>
                <w:szCs w:val="20"/>
              </w:rPr>
              <w:t>48 hours</w:t>
            </w:r>
          </w:p>
        </w:tc>
      </w:tr>
      <w:tr w:rsidR="00572F25" w:rsidRPr="00A92AA5" w14:paraId="182AF107" w14:textId="77777777" w:rsidTr="00140544">
        <w:trPr>
          <w:cantSplit/>
          <w:trHeight w:val="300"/>
          <w:tblHeader/>
        </w:trPr>
        <w:tc>
          <w:tcPr>
            <w:tcW w:w="3520" w:type="dxa"/>
            <w:vMerge/>
            <w:tcBorders>
              <w:top w:val="nil"/>
              <w:left w:val="nil"/>
              <w:bottom w:val="nil"/>
              <w:right w:val="nil"/>
            </w:tcBorders>
            <w:vAlign w:val="center"/>
            <w:hideMark/>
          </w:tcPr>
          <w:p w14:paraId="0695E387" w14:textId="77777777" w:rsidR="00572F25" w:rsidRPr="00A92AA5" w:rsidRDefault="00572F25" w:rsidP="00140544">
            <w:pPr>
              <w:spacing w:after="0"/>
              <w:rPr>
                <w:rFonts w:cs="Arial"/>
                <w:color w:val="FFFFFF"/>
                <w:sz w:val="20"/>
                <w:szCs w:val="20"/>
              </w:rPr>
            </w:pPr>
          </w:p>
        </w:tc>
        <w:tc>
          <w:tcPr>
            <w:tcW w:w="1180" w:type="dxa"/>
            <w:tcBorders>
              <w:top w:val="nil"/>
              <w:left w:val="nil"/>
              <w:bottom w:val="nil"/>
              <w:right w:val="nil"/>
            </w:tcBorders>
            <w:shd w:val="clear" w:color="000000" w:fill="007D75"/>
            <w:noWrap/>
            <w:vAlign w:val="center"/>
            <w:hideMark/>
          </w:tcPr>
          <w:p w14:paraId="3F466632" w14:textId="77777777" w:rsidR="00572F25" w:rsidRPr="00A92AA5" w:rsidRDefault="00572F25" w:rsidP="00140544">
            <w:pPr>
              <w:spacing w:after="0"/>
              <w:jc w:val="center"/>
              <w:rPr>
                <w:rFonts w:cs="Arial"/>
                <w:color w:val="FFFFFF"/>
                <w:sz w:val="20"/>
                <w:szCs w:val="20"/>
              </w:rPr>
            </w:pPr>
            <w:r w:rsidRPr="00A92AA5">
              <w:rPr>
                <w:rFonts w:cs="Arial"/>
                <w:color w:val="FFFFFF"/>
                <w:sz w:val="20"/>
                <w:szCs w:val="20"/>
              </w:rPr>
              <w:t>(n)</w:t>
            </w:r>
          </w:p>
        </w:tc>
        <w:tc>
          <w:tcPr>
            <w:tcW w:w="2257" w:type="dxa"/>
            <w:gridSpan w:val="2"/>
            <w:tcBorders>
              <w:top w:val="nil"/>
              <w:left w:val="nil"/>
              <w:bottom w:val="nil"/>
              <w:right w:val="nil"/>
            </w:tcBorders>
            <w:shd w:val="clear" w:color="000000" w:fill="007D75"/>
            <w:vAlign w:val="center"/>
            <w:hideMark/>
          </w:tcPr>
          <w:p w14:paraId="0ACB4FD4" w14:textId="77777777" w:rsidR="00572F25" w:rsidRPr="00A92AA5" w:rsidRDefault="00572F25" w:rsidP="00140544">
            <w:pPr>
              <w:spacing w:after="0"/>
              <w:jc w:val="center"/>
              <w:rPr>
                <w:rFonts w:cs="Arial"/>
                <w:color w:val="FFFFFF"/>
                <w:sz w:val="20"/>
                <w:szCs w:val="20"/>
              </w:rPr>
            </w:pPr>
            <w:r w:rsidRPr="00A92AA5">
              <w:rPr>
                <w:rFonts w:cs="Arial"/>
                <w:color w:val="FFFFFF"/>
                <w:sz w:val="20"/>
                <w:szCs w:val="20"/>
              </w:rPr>
              <w:t>(n) (%)</w:t>
            </w:r>
          </w:p>
        </w:tc>
        <w:tc>
          <w:tcPr>
            <w:tcW w:w="2257" w:type="dxa"/>
            <w:gridSpan w:val="2"/>
            <w:tcBorders>
              <w:top w:val="nil"/>
              <w:left w:val="nil"/>
              <w:bottom w:val="nil"/>
              <w:right w:val="nil"/>
            </w:tcBorders>
            <w:shd w:val="clear" w:color="000000" w:fill="007D75"/>
            <w:vAlign w:val="center"/>
            <w:hideMark/>
          </w:tcPr>
          <w:p w14:paraId="34C22C51" w14:textId="77777777" w:rsidR="00572F25" w:rsidRPr="00A92AA5" w:rsidRDefault="00572F25" w:rsidP="00140544">
            <w:pPr>
              <w:spacing w:after="0"/>
              <w:jc w:val="center"/>
              <w:rPr>
                <w:rFonts w:cs="Arial"/>
                <w:color w:val="FFFFFF"/>
                <w:sz w:val="20"/>
                <w:szCs w:val="20"/>
              </w:rPr>
            </w:pPr>
            <w:r w:rsidRPr="00A92AA5">
              <w:rPr>
                <w:rFonts w:cs="Arial"/>
                <w:color w:val="FFFFFF"/>
                <w:sz w:val="20"/>
                <w:szCs w:val="20"/>
              </w:rPr>
              <w:t>(n) (%)</w:t>
            </w:r>
          </w:p>
        </w:tc>
      </w:tr>
      <w:tr w:rsidR="00572F25" w:rsidRPr="00A92AA5" w14:paraId="6444AE96" w14:textId="77777777" w:rsidTr="00140544">
        <w:trPr>
          <w:trHeight w:val="300"/>
        </w:trPr>
        <w:tc>
          <w:tcPr>
            <w:tcW w:w="3520" w:type="dxa"/>
            <w:tcBorders>
              <w:top w:val="nil"/>
              <w:left w:val="nil"/>
              <w:bottom w:val="nil"/>
              <w:right w:val="nil"/>
            </w:tcBorders>
            <w:shd w:val="clear" w:color="auto" w:fill="auto"/>
            <w:noWrap/>
            <w:vAlign w:val="center"/>
            <w:hideMark/>
          </w:tcPr>
          <w:p w14:paraId="426D459A" w14:textId="77777777" w:rsidR="00572F25" w:rsidRPr="00A92AA5" w:rsidRDefault="00572F25" w:rsidP="00140544">
            <w:pPr>
              <w:spacing w:after="0"/>
              <w:rPr>
                <w:rFonts w:cs="Arial"/>
                <w:color w:val="000000"/>
                <w:sz w:val="18"/>
                <w:szCs w:val="18"/>
              </w:rPr>
            </w:pPr>
            <w:r w:rsidRPr="00A92AA5">
              <w:rPr>
                <w:rFonts w:cs="Arial"/>
                <w:color w:val="000000"/>
                <w:sz w:val="18"/>
                <w:szCs w:val="18"/>
              </w:rPr>
              <w:t>Orthopaedic surgery</w:t>
            </w:r>
          </w:p>
        </w:tc>
        <w:tc>
          <w:tcPr>
            <w:tcW w:w="1180" w:type="dxa"/>
            <w:tcBorders>
              <w:top w:val="nil"/>
              <w:left w:val="nil"/>
              <w:bottom w:val="nil"/>
              <w:right w:val="nil"/>
            </w:tcBorders>
            <w:shd w:val="clear" w:color="auto" w:fill="auto"/>
            <w:noWrap/>
            <w:vAlign w:val="center"/>
            <w:hideMark/>
          </w:tcPr>
          <w:p w14:paraId="7513F74A" w14:textId="77777777" w:rsidR="00572F25" w:rsidRPr="00A92AA5" w:rsidRDefault="00572F25" w:rsidP="00140544">
            <w:pPr>
              <w:spacing w:after="0"/>
              <w:jc w:val="center"/>
              <w:rPr>
                <w:rFonts w:cs="Arial"/>
                <w:color w:val="000000"/>
                <w:sz w:val="18"/>
                <w:szCs w:val="18"/>
              </w:rPr>
            </w:pPr>
            <w:r w:rsidRPr="00A92AA5">
              <w:rPr>
                <w:rFonts w:cs="Arial"/>
                <w:color w:val="000000"/>
                <w:sz w:val="18"/>
                <w:szCs w:val="18"/>
              </w:rPr>
              <w:t>2,293</w:t>
            </w:r>
          </w:p>
        </w:tc>
        <w:tc>
          <w:tcPr>
            <w:tcW w:w="1128" w:type="dxa"/>
            <w:tcBorders>
              <w:top w:val="nil"/>
              <w:left w:val="nil"/>
              <w:bottom w:val="nil"/>
              <w:right w:val="nil"/>
            </w:tcBorders>
            <w:shd w:val="clear" w:color="auto" w:fill="auto"/>
            <w:noWrap/>
            <w:vAlign w:val="center"/>
            <w:hideMark/>
          </w:tcPr>
          <w:p w14:paraId="1A02C3A0" w14:textId="77777777" w:rsidR="00572F25" w:rsidRPr="00A92AA5" w:rsidRDefault="00572F25" w:rsidP="00140544">
            <w:pPr>
              <w:spacing w:after="0"/>
              <w:jc w:val="right"/>
              <w:rPr>
                <w:rFonts w:cs="Arial"/>
                <w:color w:val="000000"/>
                <w:sz w:val="18"/>
                <w:szCs w:val="18"/>
              </w:rPr>
            </w:pPr>
            <w:r w:rsidRPr="00A92AA5">
              <w:rPr>
                <w:rFonts w:cs="Arial"/>
                <w:color w:val="000000"/>
                <w:sz w:val="18"/>
                <w:szCs w:val="18"/>
              </w:rPr>
              <w:t>863</w:t>
            </w:r>
          </w:p>
        </w:tc>
        <w:tc>
          <w:tcPr>
            <w:tcW w:w="1129" w:type="dxa"/>
            <w:tcBorders>
              <w:top w:val="nil"/>
              <w:left w:val="nil"/>
              <w:bottom w:val="nil"/>
              <w:right w:val="nil"/>
            </w:tcBorders>
            <w:shd w:val="clear" w:color="auto" w:fill="auto"/>
            <w:noWrap/>
            <w:vAlign w:val="center"/>
            <w:hideMark/>
          </w:tcPr>
          <w:p w14:paraId="7717A0C5" w14:textId="77777777" w:rsidR="00572F25" w:rsidRPr="00A92AA5" w:rsidRDefault="00572F25" w:rsidP="00140544">
            <w:pPr>
              <w:spacing w:after="0"/>
              <w:rPr>
                <w:rFonts w:cs="Arial"/>
                <w:color w:val="000000"/>
                <w:sz w:val="18"/>
                <w:szCs w:val="18"/>
              </w:rPr>
            </w:pPr>
            <w:r w:rsidRPr="00A92AA5">
              <w:rPr>
                <w:rFonts w:cs="Arial"/>
                <w:color w:val="000000"/>
                <w:sz w:val="18"/>
                <w:szCs w:val="18"/>
              </w:rPr>
              <w:t>37.6</w:t>
            </w:r>
          </w:p>
        </w:tc>
        <w:tc>
          <w:tcPr>
            <w:tcW w:w="1128" w:type="dxa"/>
            <w:tcBorders>
              <w:top w:val="nil"/>
              <w:left w:val="nil"/>
              <w:bottom w:val="nil"/>
              <w:right w:val="nil"/>
            </w:tcBorders>
            <w:shd w:val="clear" w:color="auto" w:fill="auto"/>
            <w:noWrap/>
            <w:vAlign w:val="center"/>
            <w:hideMark/>
          </w:tcPr>
          <w:p w14:paraId="607FA8FD" w14:textId="77777777" w:rsidR="00572F25" w:rsidRPr="00A92AA5" w:rsidRDefault="00572F25" w:rsidP="00140544">
            <w:pPr>
              <w:spacing w:after="0"/>
              <w:jc w:val="right"/>
              <w:rPr>
                <w:rFonts w:cs="Arial"/>
                <w:color w:val="000000"/>
                <w:sz w:val="18"/>
                <w:szCs w:val="18"/>
              </w:rPr>
            </w:pPr>
            <w:r w:rsidRPr="00A92AA5">
              <w:rPr>
                <w:rFonts w:cs="Arial"/>
                <w:color w:val="000000"/>
                <w:sz w:val="18"/>
                <w:szCs w:val="18"/>
              </w:rPr>
              <w:t>240</w:t>
            </w:r>
          </w:p>
        </w:tc>
        <w:tc>
          <w:tcPr>
            <w:tcW w:w="1129" w:type="dxa"/>
            <w:tcBorders>
              <w:top w:val="nil"/>
              <w:left w:val="nil"/>
              <w:bottom w:val="nil"/>
              <w:right w:val="nil"/>
            </w:tcBorders>
            <w:shd w:val="clear" w:color="auto" w:fill="auto"/>
            <w:noWrap/>
            <w:vAlign w:val="center"/>
            <w:hideMark/>
          </w:tcPr>
          <w:p w14:paraId="1C82E2D4" w14:textId="77777777" w:rsidR="00572F25" w:rsidRPr="00A92AA5" w:rsidRDefault="00572F25" w:rsidP="00140544">
            <w:pPr>
              <w:spacing w:after="0"/>
              <w:rPr>
                <w:rFonts w:cs="Arial"/>
                <w:color w:val="000000"/>
                <w:sz w:val="18"/>
                <w:szCs w:val="18"/>
              </w:rPr>
            </w:pPr>
            <w:r w:rsidRPr="00A92AA5">
              <w:rPr>
                <w:rFonts w:cs="Arial"/>
                <w:color w:val="000000"/>
                <w:sz w:val="18"/>
                <w:szCs w:val="18"/>
              </w:rPr>
              <w:t>10.5</w:t>
            </w:r>
          </w:p>
        </w:tc>
      </w:tr>
      <w:tr w:rsidR="00572F25" w:rsidRPr="00A92AA5" w14:paraId="2107B21C" w14:textId="77777777" w:rsidTr="00140544">
        <w:trPr>
          <w:trHeight w:val="300"/>
        </w:trPr>
        <w:tc>
          <w:tcPr>
            <w:tcW w:w="3520" w:type="dxa"/>
            <w:tcBorders>
              <w:top w:val="nil"/>
              <w:left w:val="nil"/>
              <w:bottom w:val="nil"/>
              <w:right w:val="nil"/>
            </w:tcBorders>
            <w:shd w:val="clear" w:color="000000" w:fill="F1F1F2"/>
            <w:noWrap/>
            <w:vAlign w:val="center"/>
            <w:hideMark/>
          </w:tcPr>
          <w:p w14:paraId="39EAACF3" w14:textId="77777777" w:rsidR="00572F25" w:rsidRPr="00A92AA5" w:rsidRDefault="00572F25" w:rsidP="00140544">
            <w:pPr>
              <w:spacing w:after="0"/>
              <w:rPr>
                <w:rFonts w:cs="Arial"/>
                <w:color w:val="000000"/>
                <w:sz w:val="18"/>
                <w:szCs w:val="18"/>
              </w:rPr>
            </w:pPr>
            <w:r w:rsidRPr="00A92AA5">
              <w:rPr>
                <w:rFonts w:cs="Arial"/>
                <w:color w:val="000000"/>
                <w:sz w:val="18"/>
                <w:szCs w:val="18"/>
              </w:rPr>
              <w:t>Abdominal surgery</w:t>
            </w:r>
          </w:p>
        </w:tc>
        <w:tc>
          <w:tcPr>
            <w:tcW w:w="1180" w:type="dxa"/>
            <w:tcBorders>
              <w:top w:val="nil"/>
              <w:left w:val="nil"/>
              <w:bottom w:val="nil"/>
              <w:right w:val="nil"/>
            </w:tcBorders>
            <w:shd w:val="clear" w:color="000000" w:fill="F1F1F2"/>
            <w:noWrap/>
            <w:vAlign w:val="center"/>
            <w:hideMark/>
          </w:tcPr>
          <w:p w14:paraId="7AF9B4CD" w14:textId="77777777" w:rsidR="00572F25" w:rsidRPr="00A92AA5" w:rsidRDefault="00572F25" w:rsidP="00140544">
            <w:pPr>
              <w:spacing w:after="0"/>
              <w:jc w:val="center"/>
              <w:rPr>
                <w:rFonts w:cs="Arial"/>
                <w:color w:val="000000"/>
                <w:sz w:val="18"/>
                <w:szCs w:val="18"/>
              </w:rPr>
            </w:pPr>
            <w:r w:rsidRPr="00A92AA5">
              <w:rPr>
                <w:rFonts w:cs="Arial"/>
                <w:color w:val="000000"/>
                <w:sz w:val="18"/>
                <w:szCs w:val="18"/>
              </w:rPr>
              <w:t>1,369</w:t>
            </w:r>
          </w:p>
        </w:tc>
        <w:tc>
          <w:tcPr>
            <w:tcW w:w="1128" w:type="dxa"/>
            <w:tcBorders>
              <w:top w:val="nil"/>
              <w:left w:val="nil"/>
              <w:bottom w:val="nil"/>
              <w:right w:val="nil"/>
            </w:tcBorders>
            <w:shd w:val="clear" w:color="000000" w:fill="F1F1F2"/>
            <w:noWrap/>
            <w:vAlign w:val="center"/>
            <w:hideMark/>
          </w:tcPr>
          <w:p w14:paraId="589A0419" w14:textId="77777777" w:rsidR="00572F25" w:rsidRPr="00A92AA5" w:rsidRDefault="00572F25" w:rsidP="00140544">
            <w:pPr>
              <w:spacing w:after="0"/>
              <w:jc w:val="right"/>
              <w:rPr>
                <w:rFonts w:cs="Arial"/>
                <w:color w:val="000000"/>
                <w:sz w:val="18"/>
                <w:szCs w:val="18"/>
              </w:rPr>
            </w:pPr>
            <w:r w:rsidRPr="00A92AA5">
              <w:rPr>
                <w:rFonts w:cs="Arial"/>
                <w:color w:val="000000"/>
                <w:sz w:val="18"/>
                <w:szCs w:val="18"/>
              </w:rPr>
              <w:t>150</w:t>
            </w:r>
          </w:p>
        </w:tc>
        <w:tc>
          <w:tcPr>
            <w:tcW w:w="1129" w:type="dxa"/>
            <w:tcBorders>
              <w:top w:val="nil"/>
              <w:left w:val="nil"/>
              <w:bottom w:val="nil"/>
              <w:right w:val="nil"/>
            </w:tcBorders>
            <w:shd w:val="clear" w:color="000000" w:fill="F1F1F2"/>
            <w:noWrap/>
            <w:vAlign w:val="center"/>
            <w:hideMark/>
          </w:tcPr>
          <w:p w14:paraId="279C1504" w14:textId="77777777" w:rsidR="00572F25" w:rsidRPr="00A92AA5" w:rsidRDefault="00572F25" w:rsidP="00140544">
            <w:pPr>
              <w:spacing w:after="0"/>
              <w:rPr>
                <w:rFonts w:cs="Arial"/>
                <w:color w:val="000000"/>
                <w:sz w:val="18"/>
                <w:szCs w:val="18"/>
              </w:rPr>
            </w:pPr>
            <w:r w:rsidRPr="00A92AA5">
              <w:rPr>
                <w:rFonts w:cs="Arial"/>
                <w:color w:val="000000"/>
                <w:sz w:val="18"/>
                <w:szCs w:val="18"/>
              </w:rPr>
              <w:t>11.0</w:t>
            </w:r>
          </w:p>
        </w:tc>
        <w:tc>
          <w:tcPr>
            <w:tcW w:w="1128" w:type="dxa"/>
            <w:tcBorders>
              <w:top w:val="nil"/>
              <w:left w:val="nil"/>
              <w:bottom w:val="nil"/>
              <w:right w:val="nil"/>
            </w:tcBorders>
            <w:shd w:val="clear" w:color="000000" w:fill="F1F1F2"/>
            <w:noWrap/>
            <w:vAlign w:val="center"/>
            <w:hideMark/>
          </w:tcPr>
          <w:p w14:paraId="29DEFD71" w14:textId="77777777" w:rsidR="00572F25" w:rsidRPr="00A92AA5" w:rsidRDefault="00572F25" w:rsidP="00140544">
            <w:pPr>
              <w:spacing w:after="0"/>
              <w:jc w:val="right"/>
              <w:rPr>
                <w:rFonts w:cs="Arial"/>
                <w:color w:val="000000"/>
                <w:sz w:val="18"/>
                <w:szCs w:val="18"/>
              </w:rPr>
            </w:pPr>
            <w:r w:rsidRPr="00A92AA5">
              <w:rPr>
                <w:rFonts w:cs="Arial"/>
                <w:color w:val="000000"/>
                <w:sz w:val="18"/>
                <w:szCs w:val="18"/>
              </w:rPr>
              <w:t>102</w:t>
            </w:r>
          </w:p>
        </w:tc>
        <w:tc>
          <w:tcPr>
            <w:tcW w:w="1129" w:type="dxa"/>
            <w:tcBorders>
              <w:top w:val="nil"/>
              <w:left w:val="nil"/>
              <w:bottom w:val="nil"/>
              <w:right w:val="nil"/>
            </w:tcBorders>
            <w:shd w:val="clear" w:color="000000" w:fill="F1F1F2"/>
            <w:noWrap/>
            <w:vAlign w:val="center"/>
            <w:hideMark/>
          </w:tcPr>
          <w:p w14:paraId="6AAD9A5C" w14:textId="77777777" w:rsidR="00572F25" w:rsidRPr="00A92AA5" w:rsidRDefault="00572F25" w:rsidP="00140544">
            <w:pPr>
              <w:spacing w:after="0"/>
              <w:rPr>
                <w:rFonts w:cs="Arial"/>
                <w:color w:val="000000"/>
                <w:sz w:val="18"/>
                <w:szCs w:val="18"/>
              </w:rPr>
            </w:pPr>
            <w:r w:rsidRPr="00A92AA5">
              <w:rPr>
                <w:rFonts w:cs="Arial"/>
                <w:color w:val="000000"/>
                <w:sz w:val="18"/>
                <w:szCs w:val="18"/>
              </w:rPr>
              <w:t>7.5</w:t>
            </w:r>
          </w:p>
        </w:tc>
      </w:tr>
      <w:tr w:rsidR="00572F25" w:rsidRPr="00A92AA5" w14:paraId="25B2284C" w14:textId="77777777" w:rsidTr="00140544">
        <w:trPr>
          <w:trHeight w:val="300"/>
        </w:trPr>
        <w:tc>
          <w:tcPr>
            <w:tcW w:w="3520" w:type="dxa"/>
            <w:tcBorders>
              <w:top w:val="nil"/>
              <w:left w:val="nil"/>
              <w:bottom w:val="nil"/>
              <w:right w:val="nil"/>
            </w:tcBorders>
            <w:shd w:val="clear" w:color="auto" w:fill="auto"/>
            <w:noWrap/>
            <w:vAlign w:val="center"/>
            <w:hideMark/>
          </w:tcPr>
          <w:p w14:paraId="3F48AB39" w14:textId="77777777" w:rsidR="00572F25" w:rsidRPr="00A92AA5" w:rsidRDefault="00572F25" w:rsidP="00140544">
            <w:pPr>
              <w:spacing w:after="0"/>
              <w:rPr>
                <w:rFonts w:cs="Arial"/>
                <w:color w:val="000000"/>
                <w:sz w:val="18"/>
                <w:szCs w:val="18"/>
              </w:rPr>
            </w:pPr>
            <w:r w:rsidRPr="00A92AA5">
              <w:rPr>
                <w:rFonts w:cs="Arial"/>
                <w:color w:val="000000"/>
                <w:sz w:val="18"/>
                <w:szCs w:val="18"/>
              </w:rPr>
              <w:t>Obstetrics</w:t>
            </w:r>
          </w:p>
        </w:tc>
        <w:tc>
          <w:tcPr>
            <w:tcW w:w="1180" w:type="dxa"/>
            <w:tcBorders>
              <w:top w:val="nil"/>
              <w:left w:val="nil"/>
              <w:bottom w:val="nil"/>
              <w:right w:val="nil"/>
            </w:tcBorders>
            <w:shd w:val="clear" w:color="auto" w:fill="auto"/>
            <w:noWrap/>
            <w:vAlign w:val="center"/>
            <w:hideMark/>
          </w:tcPr>
          <w:p w14:paraId="61DD7562" w14:textId="77777777" w:rsidR="00572F25" w:rsidRPr="00A92AA5" w:rsidRDefault="00572F25" w:rsidP="00140544">
            <w:pPr>
              <w:spacing w:after="0"/>
              <w:jc w:val="center"/>
              <w:rPr>
                <w:rFonts w:cs="Arial"/>
                <w:color w:val="000000"/>
                <w:sz w:val="18"/>
                <w:szCs w:val="18"/>
              </w:rPr>
            </w:pPr>
            <w:r w:rsidRPr="00A92AA5">
              <w:rPr>
                <w:rFonts w:cs="Arial"/>
                <w:color w:val="000000"/>
                <w:sz w:val="18"/>
                <w:szCs w:val="18"/>
              </w:rPr>
              <w:t>1,180</w:t>
            </w:r>
          </w:p>
        </w:tc>
        <w:tc>
          <w:tcPr>
            <w:tcW w:w="1128" w:type="dxa"/>
            <w:tcBorders>
              <w:top w:val="nil"/>
              <w:left w:val="nil"/>
              <w:bottom w:val="nil"/>
              <w:right w:val="nil"/>
            </w:tcBorders>
            <w:shd w:val="clear" w:color="auto" w:fill="auto"/>
            <w:noWrap/>
            <w:vAlign w:val="center"/>
            <w:hideMark/>
          </w:tcPr>
          <w:p w14:paraId="07ED1BFA" w14:textId="77777777" w:rsidR="00572F25" w:rsidRPr="00A92AA5" w:rsidRDefault="00572F25" w:rsidP="00140544">
            <w:pPr>
              <w:spacing w:after="0"/>
              <w:jc w:val="right"/>
              <w:rPr>
                <w:rFonts w:cs="Arial"/>
                <w:color w:val="000000"/>
                <w:sz w:val="18"/>
                <w:szCs w:val="18"/>
              </w:rPr>
            </w:pPr>
            <w:r w:rsidRPr="00A92AA5">
              <w:rPr>
                <w:rFonts w:cs="Arial"/>
                <w:color w:val="000000"/>
                <w:sz w:val="18"/>
                <w:szCs w:val="18"/>
              </w:rPr>
              <w:t>35</w:t>
            </w:r>
          </w:p>
        </w:tc>
        <w:tc>
          <w:tcPr>
            <w:tcW w:w="1129" w:type="dxa"/>
            <w:tcBorders>
              <w:top w:val="nil"/>
              <w:left w:val="nil"/>
              <w:bottom w:val="nil"/>
              <w:right w:val="nil"/>
            </w:tcBorders>
            <w:shd w:val="clear" w:color="auto" w:fill="auto"/>
            <w:noWrap/>
            <w:vAlign w:val="center"/>
            <w:hideMark/>
          </w:tcPr>
          <w:p w14:paraId="2E570476" w14:textId="77777777" w:rsidR="00572F25" w:rsidRPr="00A92AA5" w:rsidRDefault="00572F25" w:rsidP="00140544">
            <w:pPr>
              <w:spacing w:after="0"/>
              <w:rPr>
                <w:rFonts w:cs="Arial"/>
                <w:color w:val="000000"/>
                <w:sz w:val="18"/>
                <w:szCs w:val="18"/>
              </w:rPr>
            </w:pPr>
            <w:r w:rsidRPr="00A92AA5">
              <w:rPr>
                <w:rFonts w:cs="Arial"/>
                <w:color w:val="000000"/>
                <w:sz w:val="18"/>
                <w:szCs w:val="18"/>
              </w:rPr>
              <w:t>3.0</w:t>
            </w:r>
          </w:p>
        </w:tc>
        <w:tc>
          <w:tcPr>
            <w:tcW w:w="1128" w:type="dxa"/>
            <w:tcBorders>
              <w:top w:val="nil"/>
              <w:left w:val="nil"/>
              <w:bottom w:val="nil"/>
              <w:right w:val="nil"/>
            </w:tcBorders>
            <w:shd w:val="clear" w:color="auto" w:fill="auto"/>
            <w:noWrap/>
            <w:vAlign w:val="center"/>
            <w:hideMark/>
          </w:tcPr>
          <w:p w14:paraId="5B52F703" w14:textId="77777777" w:rsidR="00572F25" w:rsidRPr="00A92AA5" w:rsidRDefault="00572F25" w:rsidP="00140544">
            <w:pPr>
              <w:spacing w:after="0"/>
              <w:jc w:val="right"/>
              <w:rPr>
                <w:rFonts w:cs="Arial"/>
                <w:color w:val="000000"/>
                <w:sz w:val="18"/>
                <w:szCs w:val="18"/>
              </w:rPr>
            </w:pPr>
            <w:r w:rsidRPr="00A92AA5">
              <w:rPr>
                <w:rFonts w:cs="Arial"/>
                <w:color w:val="000000"/>
                <w:sz w:val="18"/>
                <w:szCs w:val="18"/>
              </w:rPr>
              <w:t>14</w:t>
            </w:r>
          </w:p>
        </w:tc>
        <w:tc>
          <w:tcPr>
            <w:tcW w:w="1129" w:type="dxa"/>
            <w:tcBorders>
              <w:top w:val="nil"/>
              <w:left w:val="nil"/>
              <w:bottom w:val="nil"/>
              <w:right w:val="nil"/>
            </w:tcBorders>
            <w:shd w:val="clear" w:color="auto" w:fill="auto"/>
            <w:noWrap/>
            <w:vAlign w:val="center"/>
            <w:hideMark/>
          </w:tcPr>
          <w:p w14:paraId="18DB0742" w14:textId="77777777" w:rsidR="00572F25" w:rsidRPr="00A92AA5" w:rsidRDefault="00572F25" w:rsidP="00140544">
            <w:pPr>
              <w:spacing w:after="0"/>
              <w:rPr>
                <w:rFonts w:cs="Arial"/>
                <w:color w:val="000000"/>
                <w:sz w:val="18"/>
                <w:szCs w:val="18"/>
              </w:rPr>
            </w:pPr>
            <w:r w:rsidRPr="00A92AA5">
              <w:rPr>
                <w:rFonts w:cs="Arial"/>
                <w:color w:val="000000"/>
                <w:sz w:val="18"/>
                <w:szCs w:val="18"/>
              </w:rPr>
              <w:t>1.2</w:t>
            </w:r>
          </w:p>
        </w:tc>
      </w:tr>
      <w:tr w:rsidR="00572F25" w:rsidRPr="00A92AA5" w14:paraId="16F58B4D" w14:textId="77777777" w:rsidTr="00140544">
        <w:trPr>
          <w:trHeight w:val="300"/>
        </w:trPr>
        <w:tc>
          <w:tcPr>
            <w:tcW w:w="3520" w:type="dxa"/>
            <w:tcBorders>
              <w:top w:val="nil"/>
              <w:left w:val="nil"/>
              <w:bottom w:val="nil"/>
              <w:right w:val="nil"/>
            </w:tcBorders>
            <w:shd w:val="clear" w:color="000000" w:fill="F1F1F2"/>
            <w:noWrap/>
            <w:vAlign w:val="center"/>
            <w:hideMark/>
          </w:tcPr>
          <w:p w14:paraId="3EC0C3BA" w14:textId="77777777" w:rsidR="00572F25" w:rsidRPr="00A92AA5" w:rsidRDefault="00572F25" w:rsidP="00140544">
            <w:pPr>
              <w:spacing w:after="0"/>
              <w:rPr>
                <w:rFonts w:cs="Arial"/>
                <w:color w:val="000000"/>
                <w:sz w:val="18"/>
                <w:szCs w:val="18"/>
              </w:rPr>
            </w:pPr>
            <w:r w:rsidRPr="00A92AA5">
              <w:rPr>
                <w:rFonts w:cs="Arial"/>
                <w:color w:val="000000"/>
                <w:sz w:val="18"/>
                <w:szCs w:val="18"/>
              </w:rPr>
              <w:t>Plastic and reconstructive surgery</w:t>
            </w:r>
          </w:p>
        </w:tc>
        <w:tc>
          <w:tcPr>
            <w:tcW w:w="1180" w:type="dxa"/>
            <w:tcBorders>
              <w:top w:val="nil"/>
              <w:left w:val="nil"/>
              <w:bottom w:val="nil"/>
              <w:right w:val="nil"/>
            </w:tcBorders>
            <w:shd w:val="clear" w:color="000000" w:fill="F1F1F2"/>
            <w:noWrap/>
            <w:vAlign w:val="center"/>
            <w:hideMark/>
          </w:tcPr>
          <w:p w14:paraId="0421816D" w14:textId="77777777" w:rsidR="00572F25" w:rsidRPr="00A92AA5" w:rsidRDefault="00572F25" w:rsidP="00140544">
            <w:pPr>
              <w:spacing w:after="0"/>
              <w:jc w:val="center"/>
              <w:rPr>
                <w:rFonts w:cs="Arial"/>
                <w:color w:val="000000"/>
                <w:sz w:val="18"/>
                <w:szCs w:val="18"/>
              </w:rPr>
            </w:pPr>
            <w:r w:rsidRPr="00A92AA5">
              <w:rPr>
                <w:rFonts w:cs="Arial"/>
                <w:color w:val="000000"/>
                <w:sz w:val="18"/>
                <w:szCs w:val="18"/>
              </w:rPr>
              <w:t>1,029</w:t>
            </w:r>
          </w:p>
        </w:tc>
        <w:tc>
          <w:tcPr>
            <w:tcW w:w="1128" w:type="dxa"/>
            <w:tcBorders>
              <w:top w:val="nil"/>
              <w:left w:val="nil"/>
              <w:bottom w:val="nil"/>
              <w:right w:val="nil"/>
            </w:tcBorders>
            <w:shd w:val="clear" w:color="000000" w:fill="F1F1F2"/>
            <w:noWrap/>
            <w:vAlign w:val="center"/>
            <w:hideMark/>
          </w:tcPr>
          <w:p w14:paraId="146EF7AF" w14:textId="77777777" w:rsidR="00572F25" w:rsidRPr="00A92AA5" w:rsidRDefault="00572F25" w:rsidP="00140544">
            <w:pPr>
              <w:spacing w:after="0"/>
              <w:jc w:val="right"/>
              <w:rPr>
                <w:rFonts w:cs="Arial"/>
                <w:color w:val="000000"/>
                <w:sz w:val="18"/>
                <w:szCs w:val="18"/>
              </w:rPr>
            </w:pPr>
            <w:r w:rsidRPr="00A92AA5">
              <w:rPr>
                <w:rFonts w:cs="Arial"/>
                <w:color w:val="000000"/>
                <w:sz w:val="18"/>
                <w:szCs w:val="18"/>
              </w:rPr>
              <w:t>299</w:t>
            </w:r>
          </w:p>
        </w:tc>
        <w:tc>
          <w:tcPr>
            <w:tcW w:w="1129" w:type="dxa"/>
            <w:tcBorders>
              <w:top w:val="nil"/>
              <w:left w:val="nil"/>
              <w:bottom w:val="nil"/>
              <w:right w:val="nil"/>
            </w:tcBorders>
            <w:shd w:val="clear" w:color="000000" w:fill="F1F1F2"/>
            <w:noWrap/>
            <w:vAlign w:val="center"/>
            <w:hideMark/>
          </w:tcPr>
          <w:p w14:paraId="0020BA30" w14:textId="77777777" w:rsidR="00572F25" w:rsidRPr="00A92AA5" w:rsidRDefault="00572F25" w:rsidP="00140544">
            <w:pPr>
              <w:spacing w:after="0"/>
              <w:rPr>
                <w:rFonts w:cs="Arial"/>
                <w:color w:val="000000"/>
                <w:sz w:val="18"/>
                <w:szCs w:val="18"/>
              </w:rPr>
            </w:pPr>
            <w:r w:rsidRPr="00A92AA5">
              <w:rPr>
                <w:rFonts w:cs="Arial"/>
                <w:color w:val="000000"/>
                <w:sz w:val="18"/>
                <w:szCs w:val="18"/>
              </w:rPr>
              <w:t>29.1</w:t>
            </w:r>
          </w:p>
        </w:tc>
        <w:tc>
          <w:tcPr>
            <w:tcW w:w="1128" w:type="dxa"/>
            <w:tcBorders>
              <w:top w:val="nil"/>
              <w:left w:val="nil"/>
              <w:bottom w:val="nil"/>
              <w:right w:val="nil"/>
            </w:tcBorders>
            <w:shd w:val="clear" w:color="000000" w:fill="F1F1F2"/>
            <w:noWrap/>
            <w:vAlign w:val="center"/>
            <w:hideMark/>
          </w:tcPr>
          <w:p w14:paraId="02936D1A" w14:textId="77777777" w:rsidR="00572F25" w:rsidRPr="00A92AA5" w:rsidRDefault="00572F25" w:rsidP="00140544">
            <w:pPr>
              <w:spacing w:after="0"/>
              <w:jc w:val="right"/>
              <w:rPr>
                <w:rFonts w:cs="Arial"/>
                <w:color w:val="000000"/>
                <w:sz w:val="18"/>
                <w:szCs w:val="18"/>
              </w:rPr>
            </w:pPr>
            <w:r w:rsidRPr="00A92AA5">
              <w:rPr>
                <w:rFonts w:cs="Arial"/>
                <w:color w:val="000000"/>
                <w:sz w:val="18"/>
                <w:szCs w:val="18"/>
              </w:rPr>
              <w:t>269</w:t>
            </w:r>
          </w:p>
        </w:tc>
        <w:tc>
          <w:tcPr>
            <w:tcW w:w="1129" w:type="dxa"/>
            <w:tcBorders>
              <w:top w:val="nil"/>
              <w:left w:val="nil"/>
              <w:bottom w:val="nil"/>
              <w:right w:val="nil"/>
            </w:tcBorders>
            <w:shd w:val="clear" w:color="000000" w:fill="F1F1F2"/>
            <w:noWrap/>
            <w:vAlign w:val="center"/>
            <w:hideMark/>
          </w:tcPr>
          <w:p w14:paraId="6CCD319F" w14:textId="77777777" w:rsidR="00572F25" w:rsidRPr="00A92AA5" w:rsidRDefault="00572F25" w:rsidP="00140544">
            <w:pPr>
              <w:spacing w:after="0"/>
              <w:rPr>
                <w:rFonts w:cs="Arial"/>
                <w:color w:val="000000"/>
                <w:sz w:val="18"/>
                <w:szCs w:val="18"/>
              </w:rPr>
            </w:pPr>
            <w:r w:rsidRPr="00A92AA5">
              <w:rPr>
                <w:rFonts w:cs="Arial"/>
                <w:color w:val="000000"/>
                <w:sz w:val="18"/>
                <w:szCs w:val="18"/>
              </w:rPr>
              <w:t>26.1</w:t>
            </w:r>
          </w:p>
        </w:tc>
      </w:tr>
      <w:tr w:rsidR="00572F25" w:rsidRPr="00A92AA5" w14:paraId="5038F6F4" w14:textId="77777777" w:rsidTr="00140544">
        <w:trPr>
          <w:trHeight w:val="300"/>
        </w:trPr>
        <w:tc>
          <w:tcPr>
            <w:tcW w:w="3520" w:type="dxa"/>
            <w:tcBorders>
              <w:top w:val="nil"/>
              <w:left w:val="nil"/>
              <w:bottom w:val="nil"/>
              <w:right w:val="nil"/>
            </w:tcBorders>
            <w:shd w:val="clear" w:color="auto" w:fill="auto"/>
            <w:noWrap/>
            <w:vAlign w:val="center"/>
            <w:hideMark/>
          </w:tcPr>
          <w:p w14:paraId="64EDC7D6" w14:textId="77777777" w:rsidR="00572F25" w:rsidRPr="00A92AA5" w:rsidRDefault="00572F25" w:rsidP="00140544">
            <w:pPr>
              <w:spacing w:after="0"/>
              <w:rPr>
                <w:rFonts w:cs="Arial"/>
                <w:color w:val="000000"/>
                <w:sz w:val="18"/>
                <w:szCs w:val="18"/>
              </w:rPr>
            </w:pPr>
            <w:r w:rsidRPr="00A92AA5">
              <w:rPr>
                <w:rFonts w:cs="Arial"/>
                <w:color w:val="000000"/>
                <w:sz w:val="18"/>
                <w:szCs w:val="18"/>
              </w:rPr>
              <w:t>Ophthalmology</w:t>
            </w:r>
          </w:p>
        </w:tc>
        <w:tc>
          <w:tcPr>
            <w:tcW w:w="1180" w:type="dxa"/>
            <w:tcBorders>
              <w:top w:val="nil"/>
              <w:left w:val="nil"/>
              <w:bottom w:val="nil"/>
              <w:right w:val="nil"/>
            </w:tcBorders>
            <w:shd w:val="clear" w:color="auto" w:fill="auto"/>
            <w:noWrap/>
            <w:vAlign w:val="center"/>
            <w:hideMark/>
          </w:tcPr>
          <w:p w14:paraId="111845CB" w14:textId="77777777" w:rsidR="00572F25" w:rsidRPr="00A92AA5" w:rsidRDefault="00572F25" w:rsidP="00140544">
            <w:pPr>
              <w:spacing w:after="0"/>
              <w:jc w:val="center"/>
              <w:rPr>
                <w:rFonts w:cs="Arial"/>
                <w:color w:val="000000"/>
                <w:sz w:val="18"/>
                <w:szCs w:val="18"/>
              </w:rPr>
            </w:pPr>
            <w:r w:rsidRPr="00A92AA5">
              <w:rPr>
                <w:rFonts w:cs="Arial"/>
                <w:color w:val="000000"/>
                <w:sz w:val="18"/>
                <w:szCs w:val="18"/>
              </w:rPr>
              <w:t>903</w:t>
            </w:r>
          </w:p>
        </w:tc>
        <w:tc>
          <w:tcPr>
            <w:tcW w:w="1128" w:type="dxa"/>
            <w:tcBorders>
              <w:top w:val="nil"/>
              <w:left w:val="nil"/>
              <w:bottom w:val="nil"/>
              <w:right w:val="nil"/>
            </w:tcBorders>
            <w:shd w:val="clear" w:color="auto" w:fill="auto"/>
            <w:noWrap/>
            <w:vAlign w:val="center"/>
            <w:hideMark/>
          </w:tcPr>
          <w:p w14:paraId="6B3A498C" w14:textId="77777777" w:rsidR="00572F25" w:rsidRPr="00A92AA5" w:rsidRDefault="00572F25" w:rsidP="00140544">
            <w:pPr>
              <w:spacing w:after="0"/>
              <w:jc w:val="right"/>
              <w:rPr>
                <w:rFonts w:cs="Arial"/>
                <w:color w:val="000000"/>
                <w:sz w:val="18"/>
                <w:szCs w:val="18"/>
              </w:rPr>
            </w:pPr>
            <w:r w:rsidRPr="00A92AA5">
              <w:rPr>
                <w:rFonts w:cs="Arial"/>
                <w:color w:val="000000"/>
                <w:sz w:val="18"/>
                <w:szCs w:val="18"/>
              </w:rPr>
              <w:t>541</w:t>
            </w:r>
          </w:p>
        </w:tc>
        <w:tc>
          <w:tcPr>
            <w:tcW w:w="1129" w:type="dxa"/>
            <w:tcBorders>
              <w:top w:val="nil"/>
              <w:left w:val="nil"/>
              <w:bottom w:val="nil"/>
              <w:right w:val="nil"/>
            </w:tcBorders>
            <w:shd w:val="clear" w:color="auto" w:fill="auto"/>
            <w:noWrap/>
            <w:vAlign w:val="center"/>
            <w:hideMark/>
          </w:tcPr>
          <w:p w14:paraId="362460AB" w14:textId="77777777" w:rsidR="00572F25" w:rsidRPr="00A92AA5" w:rsidRDefault="00572F25" w:rsidP="00140544">
            <w:pPr>
              <w:spacing w:after="0"/>
              <w:rPr>
                <w:rFonts w:cs="Arial"/>
                <w:color w:val="000000"/>
                <w:sz w:val="18"/>
                <w:szCs w:val="18"/>
              </w:rPr>
            </w:pPr>
            <w:r w:rsidRPr="00A92AA5">
              <w:rPr>
                <w:rFonts w:cs="Arial"/>
                <w:color w:val="000000"/>
                <w:sz w:val="18"/>
                <w:szCs w:val="18"/>
              </w:rPr>
              <w:t>59.9</w:t>
            </w:r>
          </w:p>
        </w:tc>
        <w:tc>
          <w:tcPr>
            <w:tcW w:w="1128" w:type="dxa"/>
            <w:tcBorders>
              <w:top w:val="nil"/>
              <w:left w:val="nil"/>
              <w:bottom w:val="nil"/>
              <w:right w:val="nil"/>
            </w:tcBorders>
            <w:shd w:val="clear" w:color="auto" w:fill="auto"/>
            <w:noWrap/>
            <w:vAlign w:val="center"/>
            <w:hideMark/>
          </w:tcPr>
          <w:p w14:paraId="2C9D4DAC" w14:textId="77777777" w:rsidR="00572F25" w:rsidRPr="00A92AA5" w:rsidRDefault="00572F25" w:rsidP="00140544">
            <w:pPr>
              <w:spacing w:after="0"/>
              <w:jc w:val="right"/>
              <w:rPr>
                <w:rFonts w:cs="Arial"/>
                <w:color w:val="000000"/>
                <w:sz w:val="18"/>
                <w:szCs w:val="18"/>
              </w:rPr>
            </w:pPr>
            <w:r w:rsidRPr="00A92AA5">
              <w:rPr>
                <w:rFonts w:cs="Arial"/>
                <w:color w:val="000000"/>
                <w:sz w:val="18"/>
                <w:szCs w:val="18"/>
              </w:rPr>
              <w:t>489</w:t>
            </w:r>
          </w:p>
        </w:tc>
        <w:tc>
          <w:tcPr>
            <w:tcW w:w="1129" w:type="dxa"/>
            <w:tcBorders>
              <w:top w:val="nil"/>
              <w:left w:val="nil"/>
              <w:bottom w:val="nil"/>
              <w:right w:val="nil"/>
            </w:tcBorders>
            <w:shd w:val="clear" w:color="auto" w:fill="auto"/>
            <w:noWrap/>
            <w:vAlign w:val="center"/>
            <w:hideMark/>
          </w:tcPr>
          <w:p w14:paraId="29B99940" w14:textId="77777777" w:rsidR="00572F25" w:rsidRPr="00A92AA5" w:rsidRDefault="00572F25" w:rsidP="00140544">
            <w:pPr>
              <w:spacing w:after="0"/>
              <w:rPr>
                <w:rFonts w:cs="Arial"/>
                <w:color w:val="000000"/>
                <w:sz w:val="18"/>
                <w:szCs w:val="18"/>
              </w:rPr>
            </w:pPr>
            <w:r w:rsidRPr="00A92AA5">
              <w:rPr>
                <w:rFonts w:cs="Arial"/>
                <w:color w:val="000000"/>
                <w:sz w:val="18"/>
                <w:szCs w:val="18"/>
              </w:rPr>
              <w:t>54.2</w:t>
            </w:r>
          </w:p>
        </w:tc>
      </w:tr>
      <w:tr w:rsidR="00572F25" w:rsidRPr="00A92AA5" w14:paraId="75E6BDB7" w14:textId="77777777" w:rsidTr="00140544">
        <w:trPr>
          <w:trHeight w:val="300"/>
        </w:trPr>
        <w:tc>
          <w:tcPr>
            <w:tcW w:w="3520" w:type="dxa"/>
            <w:tcBorders>
              <w:top w:val="nil"/>
              <w:left w:val="nil"/>
              <w:bottom w:val="nil"/>
              <w:right w:val="nil"/>
            </w:tcBorders>
            <w:shd w:val="clear" w:color="000000" w:fill="F1F1F2"/>
            <w:noWrap/>
            <w:vAlign w:val="center"/>
            <w:hideMark/>
          </w:tcPr>
          <w:p w14:paraId="3466CC27" w14:textId="77777777" w:rsidR="00572F25" w:rsidRPr="00A92AA5" w:rsidRDefault="00572F25" w:rsidP="00140544">
            <w:pPr>
              <w:spacing w:after="0"/>
              <w:rPr>
                <w:rFonts w:cs="Arial"/>
                <w:color w:val="000000"/>
                <w:sz w:val="18"/>
                <w:szCs w:val="18"/>
              </w:rPr>
            </w:pPr>
            <w:r w:rsidRPr="00A92AA5">
              <w:rPr>
                <w:rFonts w:cs="Arial"/>
                <w:color w:val="000000"/>
                <w:sz w:val="18"/>
                <w:szCs w:val="18"/>
              </w:rPr>
              <w:t>Urological surgery</w:t>
            </w:r>
          </w:p>
        </w:tc>
        <w:tc>
          <w:tcPr>
            <w:tcW w:w="1180" w:type="dxa"/>
            <w:tcBorders>
              <w:top w:val="nil"/>
              <w:left w:val="nil"/>
              <w:bottom w:val="nil"/>
              <w:right w:val="nil"/>
            </w:tcBorders>
            <w:shd w:val="clear" w:color="000000" w:fill="F1F1F2"/>
            <w:noWrap/>
            <w:vAlign w:val="center"/>
            <w:hideMark/>
          </w:tcPr>
          <w:p w14:paraId="66B2C204" w14:textId="77777777" w:rsidR="00572F25" w:rsidRPr="00A92AA5" w:rsidRDefault="00572F25" w:rsidP="00140544">
            <w:pPr>
              <w:spacing w:after="0"/>
              <w:jc w:val="center"/>
              <w:rPr>
                <w:rFonts w:cs="Arial"/>
                <w:color w:val="000000"/>
                <w:sz w:val="18"/>
                <w:szCs w:val="18"/>
              </w:rPr>
            </w:pPr>
            <w:r w:rsidRPr="00A92AA5">
              <w:rPr>
                <w:rFonts w:cs="Arial"/>
                <w:color w:val="000000"/>
                <w:sz w:val="18"/>
                <w:szCs w:val="18"/>
              </w:rPr>
              <w:t>787</w:t>
            </w:r>
          </w:p>
        </w:tc>
        <w:tc>
          <w:tcPr>
            <w:tcW w:w="1128" w:type="dxa"/>
            <w:tcBorders>
              <w:top w:val="nil"/>
              <w:left w:val="nil"/>
              <w:bottom w:val="nil"/>
              <w:right w:val="nil"/>
            </w:tcBorders>
            <w:shd w:val="clear" w:color="000000" w:fill="F1F1F2"/>
            <w:noWrap/>
            <w:vAlign w:val="center"/>
            <w:hideMark/>
          </w:tcPr>
          <w:p w14:paraId="72CA0916" w14:textId="77777777" w:rsidR="00572F25" w:rsidRPr="00A92AA5" w:rsidRDefault="00572F25" w:rsidP="00140544">
            <w:pPr>
              <w:spacing w:after="0"/>
              <w:jc w:val="right"/>
              <w:rPr>
                <w:rFonts w:cs="Arial"/>
                <w:color w:val="000000"/>
                <w:sz w:val="18"/>
                <w:szCs w:val="18"/>
              </w:rPr>
            </w:pPr>
            <w:r w:rsidRPr="00A92AA5">
              <w:rPr>
                <w:rFonts w:cs="Arial"/>
                <w:color w:val="000000"/>
                <w:sz w:val="18"/>
                <w:szCs w:val="18"/>
              </w:rPr>
              <w:t>128</w:t>
            </w:r>
          </w:p>
        </w:tc>
        <w:tc>
          <w:tcPr>
            <w:tcW w:w="1129" w:type="dxa"/>
            <w:tcBorders>
              <w:top w:val="nil"/>
              <w:left w:val="nil"/>
              <w:bottom w:val="nil"/>
              <w:right w:val="nil"/>
            </w:tcBorders>
            <w:shd w:val="clear" w:color="000000" w:fill="F1F1F2"/>
            <w:noWrap/>
            <w:vAlign w:val="center"/>
            <w:hideMark/>
          </w:tcPr>
          <w:p w14:paraId="4BCB97F0" w14:textId="77777777" w:rsidR="00572F25" w:rsidRPr="00A92AA5" w:rsidRDefault="00572F25" w:rsidP="00140544">
            <w:pPr>
              <w:spacing w:after="0"/>
              <w:rPr>
                <w:rFonts w:cs="Arial"/>
                <w:color w:val="000000"/>
                <w:sz w:val="18"/>
                <w:szCs w:val="18"/>
              </w:rPr>
            </w:pPr>
            <w:r w:rsidRPr="00A92AA5">
              <w:rPr>
                <w:rFonts w:cs="Arial"/>
                <w:color w:val="000000"/>
                <w:sz w:val="18"/>
                <w:szCs w:val="18"/>
              </w:rPr>
              <w:t>16.3</w:t>
            </w:r>
          </w:p>
        </w:tc>
        <w:tc>
          <w:tcPr>
            <w:tcW w:w="1128" w:type="dxa"/>
            <w:tcBorders>
              <w:top w:val="nil"/>
              <w:left w:val="nil"/>
              <w:bottom w:val="nil"/>
              <w:right w:val="nil"/>
            </w:tcBorders>
            <w:shd w:val="clear" w:color="000000" w:fill="F1F1F2"/>
            <w:noWrap/>
            <w:vAlign w:val="center"/>
            <w:hideMark/>
          </w:tcPr>
          <w:p w14:paraId="5C90B145" w14:textId="77777777" w:rsidR="00572F25" w:rsidRPr="00A92AA5" w:rsidRDefault="00572F25" w:rsidP="00140544">
            <w:pPr>
              <w:spacing w:after="0"/>
              <w:jc w:val="right"/>
              <w:rPr>
                <w:rFonts w:cs="Arial"/>
                <w:color w:val="000000"/>
                <w:sz w:val="18"/>
                <w:szCs w:val="18"/>
              </w:rPr>
            </w:pPr>
            <w:r w:rsidRPr="00A92AA5">
              <w:rPr>
                <w:rFonts w:cs="Arial"/>
                <w:color w:val="000000"/>
                <w:sz w:val="18"/>
                <w:szCs w:val="18"/>
              </w:rPr>
              <w:t>86</w:t>
            </w:r>
          </w:p>
        </w:tc>
        <w:tc>
          <w:tcPr>
            <w:tcW w:w="1129" w:type="dxa"/>
            <w:tcBorders>
              <w:top w:val="nil"/>
              <w:left w:val="nil"/>
              <w:bottom w:val="nil"/>
              <w:right w:val="nil"/>
            </w:tcBorders>
            <w:shd w:val="clear" w:color="000000" w:fill="F1F1F2"/>
            <w:noWrap/>
            <w:vAlign w:val="center"/>
            <w:hideMark/>
          </w:tcPr>
          <w:p w14:paraId="35ED912A" w14:textId="77777777" w:rsidR="00572F25" w:rsidRPr="00A92AA5" w:rsidRDefault="00572F25" w:rsidP="00140544">
            <w:pPr>
              <w:spacing w:after="0"/>
              <w:rPr>
                <w:rFonts w:cs="Arial"/>
                <w:color w:val="000000"/>
                <w:sz w:val="18"/>
                <w:szCs w:val="18"/>
              </w:rPr>
            </w:pPr>
            <w:r w:rsidRPr="00A92AA5">
              <w:rPr>
                <w:rFonts w:cs="Arial"/>
                <w:color w:val="000000"/>
                <w:sz w:val="18"/>
                <w:szCs w:val="18"/>
              </w:rPr>
              <w:t>10.9</w:t>
            </w:r>
          </w:p>
        </w:tc>
      </w:tr>
      <w:tr w:rsidR="00572F25" w:rsidRPr="00A92AA5" w14:paraId="1E59EB30" w14:textId="77777777" w:rsidTr="00140544">
        <w:trPr>
          <w:trHeight w:val="300"/>
        </w:trPr>
        <w:tc>
          <w:tcPr>
            <w:tcW w:w="3520" w:type="dxa"/>
            <w:tcBorders>
              <w:top w:val="nil"/>
              <w:left w:val="nil"/>
              <w:bottom w:val="nil"/>
              <w:right w:val="nil"/>
            </w:tcBorders>
            <w:shd w:val="clear" w:color="auto" w:fill="auto"/>
            <w:noWrap/>
            <w:vAlign w:val="center"/>
            <w:hideMark/>
          </w:tcPr>
          <w:p w14:paraId="3008FDEF" w14:textId="77777777" w:rsidR="00572F25" w:rsidRPr="00A92AA5" w:rsidRDefault="00572F25" w:rsidP="00140544">
            <w:pPr>
              <w:spacing w:after="0"/>
              <w:rPr>
                <w:rFonts w:cs="Arial"/>
                <w:color w:val="000000"/>
                <w:sz w:val="18"/>
                <w:szCs w:val="18"/>
              </w:rPr>
            </w:pPr>
            <w:r w:rsidRPr="00A92AA5">
              <w:rPr>
                <w:rFonts w:cs="Arial"/>
                <w:color w:val="000000"/>
                <w:sz w:val="18"/>
                <w:szCs w:val="18"/>
              </w:rPr>
              <w:t>Gastrointestinal endoscopic procedures</w:t>
            </w:r>
          </w:p>
        </w:tc>
        <w:tc>
          <w:tcPr>
            <w:tcW w:w="1180" w:type="dxa"/>
            <w:tcBorders>
              <w:top w:val="nil"/>
              <w:left w:val="nil"/>
              <w:bottom w:val="nil"/>
              <w:right w:val="nil"/>
            </w:tcBorders>
            <w:shd w:val="clear" w:color="auto" w:fill="auto"/>
            <w:noWrap/>
            <w:vAlign w:val="center"/>
            <w:hideMark/>
          </w:tcPr>
          <w:p w14:paraId="64027564" w14:textId="77777777" w:rsidR="00572F25" w:rsidRPr="00A92AA5" w:rsidRDefault="00572F25" w:rsidP="00140544">
            <w:pPr>
              <w:spacing w:after="0"/>
              <w:jc w:val="center"/>
              <w:rPr>
                <w:rFonts w:cs="Arial"/>
                <w:color w:val="000000"/>
                <w:sz w:val="18"/>
                <w:szCs w:val="18"/>
              </w:rPr>
            </w:pPr>
            <w:r w:rsidRPr="00A92AA5">
              <w:rPr>
                <w:rFonts w:cs="Arial"/>
                <w:color w:val="000000"/>
                <w:sz w:val="18"/>
                <w:szCs w:val="18"/>
              </w:rPr>
              <w:t>697</w:t>
            </w:r>
          </w:p>
        </w:tc>
        <w:tc>
          <w:tcPr>
            <w:tcW w:w="1128" w:type="dxa"/>
            <w:tcBorders>
              <w:top w:val="nil"/>
              <w:left w:val="nil"/>
              <w:bottom w:val="nil"/>
              <w:right w:val="nil"/>
            </w:tcBorders>
            <w:shd w:val="clear" w:color="auto" w:fill="auto"/>
            <w:noWrap/>
            <w:vAlign w:val="center"/>
            <w:hideMark/>
          </w:tcPr>
          <w:p w14:paraId="4D5E66AD" w14:textId="77777777" w:rsidR="00572F25" w:rsidRPr="00A92AA5" w:rsidRDefault="00572F25" w:rsidP="00140544">
            <w:pPr>
              <w:spacing w:after="0"/>
              <w:jc w:val="right"/>
              <w:rPr>
                <w:rFonts w:cs="Arial"/>
                <w:color w:val="000000"/>
                <w:sz w:val="18"/>
                <w:szCs w:val="18"/>
              </w:rPr>
            </w:pPr>
            <w:r w:rsidRPr="00A92AA5">
              <w:rPr>
                <w:rFonts w:cs="Arial"/>
                <w:color w:val="000000"/>
                <w:sz w:val="18"/>
                <w:szCs w:val="18"/>
              </w:rPr>
              <w:t>4</w:t>
            </w:r>
          </w:p>
        </w:tc>
        <w:tc>
          <w:tcPr>
            <w:tcW w:w="1129" w:type="dxa"/>
            <w:tcBorders>
              <w:top w:val="nil"/>
              <w:left w:val="nil"/>
              <w:bottom w:val="nil"/>
              <w:right w:val="nil"/>
            </w:tcBorders>
            <w:shd w:val="clear" w:color="auto" w:fill="auto"/>
            <w:noWrap/>
            <w:vAlign w:val="center"/>
            <w:hideMark/>
          </w:tcPr>
          <w:p w14:paraId="3995E386" w14:textId="77777777" w:rsidR="00572F25" w:rsidRPr="00A92AA5" w:rsidRDefault="00572F25" w:rsidP="00140544">
            <w:pPr>
              <w:spacing w:after="0"/>
              <w:rPr>
                <w:rFonts w:cs="Arial"/>
                <w:color w:val="000000"/>
                <w:sz w:val="18"/>
                <w:szCs w:val="18"/>
              </w:rPr>
            </w:pPr>
            <w:r>
              <w:rPr>
                <w:rFonts w:cs="Arial"/>
                <w:color w:val="000000"/>
                <w:sz w:val="18"/>
                <w:szCs w:val="18"/>
              </w:rPr>
              <w:t>–</w:t>
            </w:r>
          </w:p>
        </w:tc>
        <w:tc>
          <w:tcPr>
            <w:tcW w:w="1128" w:type="dxa"/>
            <w:tcBorders>
              <w:top w:val="nil"/>
              <w:left w:val="nil"/>
              <w:bottom w:val="nil"/>
              <w:right w:val="nil"/>
            </w:tcBorders>
            <w:shd w:val="clear" w:color="auto" w:fill="auto"/>
            <w:noWrap/>
            <w:vAlign w:val="center"/>
            <w:hideMark/>
          </w:tcPr>
          <w:p w14:paraId="46465C01" w14:textId="77777777" w:rsidR="00572F25" w:rsidRPr="00A92AA5" w:rsidRDefault="00572F25" w:rsidP="00140544">
            <w:pPr>
              <w:spacing w:after="0"/>
              <w:jc w:val="right"/>
              <w:rPr>
                <w:rFonts w:cs="Arial"/>
                <w:color w:val="000000"/>
                <w:sz w:val="18"/>
                <w:szCs w:val="18"/>
              </w:rPr>
            </w:pPr>
            <w:r w:rsidRPr="00A92AA5">
              <w:rPr>
                <w:rFonts w:cs="Arial"/>
                <w:color w:val="000000"/>
                <w:sz w:val="18"/>
                <w:szCs w:val="18"/>
              </w:rPr>
              <w:t>3</w:t>
            </w:r>
          </w:p>
        </w:tc>
        <w:tc>
          <w:tcPr>
            <w:tcW w:w="1129" w:type="dxa"/>
            <w:tcBorders>
              <w:top w:val="nil"/>
              <w:left w:val="nil"/>
              <w:bottom w:val="nil"/>
              <w:right w:val="nil"/>
            </w:tcBorders>
            <w:shd w:val="clear" w:color="auto" w:fill="auto"/>
            <w:noWrap/>
            <w:vAlign w:val="center"/>
            <w:hideMark/>
          </w:tcPr>
          <w:p w14:paraId="1444616A" w14:textId="77777777" w:rsidR="00572F25" w:rsidRPr="00A92AA5" w:rsidRDefault="00572F25" w:rsidP="00140544">
            <w:pPr>
              <w:spacing w:after="0"/>
              <w:rPr>
                <w:rFonts w:cs="Arial"/>
                <w:color w:val="000000"/>
                <w:sz w:val="18"/>
                <w:szCs w:val="18"/>
              </w:rPr>
            </w:pPr>
            <w:r>
              <w:rPr>
                <w:rFonts w:cs="Arial"/>
                <w:color w:val="000000"/>
                <w:sz w:val="18"/>
                <w:szCs w:val="18"/>
              </w:rPr>
              <w:t>–</w:t>
            </w:r>
          </w:p>
        </w:tc>
      </w:tr>
      <w:tr w:rsidR="00572F25" w:rsidRPr="00A92AA5" w14:paraId="0FC42856" w14:textId="77777777" w:rsidTr="00140544">
        <w:trPr>
          <w:trHeight w:val="300"/>
        </w:trPr>
        <w:tc>
          <w:tcPr>
            <w:tcW w:w="3520" w:type="dxa"/>
            <w:tcBorders>
              <w:top w:val="nil"/>
              <w:left w:val="nil"/>
              <w:bottom w:val="nil"/>
              <w:right w:val="nil"/>
            </w:tcBorders>
            <w:shd w:val="clear" w:color="000000" w:fill="F1F1F2"/>
            <w:noWrap/>
            <w:vAlign w:val="center"/>
            <w:hideMark/>
          </w:tcPr>
          <w:p w14:paraId="7AA05571" w14:textId="77777777" w:rsidR="00572F25" w:rsidRPr="00A92AA5" w:rsidRDefault="00572F25" w:rsidP="00140544">
            <w:pPr>
              <w:spacing w:after="0"/>
              <w:rPr>
                <w:rFonts w:cs="Arial"/>
                <w:color w:val="000000"/>
                <w:sz w:val="18"/>
                <w:szCs w:val="18"/>
              </w:rPr>
            </w:pPr>
            <w:r w:rsidRPr="00A92AA5">
              <w:rPr>
                <w:rFonts w:cs="Arial"/>
                <w:color w:val="000000"/>
                <w:sz w:val="18"/>
                <w:szCs w:val="18"/>
              </w:rPr>
              <w:t>Head and neck surgery</w:t>
            </w:r>
          </w:p>
        </w:tc>
        <w:tc>
          <w:tcPr>
            <w:tcW w:w="1180" w:type="dxa"/>
            <w:tcBorders>
              <w:top w:val="nil"/>
              <w:left w:val="nil"/>
              <w:bottom w:val="nil"/>
              <w:right w:val="nil"/>
            </w:tcBorders>
            <w:shd w:val="clear" w:color="000000" w:fill="F1F1F2"/>
            <w:noWrap/>
            <w:vAlign w:val="center"/>
            <w:hideMark/>
          </w:tcPr>
          <w:p w14:paraId="73FADB6A" w14:textId="77777777" w:rsidR="00572F25" w:rsidRPr="00A92AA5" w:rsidRDefault="00572F25" w:rsidP="00140544">
            <w:pPr>
              <w:spacing w:after="0"/>
              <w:jc w:val="center"/>
              <w:rPr>
                <w:rFonts w:cs="Arial"/>
                <w:color w:val="000000"/>
                <w:sz w:val="18"/>
                <w:szCs w:val="18"/>
              </w:rPr>
            </w:pPr>
            <w:r w:rsidRPr="00A92AA5">
              <w:rPr>
                <w:rFonts w:cs="Arial"/>
                <w:color w:val="000000"/>
                <w:sz w:val="18"/>
                <w:szCs w:val="18"/>
              </w:rPr>
              <w:t>519</w:t>
            </w:r>
          </w:p>
        </w:tc>
        <w:tc>
          <w:tcPr>
            <w:tcW w:w="1128" w:type="dxa"/>
            <w:tcBorders>
              <w:top w:val="nil"/>
              <w:left w:val="nil"/>
              <w:bottom w:val="nil"/>
              <w:right w:val="nil"/>
            </w:tcBorders>
            <w:shd w:val="clear" w:color="000000" w:fill="F1F1F2"/>
            <w:noWrap/>
            <w:vAlign w:val="center"/>
            <w:hideMark/>
          </w:tcPr>
          <w:p w14:paraId="79C06C03" w14:textId="77777777" w:rsidR="00572F25" w:rsidRPr="00A92AA5" w:rsidRDefault="00572F25" w:rsidP="00140544">
            <w:pPr>
              <w:spacing w:after="0"/>
              <w:jc w:val="right"/>
              <w:rPr>
                <w:rFonts w:cs="Arial"/>
                <w:color w:val="000000"/>
                <w:sz w:val="18"/>
                <w:szCs w:val="18"/>
              </w:rPr>
            </w:pPr>
            <w:r w:rsidRPr="00A92AA5">
              <w:rPr>
                <w:rFonts w:cs="Arial"/>
                <w:color w:val="000000"/>
                <w:sz w:val="18"/>
                <w:szCs w:val="18"/>
              </w:rPr>
              <w:t>192</w:t>
            </w:r>
          </w:p>
        </w:tc>
        <w:tc>
          <w:tcPr>
            <w:tcW w:w="1129" w:type="dxa"/>
            <w:tcBorders>
              <w:top w:val="nil"/>
              <w:left w:val="nil"/>
              <w:bottom w:val="nil"/>
              <w:right w:val="nil"/>
            </w:tcBorders>
            <w:shd w:val="clear" w:color="000000" w:fill="F1F1F2"/>
            <w:noWrap/>
            <w:vAlign w:val="center"/>
            <w:hideMark/>
          </w:tcPr>
          <w:p w14:paraId="65FCAEB1" w14:textId="77777777" w:rsidR="00572F25" w:rsidRPr="00A92AA5" w:rsidRDefault="00572F25" w:rsidP="00140544">
            <w:pPr>
              <w:spacing w:after="0"/>
              <w:rPr>
                <w:rFonts w:cs="Arial"/>
                <w:color w:val="000000"/>
                <w:sz w:val="18"/>
                <w:szCs w:val="18"/>
              </w:rPr>
            </w:pPr>
            <w:r w:rsidRPr="00A92AA5">
              <w:rPr>
                <w:rFonts w:cs="Arial"/>
                <w:color w:val="000000"/>
                <w:sz w:val="18"/>
                <w:szCs w:val="18"/>
              </w:rPr>
              <w:t>37.0</w:t>
            </w:r>
          </w:p>
        </w:tc>
        <w:tc>
          <w:tcPr>
            <w:tcW w:w="1128" w:type="dxa"/>
            <w:tcBorders>
              <w:top w:val="nil"/>
              <w:left w:val="nil"/>
              <w:bottom w:val="nil"/>
              <w:right w:val="nil"/>
            </w:tcBorders>
            <w:shd w:val="clear" w:color="000000" w:fill="F1F1F2"/>
            <w:noWrap/>
            <w:vAlign w:val="center"/>
            <w:hideMark/>
          </w:tcPr>
          <w:p w14:paraId="29C6A307" w14:textId="77777777" w:rsidR="00572F25" w:rsidRPr="00A92AA5" w:rsidRDefault="00572F25" w:rsidP="00140544">
            <w:pPr>
              <w:spacing w:after="0"/>
              <w:jc w:val="right"/>
              <w:rPr>
                <w:rFonts w:cs="Arial"/>
                <w:color w:val="000000"/>
                <w:sz w:val="18"/>
                <w:szCs w:val="18"/>
              </w:rPr>
            </w:pPr>
            <w:r w:rsidRPr="00A92AA5">
              <w:rPr>
                <w:rFonts w:cs="Arial"/>
                <w:color w:val="000000"/>
                <w:sz w:val="18"/>
                <w:szCs w:val="18"/>
              </w:rPr>
              <w:t>159</w:t>
            </w:r>
          </w:p>
        </w:tc>
        <w:tc>
          <w:tcPr>
            <w:tcW w:w="1129" w:type="dxa"/>
            <w:tcBorders>
              <w:top w:val="nil"/>
              <w:left w:val="nil"/>
              <w:bottom w:val="nil"/>
              <w:right w:val="nil"/>
            </w:tcBorders>
            <w:shd w:val="clear" w:color="000000" w:fill="F1F1F2"/>
            <w:noWrap/>
            <w:vAlign w:val="center"/>
            <w:hideMark/>
          </w:tcPr>
          <w:p w14:paraId="44691E82" w14:textId="77777777" w:rsidR="00572F25" w:rsidRPr="00A92AA5" w:rsidRDefault="00572F25" w:rsidP="00140544">
            <w:pPr>
              <w:spacing w:after="0"/>
              <w:rPr>
                <w:rFonts w:cs="Arial"/>
                <w:color w:val="000000"/>
                <w:sz w:val="18"/>
                <w:szCs w:val="18"/>
              </w:rPr>
            </w:pPr>
            <w:r w:rsidRPr="00A92AA5">
              <w:rPr>
                <w:rFonts w:cs="Arial"/>
                <w:color w:val="000000"/>
                <w:sz w:val="18"/>
                <w:szCs w:val="18"/>
              </w:rPr>
              <w:t>30.6</w:t>
            </w:r>
          </w:p>
        </w:tc>
      </w:tr>
      <w:tr w:rsidR="00572F25" w:rsidRPr="00A92AA5" w14:paraId="2E181D44" w14:textId="77777777" w:rsidTr="00140544">
        <w:trPr>
          <w:trHeight w:val="300"/>
        </w:trPr>
        <w:tc>
          <w:tcPr>
            <w:tcW w:w="3520" w:type="dxa"/>
            <w:tcBorders>
              <w:top w:val="nil"/>
              <w:left w:val="nil"/>
              <w:bottom w:val="nil"/>
              <w:right w:val="nil"/>
            </w:tcBorders>
            <w:shd w:val="clear" w:color="auto" w:fill="auto"/>
            <w:noWrap/>
            <w:vAlign w:val="center"/>
            <w:hideMark/>
          </w:tcPr>
          <w:p w14:paraId="734C2D2D" w14:textId="77777777" w:rsidR="00572F25" w:rsidRPr="00A92AA5" w:rsidRDefault="00572F25" w:rsidP="00140544">
            <w:pPr>
              <w:spacing w:after="0"/>
              <w:rPr>
                <w:rFonts w:cs="Arial"/>
                <w:color w:val="000000"/>
                <w:sz w:val="18"/>
                <w:szCs w:val="18"/>
              </w:rPr>
            </w:pPr>
            <w:r w:rsidRPr="00A92AA5">
              <w:rPr>
                <w:rFonts w:cs="Arial"/>
                <w:color w:val="000000"/>
                <w:sz w:val="18"/>
                <w:szCs w:val="18"/>
              </w:rPr>
              <w:t>Gynaecological surgery</w:t>
            </w:r>
          </w:p>
        </w:tc>
        <w:tc>
          <w:tcPr>
            <w:tcW w:w="1180" w:type="dxa"/>
            <w:tcBorders>
              <w:top w:val="nil"/>
              <w:left w:val="nil"/>
              <w:bottom w:val="nil"/>
              <w:right w:val="nil"/>
            </w:tcBorders>
            <w:shd w:val="clear" w:color="auto" w:fill="auto"/>
            <w:noWrap/>
            <w:vAlign w:val="center"/>
            <w:hideMark/>
          </w:tcPr>
          <w:p w14:paraId="4C6E118E" w14:textId="77777777" w:rsidR="00572F25" w:rsidRPr="00A92AA5" w:rsidRDefault="00572F25" w:rsidP="00140544">
            <w:pPr>
              <w:spacing w:after="0"/>
              <w:jc w:val="center"/>
              <w:rPr>
                <w:rFonts w:cs="Arial"/>
                <w:color w:val="000000"/>
                <w:sz w:val="18"/>
                <w:szCs w:val="18"/>
              </w:rPr>
            </w:pPr>
            <w:r w:rsidRPr="00A92AA5">
              <w:rPr>
                <w:rFonts w:cs="Arial"/>
                <w:color w:val="000000"/>
                <w:sz w:val="18"/>
                <w:szCs w:val="18"/>
              </w:rPr>
              <w:t>504</w:t>
            </w:r>
          </w:p>
        </w:tc>
        <w:tc>
          <w:tcPr>
            <w:tcW w:w="1128" w:type="dxa"/>
            <w:tcBorders>
              <w:top w:val="nil"/>
              <w:left w:val="nil"/>
              <w:bottom w:val="nil"/>
              <w:right w:val="nil"/>
            </w:tcBorders>
            <w:shd w:val="clear" w:color="auto" w:fill="auto"/>
            <w:noWrap/>
            <w:vAlign w:val="center"/>
            <w:hideMark/>
          </w:tcPr>
          <w:p w14:paraId="35A45851" w14:textId="77777777" w:rsidR="00572F25" w:rsidRPr="00A92AA5" w:rsidRDefault="00572F25" w:rsidP="00140544">
            <w:pPr>
              <w:spacing w:after="0"/>
              <w:jc w:val="right"/>
              <w:rPr>
                <w:rFonts w:cs="Arial"/>
                <w:color w:val="000000"/>
                <w:sz w:val="18"/>
                <w:szCs w:val="18"/>
              </w:rPr>
            </w:pPr>
            <w:r w:rsidRPr="00A92AA5">
              <w:rPr>
                <w:rFonts w:cs="Arial"/>
                <w:color w:val="000000"/>
                <w:sz w:val="18"/>
                <w:szCs w:val="18"/>
              </w:rPr>
              <w:t>41</w:t>
            </w:r>
          </w:p>
        </w:tc>
        <w:tc>
          <w:tcPr>
            <w:tcW w:w="1129" w:type="dxa"/>
            <w:tcBorders>
              <w:top w:val="nil"/>
              <w:left w:val="nil"/>
              <w:bottom w:val="nil"/>
              <w:right w:val="nil"/>
            </w:tcBorders>
            <w:shd w:val="clear" w:color="auto" w:fill="auto"/>
            <w:noWrap/>
            <w:vAlign w:val="center"/>
            <w:hideMark/>
          </w:tcPr>
          <w:p w14:paraId="7CDCEC32" w14:textId="77777777" w:rsidR="00572F25" w:rsidRPr="00A92AA5" w:rsidRDefault="00572F25" w:rsidP="00140544">
            <w:pPr>
              <w:spacing w:after="0"/>
              <w:rPr>
                <w:rFonts w:cs="Arial"/>
                <w:color w:val="000000"/>
                <w:sz w:val="18"/>
                <w:szCs w:val="18"/>
              </w:rPr>
            </w:pPr>
            <w:r w:rsidRPr="00A92AA5">
              <w:rPr>
                <w:rFonts w:cs="Arial"/>
                <w:color w:val="000000"/>
                <w:sz w:val="18"/>
                <w:szCs w:val="18"/>
              </w:rPr>
              <w:t>8.1</w:t>
            </w:r>
          </w:p>
        </w:tc>
        <w:tc>
          <w:tcPr>
            <w:tcW w:w="1128" w:type="dxa"/>
            <w:tcBorders>
              <w:top w:val="nil"/>
              <w:left w:val="nil"/>
              <w:bottom w:val="nil"/>
              <w:right w:val="nil"/>
            </w:tcBorders>
            <w:shd w:val="clear" w:color="auto" w:fill="auto"/>
            <w:noWrap/>
            <w:vAlign w:val="center"/>
            <w:hideMark/>
          </w:tcPr>
          <w:p w14:paraId="425E3306" w14:textId="77777777" w:rsidR="00572F25" w:rsidRPr="00A92AA5" w:rsidRDefault="00572F25" w:rsidP="00140544">
            <w:pPr>
              <w:spacing w:after="0"/>
              <w:jc w:val="right"/>
              <w:rPr>
                <w:rFonts w:cs="Arial"/>
                <w:color w:val="000000"/>
                <w:sz w:val="18"/>
                <w:szCs w:val="18"/>
              </w:rPr>
            </w:pPr>
            <w:r w:rsidRPr="00A92AA5">
              <w:rPr>
                <w:rFonts w:cs="Arial"/>
                <w:color w:val="000000"/>
                <w:sz w:val="18"/>
                <w:szCs w:val="18"/>
              </w:rPr>
              <w:t>24</w:t>
            </w:r>
          </w:p>
        </w:tc>
        <w:tc>
          <w:tcPr>
            <w:tcW w:w="1129" w:type="dxa"/>
            <w:tcBorders>
              <w:top w:val="nil"/>
              <w:left w:val="nil"/>
              <w:bottom w:val="nil"/>
              <w:right w:val="nil"/>
            </w:tcBorders>
            <w:shd w:val="clear" w:color="auto" w:fill="auto"/>
            <w:noWrap/>
            <w:vAlign w:val="center"/>
            <w:hideMark/>
          </w:tcPr>
          <w:p w14:paraId="32D84692" w14:textId="77777777" w:rsidR="00572F25" w:rsidRPr="00A92AA5" w:rsidRDefault="00572F25" w:rsidP="00140544">
            <w:pPr>
              <w:spacing w:after="0"/>
              <w:rPr>
                <w:rFonts w:cs="Arial"/>
                <w:color w:val="000000"/>
                <w:sz w:val="18"/>
                <w:szCs w:val="18"/>
              </w:rPr>
            </w:pPr>
            <w:r w:rsidRPr="00A92AA5">
              <w:rPr>
                <w:rFonts w:cs="Arial"/>
                <w:color w:val="000000"/>
                <w:sz w:val="18"/>
                <w:szCs w:val="18"/>
              </w:rPr>
              <w:t>4.8</w:t>
            </w:r>
          </w:p>
        </w:tc>
      </w:tr>
      <w:tr w:rsidR="00572F25" w:rsidRPr="00A92AA5" w14:paraId="2E1942B9" w14:textId="77777777" w:rsidTr="00140544">
        <w:trPr>
          <w:trHeight w:val="300"/>
        </w:trPr>
        <w:tc>
          <w:tcPr>
            <w:tcW w:w="3520" w:type="dxa"/>
            <w:tcBorders>
              <w:top w:val="nil"/>
              <w:left w:val="nil"/>
              <w:bottom w:val="nil"/>
              <w:right w:val="nil"/>
            </w:tcBorders>
            <w:shd w:val="clear" w:color="000000" w:fill="F1F1F2"/>
            <w:noWrap/>
            <w:vAlign w:val="center"/>
            <w:hideMark/>
          </w:tcPr>
          <w:p w14:paraId="6E278574" w14:textId="77777777" w:rsidR="00572F25" w:rsidRPr="00A92AA5" w:rsidRDefault="00572F25" w:rsidP="00140544">
            <w:pPr>
              <w:spacing w:after="0"/>
              <w:rPr>
                <w:rFonts w:cs="Arial"/>
                <w:color w:val="000000"/>
                <w:sz w:val="18"/>
                <w:szCs w:val="18"/>
              </w:rPr>
            </w:pPr>
            <w:r w:rsidRPr="00A92AA5">
              <w:rPr>
                <w:rFonts w:cs="Arial"/>
                <w:color w:val="000000"/>
                <w:sz w:val="18"/>
                <w:szCs w:val="18"/>
              </w:rPr>
              <w:t>Cardiac surgery</w:t>
            </w:r>
          </w:p>
        </w:tc>
        <w:tc>
          <w:tcPr>
            <w:tcW w:w="1180" w:type="dxa"/>
            <w:tcBorders>
              <w:top w:val="nil"/>
              <w:left w:val="nil"/>
              <w:bottom w:val="nil"/>
              <w:right w:val="nil"/>
            </w:tcBorders>
            <w:shd w:val="clear" w:color="000000" w:fill="F1F1F2"/>
            <w:noWrap/>
            <w:vAlign w:val="center"/>
            <w:hideMark/>
          </w:tcPr>
          <w:p w14:paraId="7D37A57A" w14:textId="77777777" w:rsidR="00572F25" w:rsidRPr="00A92AA5" w:rsidRDefault="00572F25" w:rsidP="00140544">
            <w:pPr>
              <w:spacing w:after="0"/>
              <w:jc w:val="center"/>
              <w:rPr>
                <w:rFonts w:cs="Arial"/>
                <w:color w:val="000000"/>
                <w:sz w:val="18"/>
                <w:szCs w:val="18"/>
              </w:rPr>
            </w:pPr>
            <w:r w:rsidRPr="00A92AA5">
              <w:rPr>
                <w:rFonts w:cs="Arial"/>
                <w:color w:val="000000"/>
                <w:sz w:val="18"/>
                <w:szCs w:val="18"/>
              </w:rPr>
              <w:t>459</w:t>
            </w:r>
          </w:p>
        </w:tc>
        <w:tc>
          <w:tcPr>
            <w:tcW w:w="1128" w:type="dxa"/>
            <w:tcBorders>
              <w:top w:val="nil"/>
              <w:left w:val="nil"/>
              <w:bottom w:val="nil"/>
              <w:right w:val="nil"/>
            </w:tcBorders>
            <w:shd w:val="clear" w:color="000000" w:fill="F1F1F2"/>
            <w:noWrap/>
            <w:vAlign w:val="center"/>
            <w:hideMark/>
          </w:tcPr>
          <w:p w14:paraId="5AD440B7" w14:textId="77777777" w:rsidR="00572F25" w:rsidRPr="00A92AA5" w:rsidRDefault="00572F25" w:rsidP="00140544">
            <w:pPr>
              <w:spacing w:after="0"/>
              <w:jc w:val="right"/>
              <w:rPr>
                <w:rFonts w:cs="Arial"/>
                <w:color w:val="000000"/>
                <w:sz w:val="18"/>
                <w:szCs w:val="18"/>
              </w:rPr>
            </w:pPr>
            <w:r w:rsidRPr="00A92AA5">
              <w:rPr>
                <w:rFonts w:cs="Arial"/>
                <w:color w:val="000000"/>
                <w:sz w:val="18"/>
                <w:szCs w:val="18"/>
              </w:rPr>
              <w:t>229</w:t>
            </w:r>
          </w:p>
        </w:tc>
        <w:tc>
          <w:tcPr>
            <w:tcW w:w="1129" w:type="dxa"/>
            <w:tcBorders>
              <w:top w:val="nil"/>
              <w:left w:val="nil"/>
              <w:bottom w:val="nil"/>
              <w:right w:val="nil"/>
            </w:tcBorders>
            <w:shd w:val="clear" w:color="000000" w:fill="F1F1F2"/>
            <w:noWrap/>
            <w:vAlign w:val="center"/>
            <w:hideMark/>
          </w:tcPr>
          <w:p w14:paraId="1BC38F04" w14:textId="77777777" w:rsidR="00572F25" w:rsidRPr="00A92AA5" w:rsidRDefault="00572F25" w:rsidP="00140544">
            <w:pPr>
              <w:spacing w:after="0"/>
              <w:rPr>
                <w:rFonts w:cs="Arial"/>
                <w:color w:val="000000"/>
                <w:sz w:val="18"/>
                <w:szCs w:val="18"/>
              </w:rPr>
            </w:pPr>
            <w:r w:rsidRPr="00A92AA5">
              <w:rPr>
                <w:rFonts w:cs="Arial"/>
                <w:color w:val="000000"/>
                <w:sz w:val="18"/>
                <w:szCs w:val="18"/>
              </w:rPr>
              <w:t>49.9</w:t>
            </w:r>
          </w:p>
        </w:tc>
        <w:tc>
          <w:tcPr>
            <w:tcW w:w="1128" w:type="dxa"/>
            <w:tcBorders>
              <w:top w:val="nil"/>
              <w:left w:val="nil"/>
              <w:bottom w:val="nil"/>
              <w:right w:val="nil"/>
            </w:tcBorders>
            <w:shd w:val="clear" w:color="000000" w:fill="F1F1F2"/>
            <w:noWrap/>
            <w:vAlign w:val="center"/>
            <w:hideMark/>
          </w:tcPr>
          <w:p w14:paraId="38523A76" w14:textId="77777777" w:rsidR="00572F25" w:rsidRPr="00A92AA5" w:rsidRDefault="00572F25" w:rsidP="00140544">
            <w:pPr>
              <w:spacing w:after="0"/>
              <w:jc w:val="right"/>
              <w:rPr>
                <w:rFonts w:cs="Arial"/>
                <w:color w:val="000000"/>
                <w:sz w:val="18"/>
                <w:szCs w:val="18"/>
              </w:rPr>
            </w:pPr>
            <w:r w:rsidRPr="00A92AA5">
              <w:rPr>
                <w:rFonts w:cs="Arial"/>
                <w:color w:val="000000"/>
                <w:sz w:val="18"/>
                <w:szCs w:val="18"/>
              </w:rPr>
              <w:t>133</w:t>
            </w:r>
          </w:p>
        </w:tc>
        <w:tc>
          <w:tcPr>
            <w:tcW w:w="1129" w:type="dxa"/>
            <w:tcBorders>
              <w:top w:val="nil"/>
              <w:left w:val="nil"/>
              <w:bottom w:val="nil"/>
              <w:right w:val="nil"/>
            </w:tcBorders>
            <w:shd w:val="clear" w:color="000000" w:fill="F1F1F2"/>
            <w:noWrap/>
            <w:vAlign w:val="center"/>
            <w:hideMark/>
          </w:tcPr>
          <w:p w14:paraId="45998893" w14:textId="77777777" w:rsidR="00572F25" w:rsidRPr="00A92AA5" w:rsidRDefault="00572F25" w:rsidP="00140544">
            <w:pPr>
              <w:spacing w:after="0"/>
              <w:rPr>
                <w:rFonts w:cs="Arial"/>
                <w:color w:val="000000"/>
                <w:sz w:val="18"/>
                <w:szCs w:val="18"/>
              </w:rPr>
            </w:pPr>
            <w:r w:rsidRPr="00A92AA5">
              <w:rPr>
                <w:rFonts w:cs="Arial"/>
                <w:color w:val="000000"/>
                <w:sz w:val="18"/>
                <w:szCs w:val="18"/>
              </w:rPr>
              <w:t>29.0</w:t>
            </w:r>
          </w:p>
        </w:tc>
      </w:tr>
      <w:tr w:rsidR="00572F25" w:rsidRPr="00A92AA5" w14:paraId="7A498D2E" w14:textId="77777777" w:rsidTr="00140544">
        <w:trPr>
          <w:trHeight w:val="300"/>
        </w:trPr>
        <w:tc>
          <w:tcPr>
            <w:tcW w:w="3520" w:type="dxa"/>
            <w:tcBorders>
              <w:top w:val="nil"/>
              <w:left w:val="nil"/>
              <w:bottom w:val="nil"/>
              <w:right w:val="nil"/>
            </w:tcBorders>
            <w:shd w:val="clear" w:color="auto" w:fill="auto"/>
            <w:noWrap/>
            <w:vAlign w:val="center"/>
            <w:hideMark/>
          </w:tcPr>
          <w:p w14:paraId="1A218C73" w14:textId="77777777" w:rsidR="00572F25" w:rsidRPr="00A92AA5" w:rsidRDefault="00572F25" w:rsidP="00140544">
            <w:pPr>
              <w:spacing w:after="0"/>
              <w:rPr>
                <w:rFonts w:cs="Arial"/>
                <w:color w:val="000000"/>
                <w:sz w:val="18"/>
                <w:szCs w:val="18"/>
              </w:rPr>
            </w:pPr>
            <w:r w:rsidRPr="00A92AA5">
              <w:rPr>
                <w:rFonts w:cs="Arial"/>
                <w:color w:val="000000"/>
                <w:sz w:val="18"/>
                <w:szCs w:val="18"/>
              </w:rPr>
              <w:t>Neurosurgery</w:t>
            </w:r>
          </w:p>
        </w:tc>
        <w:tc>
          <w:tcPr>
            <w:tcW w:w="1180" w:type="dxa"/>
            <w:tcBorders>
              <w:top w:val="nil"/>
              <w:left w:val="nil"/>
              <w:bottom w:val="nil"/>
              <w:right w:val="nil"/>
            </w:tcBorders>
            <w:shd w:val="clear" w:color="auto" w:fill="auto"/>
            <w:noWrap/>
            <w:vAlign w:val="center"/>
            <w:hideMark/>
          </w:tcPr>
          <w:p w14:paraId="1415D812" w14:textId="77777777" w:rsidR="00572F25" w:rsidRPr="00A92AA5" w:rsidRDefault="00572F25" w:rsidP="00140544">
            <w:pPr>
              <w:spacing w:after="0"/>
              <w:jc w:val="center"/>
              <w:rPr>
                <w:rFonts w:cs="Arial"/>
                <w:color w:val="000000"/>
                <w:sz w:val="18"/>
                <w:szCs w:val="18"/>
              </w:rPr>
            </w:pPr>
            <w:r w:rsidRPr="00A92AA5">
              <w:rPr>
                <w:rFonts w:cs="Arial"/>
                <w:color w:val="000000"/>
                <w:sz w:val="18"/>
                <w:szCs w:val="18"/>
              </w:rPr>
              <w:t>399</w:t>
            </w:r>
          </w:p>
        </w:tc>
        <w:tc>
          <w:tcPr>
            <w:tcW w:w="1128" w:type="dxa"/>
            <w:tcBorders>
              <w:top w:val="nil"/>
              <w:left w:val="nil"/>
              <w:bottom w:val="nil"/>
              <w:right w:val="nil"/>
            </w:tcBorders>
            <w:shd w:val="clear" w:color="auto" w:fill="auto"/>
            <w:noWrap/>
            <w:vAlign w:val="center"/>
            <w:hideMark/>
          </w:tcPr>
          <w:p w14:paraId="250ED82C" w14:textId="77777777" w:rsidR="00572F25" w:rsidRPr="00A92AA5" w:rsidRDefault="00572F25" w:rsidP="00140544">
            <w:pPr>
              <w:spacing w:after="0"/>
              <w:jc w:val="right"/>
              <w:rPr>
                <w:rFonts w:cs="Arial"/>
                <w:color w:val="000000"/>
                <w:sz w:val="18"/>
                <w:szCs w:val="18"/>
              </w:rPr>
            </w:pPr>
            <w:r w:rsidRPr="00A92AA5">
              <w:rPr>
                <w:rFonts w:cs="Arial"/>
                <w:color w:val="000000"/>
                <w:sz w:val="18"/>
                <w:szCs w:val="18"/>
              </w:rPr>
              <w:t>141</w:t>
            </w:r>
          </w:p>
        </w:tc>
        <w:tc>
          <w:tcPr>
            <w:tcW w:w="1129" w:type="dxa"/>
            <w:tcBorders>
              <w:top w:val="nil"/>
              <w:left w:val="nil"/>
              <w:bottom w:val="nil"/>
              <w:right w:val="nil"/>
            </w:tcBorders>
            <w:shd w:val="clear" w:color="auto" w:fill="auto"/>
            <w:noWrap/>
            <w:vAlign w:val="center"/>
            <w:hideMark/>
          </w:tcPr>
          <w:p w14:paraId="4587DB36" w14:textId="77777777" w:rsidR="00572F25" w:rsidRPr="00A92AA5" w:rsidRDefault="00572F25" w:rsidP="00140544">
            <w:pPr>
              <w:spacing w:after="0"/>
              <w:rPr>
                <w:rFonts w:cs="Arial"/>
                <w:color w:val="000000"/>
                <w:sz w:val="18"/>
                <w:szCs w:val="18"/>
              </w:rPr>
            </w:pPr>
            <w:r w:rsidRPr="00A92AA5">
              <w:rPr>
                <w:rFonts w:cs="Arial"/>
                <w:color w:val="000000"/>
                <w:sz w:val="18"/>
                <w:szCs w:val="18"/>
              </w:rPr>
              <w:t>35.3</w:t>
            </w:r>
          </w:p>
        </w:tc>
        <w:tc>
          <w:tcPr>
            <w:tcW w:w="1128" w:type="dxa"/>
            <w:tcBorders>
              <w:top w:val="nil"/>
              <w:left w:val="nil"/>
              <w:bottom w:val="nil"/>
              <w:right w:val="nil"/>
            </w:tcBorders>
            <w:shd w:val="clear" w:color="auto" w:fill="auto"/>
            <w:noWrap/>
            <w:vAlign w:val="center"/>
            <w:hideMark/>
          </w:tcPr>
          <w:p w14:paraId="07F18E8C" w14:textId="77777777" w:rsidR="00572F25" w:rsidRPr="00A92AA5" w:rsidRDefault="00572F25" w:rsidP="00140544">
            <w:pPr>
              <w:spacing w:after="0"/>
              <w:jc w:val="right"/>
              <w:rPr>
                <w:rFonts w:cs="Arial"/>
                <w:color w:val="000000"/>
                <w:sz w:val="18"/>
                <w:szCs w:val="18"/>
              </w:rPr>
            </w:pPr>
            <w:r w:rsidRPr="00A92AA5">
              <w:rPr>
                <w:rFonts w:cs="Arial"/>
                <w:color w:val="000000"/>
                <w:sz w:val="18"/>
                <w:szCs w:val="18"/>
              </w:rPr>
              <w:t>31</w:t>
            </w:r>
          </w:p>
        </w:tc>
        <w:tc>
          <w:tcPr>
            <w:tcW w:w="1129" w:type="dxa"/>
            <w:tcBorders>
              <w:top w:val="nil"/>
              <w:left w:val="nil"/>
              <w:bottom w:val="nil"/>
              <w:right w:val="nil"/>
            </w:tcBorders>
            <w:shd w:val="clear" w:color="auto" w:fill="auto"/>
            <w:noWrap/>
            <w:vAlign w:val="center"/>
            <w:hideMark/>
          </w:tcPr>
          <w:p w14:paraId="58F641DC" w14:textId="77777777" w:rsidR="00572F25" w:rsidRPr="00A92AA5" w:rsidRDefault="00572F25" w:rsidP="00140544">
            <w:pPr>
              <w:spacing w:after="0"/>
              <w:rPr>
                <w:rFonts w:cs="Arial"/>
                <w:color w:val="000000"/>
                <w:sz w:val="18"/>
                <w:szCs w:val="18"/>
              </w:rPr>
            </w:pPr>
            <w:r w:rsidRPr="00A92AA5">
              <w:rPr>
                <w:rFonts w:cs="Arial"/>
                <w:color w:val="000000"/>
                <w:sz w:val="18"/>
                <w:szCs w:val="18"/>
              </w:rPr>
              <w:t>7.8</w:t>
            </w:r>
          </w:p>
        </w:tc>
      </w:tr>
      <w:tr w:rsidR="00572F25" w:rsidRPr="00A92AA5" w14:paraId="3921868D" w14:textId="77777777" w:rsidTr="00140544">
        <w:trPr>
          <w:trHeight w:val="300"/>
        </w:trPr>
        <w:tc>
          <w:tcPr>
            <w:tcW w:w="3520" w:type="dxa"/>
            <w:tcBorders>
              <w:top w:val="nil"/>
              <w:left w:val="nil"/>
              <w:bottom w:val="nil"/>
              <w:right w:val="nil"/>
            </w:tcBorders>
            <w:shd w:val="clear" w:color="000000" w:fill="F1F1F2"/>
            <w:noWrap/>
            <w:vAlign w:val="center"/>
            <w:hideMark/>
          </w:tcPr>
          <w:p w14:paraId="72BA0C01" w14:textId="77777777" w:rsidR="00572F25" w:rsidRPr="00A92AA5" w:rsidRDefault="00572F25" w:rsidP="00140544">
            <w:pPr>
              <w:spacing w:after="0"/>
              <w:rPr>
                <w:rFonts w:cs="Arial"/>
                <w:color w:val="000000"/>
                <w:sz w:val="18"/>
                <w:szCs w:val="18"/>
              </w:rPr>
            </w:pPr>
            <w:r w:rsidRPr="00A92AA5">
              <w:rPr>
                <w:rFonts w:cs="Arial"/>
                <w:color w:val="000000"/>
                <w:sz w:val="18"/>
                <w:szCs w:val="18"/>
              </w:rPr>
              <w:t>Breast surgery</w:t>
            </w:r>
          </w:p>
        </w:tc>
        <w:tc>
          <w:tcPr>
            <w:tcW w:w="1180" w:type="dxa"/>
            <w:tcBorders>
              <w:top w:val="nil"/>
              <w:left w:val="nil"/>
              <w:bottom w:val="nil"/>
              <w:right w:val="nil"/>
            </w:tcBorders>
            <w:shd w:val="clear" w:color="000000" w:fill="F1F1F2"/>
            <w:noWrap/>
            <w:vAlign w:val="center"/>
            <w:hideMark/>
          </w:tcPr>
          <w:p w14:paraId="666B6A96" w14:textId="77777777" w:rsidR="00572F25" w:rsidRPr="00A92AA5" w:rsidRDefault="00572F25" w:rsidP="00140544">
            <w:pPr>
              <w:spacing w:after="0"/>
              <w:jc w:val="center"/>
              <w:rPr>
                <w:rFonts w:cs="Arial"/>
                <w:color w:val="000000"/>
                <w:sz w:val="18"/>
                <w:szCs w:val="18"/>
              </w:rPr>
            </w:pPr>
            <w:r w:rsidRPr="00A92AA5">
              <w:rPr>
                <w:rFonts w:cs="Arial"/>
                <w:color w:val="000000"/>
                <w:sz w:val="18"/>
                <w:szCs w:val="18"/>
              </w:rPr>
              <w:t>273</w:t>
            </w:r>
          </w:p>
        </w:tc>
        <w:tc>
          <w:tcPr>
            <w:tcW w:w="1128" w:type="dxa"/>
            <w:tcBorders>
              <w:top w:val="nil"/>
              <w:left w:val="nil"/>
              <w:bottom w:val="nil"/>
              <w:right w:val="nil"/>
            </w:tcBorders>
            <w:shd w:val="clear" w:color="000000" w:fill="F1F1F2"/>
            <w:noWrap/>
            <w:vAlign w:val="center"/>
            <w:hideMark/>
          </w:tcPr>
          <w:p w14:paraId="41E4EFCF" w14:textId="77777777" w:rsidR="00572F25" w:rsidRPr="00A92AA5" w:rsidRDefault="00572F25" w:rsidP="00140544">
            <w:pPr>
              <w:spacing w:after="0"/>
              <w:jc w:val="right"/>
              <w:rPr>
                <w:rFonts w:cs="Arial"/>
                <w:color w:val="000000"/>
                <w:sz w:val="18"/>
                <w:szCs w:val="18"/>
              </w:rPr>
            </w:pPr>
            <w:r w:rsidRPr="00A92AA5">
              <w:rPr>
                <w:rFonts w:cs="Arial"/>
                <w:color w:val="000000"/>
                <w:sz w:val="18"/>
                <w:szCs w:val="18"/>
              </w:rPr>
              <w:t>134</w:t>
            </w:r>
          </w:p>
        </w:tc>
        <w:tc>
          <w:tcPr>
            <w:tcW w:w="1129" w:type="dxa"/>
            <w:tcBorders>
              <w:top w:val="nil"/>
              <w:left w:val="nil"/>
              <w:bottom w:val="nil"/>
              <w:right w:val="nil"/>
            </w:tcBorders>
            <w:shd w:val="clear" w:color="000000" w:fill="F1F1F2"/>
            <w:noWrap/>
            <w:vAlign w:val="center"/>
            <w:hideMark/>
          </w:tcPr>
          <w:p w14:paraId="06D0A095" w14:textId="77777777" w:rsidR="00572F25" w:rsidRPr="00A92AA5" w:rsidRDefault="00572F25" w:rsidP="00140544">
            <w:pPr>
              <w:spacing w:after="0"/>
              <w:rPr>
                <w:rFonts w:cs="Arial"/>
                <w:color w:val="000000"/>
                <w:sz w:val="18"/>
                <w:szCs w:val="18"/>
              </w:rPr>
            </w:pPr>
            <w:r w:rsidRPr="00A92AA5">
              <w:rPr>
                <w:rFonts w:cs="Arial"/>
                <w:color w:val="000000"/>
                <w:sz w:val="18"/>
                <w:szCs w:val="18"/>
              </w:rPr>
              <w:t>49.1</w:t>
            </w:r>
          </w:p>
        </w:tc>
        <w:tc>
          <w:tcPr>
            <w:tcW w:w="1128" w:type="dxa"/>
            <w:tcBorders>
              <w:top w:val="nil"/>
              <w:left w:val="nil"/>
              <w:bottom w:val="nil"/>
              <w:right w:val="nil"/>
            </w:tcBorders>
            <w:shd w:val="clear" w:color="000000" w:fill="F1F1F2"/>
            <w:noWrap/>
            <w:vAlign w:val="center"/>
            <w:hideMark/>
          </w:tcPr>
          <w:p w14:paraId="0CAD3971" w14:textId="77777777" w:rsidR="00572F25" w:rsidRPr="00A92AA5" w:rsidRDefault="00572F25" w:rsidP="00140544">
            <w:pPr>
              <w:spacing w:after="0"/>
              <w:jc w:val="right"/>
              <w:rPr>
                <w:rFonts w:cs="Arial"/>
                <w:color w:val="000000"/>
                <w:sz w:val="18"/>
                <w:szCs w:val="18"/>
              </w:rPr>
            </w:pPr>
            <w:r w:rsidRPr="00A92AA5">
              <w:rPr>
                <w:rFonts w:cs="Arial"/>
                <w:color w:val="000000"/>
                <w:sz w:val="18"/>
                <w:szCs w:val="18"/>
              </w:rPr>
              <w:t>110</w:t>
            </w:r>
          </w:p>
        </w:tc>
        <w:tc>
          <w:tcPr>
            <w:tcW w:w="1129" w:type="dxa"/>
            <w:tcBorders>
              <w:top w:val="nil"/>
              <w:left w:val="nil"/>
              <w:bottom w:val="nil"/>
              <w:right w:val="nil"/>
            </w:tcBorders>
            <w:shd w:val="clear" w:color="000000" w:fill="F1F1F2"/>
            <w:noWrap/>
            <w:vAlign w:val="center"/>
            <w:hideMark/>
          </w:tcPr>
          <w:p w14:paraId="6C815833" w14:textId="77777777" w:rsidR="00572F25" w:rsidRPr="00A92AA5" w:rsidRDefault="00572F25" w:rsidP="00140544">
            <w:pPr>
              <w:spacing w:after="0"/>
              <w:rPr>
                <w:rFonts w:cs="Arial"/>
                <w:color w:val="000000"/>
                <w:sz w:val="18"/>
                <w:szCs w:val="18"/>
              </w:rPr>
            </w:pPr>
            <w:r w:rsidRPr="00A92AA5">
              <w:rPr>
                <w:rFonts w:cs="Arial"/>
                <w:color w:val="000000"/>
                <w:sz w:val="18"/>
                <w:szCs w:val="18"/>
              </w:rPr>
              <w:t>40.3</w:t>
            </w:r>
          </w:p>
        </w:tc>
      </w:tr>
      <w:tr w:rsidR="00572F25" w:rsidRPr="00A92AA5" w14:paraId="6A848CA9" w14:textId="77777777" w:rsidTr="00140544">
        <w:trPr>
          <w:trHeight w:val="300"/>
        </w:trPr>
        <w:tc>
          <w:tcPr>
            <w:tcW w:w="3520" w:type="dxa"/>
            <w:tcBorders>
              <w:top w:val="nil"/>
              <w:left w:val="nil"/>
              <w:bottom w:val="nil"/>
              <w:right w:val="nil"/>
            </w:tcBorders>
            <w:shd w:val="clear" w:color="auto" w:fill="auto"/>
            <w:noWrap/>
            <w:vAlign w:val="center"/>
            <w:hideMark/>
          </w:tcPr>
          <w:p w14:paraId="5633A9F6" w14:textId="77777777" w:rsidR="00572F25" w:rsidRPr="00A92AA5" w:rsidRDefault="00572F25" w:rsidP="00140544">
            <w:pPr>
              <w:spacing w:after="0"/>
              <w:rPr>
                <w:rFonts w:cs="Arial"/>
                <w:color w:val="000000"/>
                <w:sz w:val="18"/>
                <w:szCs w:val="18"/>
              </w:rPr>
            </w:pPr>
            <w:r w:rsidRPr="00A92AA5">
              <w:rPr>
                <w:rFonts w:cs="Arial"/>
                <w:color w:val="000000"/>
                <w:sz w:val="18"/>
                <w:szCs w:val="18"/>
              </w:rPr>
              <w:t>Dentoalveolar surgery</w:t>
            </w:r>
          </w:p>
        </w:tc>
        <w:tc>
          <w:tcPr>
            <w:tcW w:w="1180" w:type="dxa"/>
            <w:tcBorders>
              <w:top w:val="nil"/>
              <w:left w:val="nil"/>
              <w:bottom w:val="nil"/>
              <w:right w:val="nil"/>
            </w:tcBorders>
            <w:shd w:val="clear" w:color="auto" w:fill="auto"/>
            <w:noWrap/>
            <w:vAlign w:val="center"/>
            <w:hideMark/>
          </w:tcPr>
          <w:p w14:paraId="170C1AEF" w14:textId="77777777" w:rsidR="00572F25" w:rsidRPr="00A92AA5" w:rsidRDefault="00572F25" w:rsidP="00140544">
            <w:pPr>
              <w:spacing w:after="0"/>
              <w:jc w:val="center"/>
              <w:rPr>
                <w:rFonts w:cs="Arial"/>
                <w:color w:val="000000"/>
                <w:sz w:val="18"/>
                <w:szCs w:val="18"/>
              </w:rPr>
            </w:pPr>
            <w:r w:rsidRPr="00A92AA5">
              <w:rPr>
                <w:rFonts w:cs="Arial"/>
                <w:color w:val="000000"/>
                <w:sz w:val="18"/>
                <w:szCs w:val="18"/>
              </w:rPr>
              <w:t>261</w:t>
            </w:r>
          </w:p>
        </w:tc>
        <w:tc>
          <w:tcPr>
            <w:tcW w:w="1128" w:type="dxa"/>
            <w:tcBorders>
              <w:top w:val="nil"/>
              <w:left w:val="nil"/>
              <w:bottom w:val="nil"/>
              <w:right w:val="nil"/>
            </w:tcBorders>
            <w:shd w:val="clear" w:color="auto" w:fill="auto"/>
            <w:noWrap/>
            <w:vAlign w:val="center"/>
            <w:hideMark/>
          </w:tcPr>
          <w:p w14:paraId="46721120" w14:textId="77777777" w:rsidR="00572F25" w:rsidRPr="00A92AA5" w:rsidRDefault="00572F25" w:rsidP="00140544">
            <w:pPr>
              <w:spacing w:after="0"/>
              <w:jc w:val="right"/>
              <w:rPr>
                <w:rFonts w:cs="Arial"/>
                <w:color w:val="000000"/>
                <w:sz w:val="18"/>
                <w:szCs w:val="18"/>
              </w:rPr>
            </w:pPr>
            <w:r w:rsidRPr="00A92AA5">
              <w:rPr>
                <w:rFonts w:cs="Arial"/>
                <w:color w:val="000000"/>
                <w:sz w:val="18"/>
                <w:szCs w:val="18"/>
              </w:rPr>
              <w:t>127</w:t>
            </w:r>
          </w:p>
        </w:tc>
        <w:tc>
          <w:tcPr>
            <w:tcW w:w="1129" w:type="dxa"/>
            <w:tcBorders>
              <w:top w:val="nil"/>
              <w:left w:val="nil"/>
              <w:bottom w:val="nil"/>
              <w:right w:val="nil"/>
            </w:tcBorders>
            <w:shd w:val="clear" w:color="auto" w:fill="auto"/>
            <w:noWrap/>
            <w:vAlign w:val="center"/>
            <w:hideMark/>
          </w:tcPr>
          <w:p w14:paraId="2107CB59" w14:textId="77777777" w:rsidR="00572F25" w:rsidRPr="00A92AA5" w:rsidRDefault="00572F25" w:rsidP="00140544">
            <w:pPr>
              <w:spacing w:after="0"/>
              <w:rPr>
                <w:rFonts w:cs="Arial"/>
                <w:color w:val="000000"/>
                <w:sz w:val="18"/>
                <w:szCs w:val="18"/>
              </w:rPr>
            </w:pPr>
            <w:r w:rsidRPr="00A92AA5">
              <w:rPr>
                <w:rFonts w:cs="Arial"/>
                <w:color w:val="000000"/>
                <w:sz w:val="18"/>
                <w:szCs w:val="18"/>
              </w:rPr>
              <w:t>48.7</w:t>
            </w:r>
          </w:p>
        </w:tc>
        <w:tc>
          <w:tcPr>
            <w:tcW w:w="1128" w:type="dxa"/>
            <w:tcBorders>
              <w:top w:val="nil"/>
              <w:left w:val="nil"/>
              <w:bottom w:val="nil"/>
              <w:right w:val="nil"/>
            </w:tcBorders>
            <w:shd w:val="clear" w:color="auto" w:fill="auto"/>
            <w:noWrap/>
            <w:vAlign w:val="center"/>
            <w:hideMark/>
          </w:tcPr>
          <w:p w14:paraId="4310DD30" w14:textId="77777777" w:rsidR="00572F25" w:rsidRPr="00A92AA5" w:rsidRDefault="00572F25" w:rsidP="00140544">
            <w:pPr>
              <w:spacing w:after="0"/>
              <w:jc w:val="right"/>
              <w:rPr>
                <w:rFonts w:cs="Arial"/>
                <w:color w:val="000000"/>
                <w:sz w:val="18"/>
                <w:szCs w:val="18"/>
              </w:rPr>
            </w:pPr>
            <w:r w:rsidRPr="00A92AA5">
              <w:rPr>
                <w:rFonts w:cs="Arial"/>
                <w:color w:val="000000"/>
                <w:sz w:val="18"/>
                <w:szCs w:val="18"/>
              </w:rPr>
              <w:t>126</w:t>
            </w:r>
          </w:p>
        </w:tc>
        <w:tc>
          <w:tcPr>
            <w:tcW w:w="1129" w:type="dxa"/>
            <w:tcBorders>
              <w:top w:val="nil"/>
              <w:left w:val="nil"/>
              <w:bottom w:val="nil"/>
              <w:right w:val="nil"/>
            </w:tcBorders>
            <w:shd w:val="clear" w:color="auto" w:fill="auto"/>
            <w:noWrap/>
            <w:vAlign w:val="center"/>
            <w:hideMark/>
          </w:tcPr>
          <w:p w14:paraId="79025BB1" w14:textId="77777777" w:rsidR="00572F25" w:rsidRPr="00A92AA5" w:rsidRDefault="00572F25" w:rsidP="00140544">
            <w:pPr>
              <w:spacing w:after="0"/>
              <w:rPr>
                <w:rFonts w:cs="Arial"/>
                <w:color w:val="000000"/>
                <w:sz w:val="18"/>
                <w:szCs w:val="18"/>
              </w:rPr>
            </w:pPr>
            <w:r w:rsidRPr="00A92AA5">
              <w:rPr>
                <w:rFonts w:cs="Arial"/>
                <w:color w:val="000000"/>
                <w:sz w:val="18"/>
                <w:szCs w:val="18"/>
              </w:rPr>
              <w:t>48.3</w:t>
            </w:r>
          </w:p>
        </w:tc>
      </w:tr>
      <w:tr w:rsidR="00572F25" w:rsidRPr="00A92AA5" w14:paraId="4C512B16" w14:textId="77777777" w:rsidTr="00140544">
        <w:trPr>
          <w:trHeight w:val="295"/>
        </w:trPr>
        <w:tc>
          <w:tcPr>
            <w:tcW w:w="3520" w:type="dxa"/>
            <w:tcBorders>
              <w:top w:val="nil"/>
              <w:left w:val="nil"/>
              <w:bottom w:val="nil"/>
              <w:right w:val="nil"/>
            </w:tcBorders>
            <w:shd w:val="clear" w:color="000000" w:fill="F1F1F2"/>
            <w:noWrap/>
            <w:vAlign w:val="center"/>
            <w:hideMark/>
          </w:tcPr>
          <w:p w14:paraId="7A1516DE" w14:textId="77777777" w:rsidR="00572F25" w:rsidRPr="00A92AA5" w:rsidRDefault="00572F25" w:rsidP="00140544">
            <w:pPr>
              <w:spacing w:after="0"/>
              <w:rPr>
                <w:rFonts w:cs="Arial"/>
                <w:color w:val="000000"/>
                <w:sz w:val="18"/>
                <w:szCs w:val="18"/>
              </w:rPr>
            </w:pPr>
            <w:r w:rsidRPr="00A92AA5">
              <w:rPr>
                <w:rFonts w:cs="Arial"/>
                <w:color w:val="000000"/>
                <w:sz w:val="18"/>
                <w:szCs w:val="18"/>
              </w:rPr>
              <w:t>Vascular surgery</w:t>
            </w:r>
          </w:p>
        </w:tc>
        <w:tc>
          <w:tcPr>
            <w:tcW w:w="1180" w:type="dxa"/>
            <w:tcBorders>
              <w:top w:val="nil"/>
              <w:left w:val="nil"/>
              <w:bottom w:val="nil"/>
              <w:right w:val="nil"/>
            </w:tcBorders>
            <w:shd w:val="clear" w:color="000000" w:fill="F1F1F2"/>
            <w:noWrap/>
            <w:vAlign w:val="center"/>
            <w:hideMark/>
          </w:tcPr>
          <w:p w14:paraId="161B3CEF" w14:textId="77777777" w:rsidR="00572F25" w:rsidRPr="00A92AA5" w:rsidRDefault="00572F25" w:rsidP="00140544">
            <w:pPr>
              <w:spacing w:after="0"/>
              <w:jc w:val="center"/>
              <w:rPr>
                <w:rFonts w:cs="Arial"/>
                <w:color w:val="000000"/>
                <w:sz w:val="18"/>
                <w:szCs w:val="18"/>
              </w:rPr>
            </w:pPr>
            <w:r w:rsidRPr="00A92AA5">
              <w:rPr>
                <w:rFonts w:cs="Arial"/>
                <w:color w:val="000000"/>
                <w:sz w:val="18"/>
                <w:szCs w:val="18"/>
              </w:rPr>
              <w:t>168</w:t>
            </w:r>
          </w:p>
        </w:tc>
        <w:tc>
          <w:tcPr>
            <w:tcW w:w="1128" w:type="dxa"/>
            <w:tcBorders>
              <w:top w:val="nil"/>
              <w:left w:val="nil"/>
              <w:bottom w:val="nil"/>
              <w:right w:val="nil"/>
            </w:tcBorders>
            <w:shd w:val="clear" w:color="000000" w:fill="F1F1F2"/>
            <w:noWrap/>
            <w:vAlign w:val="center"/>
            <w:hideMark/>
          </w:tcPr>
          <w:p w14:paraId="2DFD6116" w14:textId="77777777" w:rsidR="00572F25" w:rsidRPr="00A92AA5" w:rsidRDefault="00572F25" w:rsidP="00140544">
            <w:pPr>
              <w:spacing w:after="0"/>
              <w:jc w:val="right"/>
              <w:rPr>
                <w:rFonts w:cs="Arial"/>
                <w:color w:val="000000"/>
                <w:sz w:val="18"/>
                <w:szCs w:val="18"/>
              </w:rPr>
            </w:pPr>
            <w:r w:rsidRPr="00A92AA5">
              <w:rPr>
                <w:rFonts w:cs="Arial"/>
                <w:color w:val="000000"/>
                <w:sz w:val="18"/>
                <w:szCs w:val="18"/>
              </w:rPr>
              <w:t>21</w:t>
            </w:r>
          </w:p>
        </w:tc>
        <w:tc>
          <w:tcPr>
            <w:tcW w:w="1129" w:type="dxa"/>
            <w:tcBorders>
              <w:top w:val="nil"/>
              <w:left w:val="nil"/>
              <w:bottom w:val="nil"/>
              <w:right w:val="nil"/>
            </w:tcBorders>
            <w:shd w:val="clear" w:color="000000" w:fill="F1F1F2"/>
            <w:noWrap/>
            <w:vAlign w:val="center"/>
            <w:hideMark/>
          </w:tcPr>
          <w:p w14:paraId="6C824EAC" w14:textId="77777777" w:rsidR="00572F25" w:rsidRPr="00A92AA5" w:rsidRDefault="00572F25" w:rsidP="00140544">
            <w:pPr>
              <w:spacing w:after="0"/>
              <w:rPr>
                <w:rFonts w:cs="Arial"/>
                <w:color w:val="000000"/>
                <w:sz w:val="18"/>
                <w:szCs w:val="18"/>
              </w:rPr>
            </w:pPr>
            <w:r w:rsidRPr="00A92AA5">
              <w:rPr>
                <w:rFonts w:cs="Arial"/>
                <w:color w:val="000000"/>
                <w:sz w:val="18"/>
                <w:szCs w:val="18"/>
              </w:rPr>
              <w:t>12.5</w:t>
            </w:r>
          </w:p>
        </w:tc>
        <w:tc>
          <w:tcPr>
            <w:tcW w:w="1128" w:type="dxa"/>
            <w:tcBorders>
              <w:top w:val="nil"/>
              <w:left w:val="nil"/>
              <w:bottom w:val="nil"/>
              <w:right w:val="nil"/>
            </w:tcBorders>
            <w:shd w:val="clear" w:color="000000" w:fill="F1F1F2"/>
            <w:noWrap/>
            <w:vAlign w:val="center"/>
            <w:hideMark/>
          </w:tcPr>
          <w:p w14:paraId="5E1119D7" w14:textId="77777777" w:rsidR="00572F25" w:rsidRPr="00A92AA5" w:rsidRDefault="00572F25" w:rsidP="00140544">
            <w:pPr>
              <w:spacing w:after="0"/>
              <w:jc w:val="right"/>
              <w:rPr>
                <w:rFonts w:cs="Arial"/>
                <w:color w:val="000000"/>
                <w:sz w:val="18"/>
                <w:szCs w:val="18"/>
              </w:rPr>
            </w:pPr>
            <w:r w:rsidRPr="00A92AA5">
              <w:rPr>
                <w:rFonts w:cs="Arial"/>
                <w:color w:val="000000"/>
                <w:sz w:val="18"/>
                <w:szCs w:val="18"/>
              </w:rPr>
              <w:t>9</w:t>
            </w:r>
          </w:p>
        </w:tc>
        <w:tc>
          <w:tcPr>
            <w:tcW w:w="1129" w:type="dxa"/>
            <w:tcBorders>
              <w:top w:val="nil"/>
              <w:left w:val="nil"/>
              <w:bottom w:val="nil"/>
              <w:right w:val="nil"/>
            </w:tcBorders>
            <w:shd w:val="clear" w:color="000000" w:fill="F1F1F2"/>
            <w:noWrap/>
            <w:vAlign w:val="center"/>
            <w:hideMark/>
          </w:tcPr>
          <w:p w14:paraId="51192299" w14:textId="77777777" w:rsidR="00572F25" w:rsidRPr="00A92AA5" w:rsidRDefault="00572F25" w:rsidP="00140544">
            <w:pPr>
              <w:spacing w:after="0"/>
              <w:rPr>
                <w:rFonts w:cs="Arial"/>
                <w:color w:val="000000"/>
                <w:sz w:val="18"/>
                <w:szCs w:val="18"/>
              </w:rPr>
            </w:pPr>
            <w:r w:rsidRPr="00A92AA5">
              <w:rPr>
                <w:rFonts w:cs="Arial"/>
                <w:color w:val="000000"/>
                <w:sz w:val="18"/>
                <w:szCs w:val="18"/>
              </w:rPr>
              <w:t>5.4</w:t>
            </w:r>
          </w:p>
        </w:tc>
      </w:tr>
      <w:tr w:rsidR="00572F25" w:rsidRPr="00A92AA5" w14:paraId="7AD14237" w14:textId="77777777" w:rsidTr="00140544">
        <w:trPr>
          <w:trHeight w:val="300"/>
        </w:trPr>
        <w:tc>
          <w:tcPr>
            <w:tcW w:w="3520" w:type="dxa"/>
            <w:tcBorders>
              <w:top w:val="nil"/>
              <w:left w:val="nil"/>
              <w:bottom w:val="nil"/>
              <w:right w:val="nil"/>
            </w:tcBorders>
            <w:shd w:val="clear" w:color="auto" w:fill="auto"/>
            <w:noWrap/>
            <w:vAlign w:val="center"/>
            <w:hideMark/>
          </w:tcPr>
          <w:p w14:paraId="60EECD39" w14:textId="77777777" w:rsidR="00572F25" w:rsidRPr="00A92AA5" w:rsidRDefault="00572F25" w:rsidP="00140544">
            <w:pPr>
              <w:spacing w:after="0"/>
              <w:rPr>
                <w:rFonts w:cs="Arial"/>
                <w:color w:val="000000"/>
                <w:sz w:val="18"/>
                <w:szCs w:val="18"/>
              </w:rPr>
            </w:pPr>
            <w:r w:rsidRPr="00A92AA5">
              <w:rPr>
                <w:rFonts w:cs="Arial"/>
                <w:color w:val="000000"/>
                <w:sz w:val="18"/>
                <w:szCs w:val="18"/>
              </w:rPr>
              <w:t>Thoracic surgery</w:t>
            </w:r>
          </w:p>
        </w:tc>
        <w:tc>
          <w:tcPr>
            <w:tcW w:w="1180" w:type="dxa"/>
            <w:tcBorders>
              <w:top w:val="nil"/>
              <w:left w:val="nil"/>
              <w:bottom w:val="nil"/>
              <w:right w:val="nil"/>
            </w:tcBorders>
            <w:shd w:val="clear" w:color="auto" w:fill="auto"/>
            <w:noWrap/>
            <w:vAlign w:val="center"/>
            <w:hideMark/>
          </w:tcPr>
          <w:p w14:paraId="4443E291" w14:textId="77777777" w:rsidR="00572F25" w:rsidRPr="00A92AA5" w:rsidRDefault="00572F25" w:rsidP="00140544">
            <w:pPr>
              <w:spacing w:after="0"/>
              <w:jc w:val="center"/>
              <w:rPr>
                <w:rFonts w:cs="Arial"/>
                <w:color w:val="000000"/>
                <w:sz w:val="18"/>
                <w:szCs w:val="18"/>
              </w:rPr>
            </w:pPr>
            <w:r w:rsidRPr="00A92AA5">
              <w:rPr>
                <w:rFonts w:cs="Arial"/>
                <w:color w:val="000000"/>
                <w:sz w:val="18"/>
                <w:szCs w:val="18"/>
              </w:rPr>
              <w:t>86</w:t>
            </w:r>
          </w:p>
        </w:tc>
        <w:tc>
          <w:tcPr>
            <w:tcW w:w="1128" w:type="dxa"/>
            <w:tcBorders>
              <w:top w:val="nil"/>
              <w:left w:val="nil"/>
              <w:bottom w:val="nil"/>
              <w:right w:val="nil"/>
            </w:tcBorders>
            <w:shd w:val="clear" w:color="auto" w:fill="auto"/>
            <w:noWrap/>
            <w:vAlign w:val="center"/>
            <w:hideMark/>
          </w:tcPr>
          <w:p w14:paraId="7B57ACDD" w14:textId="77777777" w:rsidR="00572F25" w:rsidRPr="00A92AA5" w:rsidRDefault="00572F25" w:rsidP="00140544">
            <w:pPr>
              <w:spacing w:after="0"/>
              <w:jc w:val="right"/>
              <w:rPr>
                <w:rFonts w:cs="Arial"/>
                <w:color w:val="000000"/>
                <w:sz w:val="18"/>
                <w:szCs w:val="18"/>
              </w:rPr>
            </w:pPr>
            <w:r w:rsidRPr="00A92AA5">
              <w:rPr>
                <w:rFonts w:cs="Arial"/>
                <w:color w:val="000000"/>
                <w:sz w:val="18"/>
                <w:szCs w:val="18"/>
              </w:rPr>
              <w:t>32</w:t>
            </w:r>
          </w:p>
        </w:tc>
        <w:tc>
          <w:tcPr>
            <w:tcW w:w="1129" w:type="dxa"/>
            <w:tcBorders>
              <w:top w:val="nil"/>
              <w:left w:val="nil"/>
              <w:bottom w:val="nil"/>
              <w:right w:val="nil"/>
            </w:tcBorders>
            <w:shd w:val="clear" w:color="auto" w:fill="auto"/>
            <w:noWrap/>
            <w:vAlign w:val="center"/>
            <w:hideMark/>
          </w:tcPr>
          <w:p w14:paraId="6D8F9278" w14:textId="77777777" w:rsidR="00572F25" w:rsidRPr="00A92AA5" w:rsidRDefault="00572F25" w:rsidP="00140544">
            <w:pPr>
              <w:spacing w:after="0"/>
              <w:rPr>
                <w:rFonts w:cs="Arial"/>
                <w:color w:val="000000"/>
                <w:sz w:val="18"/>
                <w:szCs w:val="18"/>
              </w:rPr>
            </w:pPr>
            <w:r w:rsidRPr="00A92AA5">
              <w:rPr>
                <w:rFonts w:cs="Arial"/>
                <w:color w:val="000000"/>
                <w:sz w:val="18"/>
                <w:szCs w:val="18"/>
              </w:rPr>
              <w:t>37.2</w:t>
            </w:r>
          </w:p>
        </w:tc>
        <w:tc>
          <w:tcPr>
            <w:tcW w:w="1128" w:type="dxa"/>
            <w:tcBorders>
              <w:top w:val="nil"/>
              <w:left w:val="nil"/>
              <w:bottom w:val="nil"/>
              <w:right w:val="nil"/>
            </w:tcBorders>
            <w:shd w:val="clear" w:color="auto" w:fill="auto"/>
            <w:noWrap/>
            <w:vAlign w:val="center"/>
            <w:hideMark/>
          </w:tcPr>
          <w:p w14:paraId="37F2ECEC" w14:textId="77777777" w:rsidR="00572F25" w:rsidRPr="00A92AA5" w:rsidRDefault="00572F25" w:rsidP="00140544">
            <w:pPr>
              <w:spacing w:after="0"/>
              <w:jc w:val="right"/>
              <w:rPr>
                <w:rFonts w:cs="Arial"/>
                <w:color w:val="000000"/>
                <w:sz w:val="18"/>
                <w:szCs w:val="18"/>
              </w:rPr>
            </w:pPr>
            <w:r w:rsidRPr="00A92AA5">
              <w:rPr>
                <w:rFonts w:cs="Arial"/>
                <w:color w:val="000000"/>
                <w:sz w:val="18"/>
                <w:szCs w:val="18"/>
              </w:rPr>
              <w:t>12</w:t>
            </w:r>
          </w:p>
        </w:tc>
        <w:tc>
          <w:tcPr>
            <w:tcW w:w="1129" w:type="dxa"/>
            <w:tcBorders>
              <w:top w:val="nil"/>
              <w:left w:val="nil"/>
              <w:bottom w:val="nil"/>
              <w:right w:val="nil"/>
            </w:tcBorders>
            <w:shd w:val="clear" w:color="auto" w:fill="auto"/>
            <w:noWrap/>
            <w:vAlign w:val="center"/>
            <w:hideMark/>
          </w:tcPr>
          <w:p w14:paraId="7D77DFCA" w14:textId="77777777" w:rsidR="00572F25" w:rsidRPr="00A92AA5" w:rsidRDefault="00572F25" w:rsidP="00140544">
            <w:pPr>
              <w:spacing w:after="0"/>
              <w:rPr>
                <w:rFonts w:cs="Arial"/>
                <w:color w:val="000000"/>
                <w:sz w:val="18"/>
                <w:szCs w:val="18"/>
              </w:rPr>
            </w:pPr>
            <w:r w:rsidRPr="00A92AA5">
              <w:rPr>
                <w:rFonts w:cs="Arial"/>
                <w:color w:val="000000"/>
                <w:sz w:val="18"/>
                <w:szCs w:val="18"/>
              </w:rPr>
              <w:t>14.0</w:t>
            </w:r>
          </w:p>
        </w:tc>
      </w:tr>
      <w:tr w:rsidR="00572F25" w:rsidRPr="00A92AA5" w14:paraId="25DCC477" w14:textId="77777777" w:rsidTr="00140544">
        <w:trPr>
          <w:trHeight w:val="300"/>
        </w:trPr>
        <w:tc>
          <w:tcPr>
            <w:tcW w:w="3520" w:type="dxa"/>
            <w:tcBorders>
              <w:top w:val="nil"/>
              <w:left w:val="nil"/>
              <w:bottom w:val="nil"/>
              <w:right w:val="nil"/>
            </w:tcBorders>
            <w:shd w:val="clear" w:color="000000" w:fill="007D75"/>
            <w:noWrap/>
            <w:vAlign w:val="center"/>
            <w:hideMark/>
          </w:tcPr>
          <w:p w14:paraId="48E61F4E" w14:textId="77777777" w:rsidR="00572F25" w:rsidRPr="00A92AA5" w:rsidRDefault="00572F25" w:rsidP="00140544">
            <w:pPr>
              <w:keepNext/>
              <w:spacing w:after="0"/>
              <w:rPr>
                <w:rFonts w:cs="Arial"/>
                <w:color w:val="FFFFFF"/>
                <w:sz w:val="18"/>
                <w:szCs w:val="18"/>
              </w:rPr>
            </w:pPr>
            <w:r w:rsidRPr="00A92AA5">
              <w:rPr>
                <w:rFonts w:cs="Arial"/>
                <w:color w:val="FFFFFF"/>
                <w:sz w:val="18"/>
                <w:szCs w:val="18"/>
              </w:rPr>
              <w:t>Total</w:t>
            </w:r>
          </w:p>
        </w:tc>
        <w:tc>
          <w:tcPr>
            <w:tcW w:w="1180" w:type="dxa"/>
            <w:tcBorders>
              <w:top w:val="nil"/>
              <w:left w:val="nil"/>
              <w:bottom w:val="nil"/>
              <w:right w:val="nil"/>
            </w:tcBorders>
            <w:shd w:val="clear" w:color="000000" w:fill="007D75"/>
            <w:noWrap/>
            <w:vAlign w:val="center"/>
            <w:hideMark/>
          </w:tcPr>
          <w:p w14:paraId="3F4BDFC2" w14:textId="77777777" w:rsidR="00572F25" w:rsidRPr="00A92AA5" w:rsidRDefault="00572F25" w:rsidP="00140544">
            <w:pPr>
              <w:spacing w:after="0"/>
              <w:jc w:val="center"/>
              <w:rPr>
                <w:rFonts w:cs="Arial"/>
                <w:color w:val="FFFFFF"/>
                <w:sz w:val="18"/>
                <w:szCs w:val="18"/>
              </w:rPr>
            </w:pPr>
            <w:r w:rsidRPr="00A92AA5">
              <w:rPr>
                <w:rFonts w:cs="Arial"/>
                <w:color w:val="FFFFFF"/>
                <w:sz w:val="18"/>
                <w:szCs w:val="18"/>
              </w:rPr>
              <w:t>10,927</w:t>
            </w:r>
          </w:p>
        </w:tc>
        <w:tc>
          <w:tcPr>
            <w:tcW w:w="1128" w:type="dxa"/>
            <w:tcBorders>
              <w:top w:val="nil"/>
              <w:left w:val="nil"/>
              <w:bottom w:val="nil"/>
              <w:right w:val="nil"/>
            </w:tcBorders>
            <w:shd w:val="clear" w:color="000000" w:fill="007D75"/>
            <w:noWrap/>
            <w:vAlign w:val="center"/>
            <w:hideMark/>
          </w:tcPr>
          <w:p w14:paraId="5CD3E8F2" w14:textId="77777777" w:rsidR="00572F25" w:rsidRPr="00A92AA5" w:rsidRDefault="00572F25" w:rsidP="00140544">
            <w:pPr>
              <w:spacing w:after="0"/>
              <w:jc w:val="right"/>
              <w:rPr>
                <w:rFonts w:cs="Arial"/>
                <w:color w:val="FFFFFF"/>
                <w:sz w:val="18"/>
                <w:szCs w:val="18"/>
              </w:rPr>
            </w:pPr>
            <w:r w:rsidRPr="00A92AA5">
              <w:rPr>
                <w:rFonts w:cs="Arial"/>
                <w:color w:val="FFFFFF"/>
                <w:sz w:val="18"/>
                <w:szCs w:val="18"/>
              </w:rPr>
              <w:t>2,937</w:t>
            </w:r>
          </w:p>
        </w:tc>
        <w:tc>
          <w:tcPr>
            <w:tcW w:w="1129" w:type="dxa"/>
            <w:tcBorders>
              <w:top w:val="nil"/>
              <w:left w:val="nil"/>
              <w:bottom w:val="nil"/>
              <w:right w:val="nil"/>
            </w:tcBorders>
            <w:shd w:val="clear" w:color="000000" w:fill="007D75"/>
            <w:noWrap/>
            <w:vAlign w:val="center"/>
            <w:hideMark/>
          </w:tcPr>
          <w:p w14:paraId="489C7317" w14:textId="77777777" w:rsidR="00572F25" w:rsidRPr="00A92AA5" w:rsidRDefault="00572F25" w:rsidP="00140544">
            <w:pPr>
              <w:spacing w:after="0"/>
              <w:rPr>
                <w:rFonts w:cs="Arial"/>
                <w:color w:val="FFFFFF"/>
                <w:sz w:val="18"/>
                <w:szCs w:val="18"/>
              </w:rPr>
            </w:pPr>
            <w:r w:rsidRPr="00A92AA5">
              <w:rPr>
                <w:rFonts w:cs="Arial"/>
                <w:color w:val="FFFFFF"/>
                <w:sz w:val="18"/>
                <w:szCs w:val="18"/>
              </w:rPr>
              <w:t>26.9</w:t>
            </w:r>
          </w:p>
        </w:tc>
        <w:tc>
          <w:tcPr>
            <w:tcW w:w="1128" w:type="dxa"/>
            <w:tcBorders>
              <w:top w:val="nil"/>
              <w:left w:val="nil"/>
              <w:bottom w:val="nil"/>
              <w:right w:val="nil"/>
            </w:tcBorders>
            <w:shd w:val="clear" w:color="000000" w:fill="007D75"/>
            <w:noWrap/>
            <w:vAlign w:val="center"/>
            <w:hideMark/>
          </w:tcPr>
          <w:p w14:paraId="34F817C4" w14:textId="77777777" w:rsidR="00572F25" w:rsidRPr="00A92AA5" w:rsidRDefault="00572F25" w:rsidP="00140544">
            <w:pPr>
              <w:spacing w:after="0"/>
              <w:jc w:val="right"/>
              <w:rPr>
                <w:rFonts w:cs="Arial"/>
                <w:color w:val="FFFFFF"/>
                <w:sz w:val="18"/>
                <w:szCs w:val="18"/>
              </w:rPr>
            </w:pPr>
            <w:r w:rsidRPr="00A92AA5">
              <w:rPr>
                <w:rFonts w:cs="Arial"/>
                <w:color w:val="FFFFFF"/>
                <w:sz w:val="18"/>
                <w:szCs w:val="18"/>
              </w:rPr>
              <w:t>1,807</w:t>
            </w:r>
          </w:p>
        </w:tc>
        <w:tc>
          <w:tcPr>
            <w:tcW w:w="1129" w:type="dxa"/>
            <w:tcBorders>
              <w:top w:val="nil"/>
              <w:left w:val="nil"/>
              <w:bottom w:val="nil"/>
              <w:right w:val="nil"/>
            </w:tcBorders>
            <w:shd w:val="clear" w:color="000000" w:fill="007D75"/>
            <w:noWrap/>
            <w:vAlign w:val="center"/>
            <w:hideMark/>
          </w:tcPr>
          <w:p w14:paraId="2CB48EF3" w14:textId="77777777" w:rsidR="00572F25" w:rsidRPr="00A92AA5" w:rsidRDefault="00572F25" w:rsidP="00140544">
            <w:pPr>
              <w:spacing w:after="0"/>
              <w:rPr>
                <w:rFonts w:cs="Arial"/>
                <w:color w:val="FFFFFF"/>
                <w:sz w:val="18"/>
                <w:szCs w:val="18"/>
              </w:rPr>
            </w:pPr>
            <w:r w:rsidRPr="00A92AA5">
              <w:rPr>
                <w:rFonts w:cs="Arial"/>
                <w:color w:val="FFFFFF"/>
                <w:sz w:val="18"/>
                <w:szCs w:val="18"/>
              </w:rPr>
              <w:t>16.5</w:t>
            </w:r>
          </w:p>
        </w:tc>
      </w:tr>
    </w:tbl>
    <w:p w14:paraId="2169C7F3" w14:textId="77777777" w:rsidR="00572F25" w:rsidRPr="001B0FA0" w:rsidRDefault="00572F25" w:rsidP="00572F25">
      <w:pPr>
        <w:pStyle w:val="Notes"/>
      </w:pPr>
      <w:r w:rsidRPr="001B0FA0">
        <w:t>* Percentages are not shown for antimicrobials where n &lt;10</w:t>
      </w:r>
      <w:r>
        <w:t>.</w:t>
      </w:r>
    </w:p>
    <w:p w14:paraId="72286A06" w14:textId="77777777" w:rsidR="00572F25" w:rsidRDefault="00572F25" w:rsidP="00572F25">
      <w:pPr>
        <w:spacing w:after="0"/>
      </w:pPr>
      <w:r>
        <w:br w:type="page"/>
      </w:r>
    </w:p>
    <w:p w14:paraId="13786397" w14:textId="77777777" w:rsidR="00572F25" w:rsidRPr="008B5A90" w:rsidRDefault="00572F25" w:rsidP="00572F25">
      <w:pPr>
        <w:pStyle w:val="Heading1"/>
        <w:ind w:left="432" w:hanging="432"/>
        <w:jc w:val="both"/>
      </w:pPr>
      <w:bookmarkStart w:id="149" w:name="_Appendix_4:_Comparative"/>
      <w:bookmarkStart w:id="150" w:name="_Toc106731819"/>
      <w:bookmarkStart w:id="151" w:name="_Toc126664220"/>
      <w:bookmarkEnd w:id="149"/>
      <w:r w:rsidRPr="008B5A90">
        <w:lastRenderedPageBreak/>
        <w:t xml:space="preserve">Appendix </w:t>
      </w:r>
      <w:r>
        <w:t xml:space="preserve">4: </w:t>
      </w:r>
      <w:r w:rsidRPr="008B5A90">
        <w:t>Comparative data analysis</w:t>
      </w:r>
      <w:bookmarkEnd w:id="150"/>
      <w:bookmarkEnd w:id="151"/>
    </w:p>
    <w:p w14:paraId="0C9151A1" w14:textId="77777777" w:rsidR="00572F25" w:rsidRPr="008B5A90" w:rsidRDefault="00572F25" w:rsidP="00977AD6">
      <w:pPr>
        <w:pStyle w:val="Heading2"/>
      </w:pPr>
      <w:bookmarkStart w:id="152" w:name="_Toc45292134"/>
      <w:bookmarkStart w:id="153" w:name="_Toc47422912"/>
      <w:bookmarkStart w:id="154" w:name="_Toc47422981"/>
      <w:bookmarkStart w:id="155" w:name="_Toc47423794"/>
      <w:bookmarkStart w:id="156" w:name="_Toc106731820"/>
      <w:r w:rsidRPr="008B5A90">
        <w:t>Comparisons to previous Surgical NAPS data: 2016 to 20</w:t>
      </w:r>
      <w:bookmarkEnd w:id="152"/>
      <w:bookmarkEnd w:id="153"/>
      <w:bookmarkEnd w:id="154"/>
      <w:bookmarkEnd w:id="155"/>
      <w:r w:rsidRPr="008B5A90">
        <w:t>2</w:t>
      </w:r>
      <w:bookmarkEnd w:id="156"/>
      <w:r>
        <w:t>1</w:t>
      </w:r>
    </w:p>
    <w:p w14:paraId="3DF542B0" w14:textId="77777777" w:rsidR="00572F25" w:rsidRPr="00C00993" w:rsidRDefault="00572F25" w:rsidP="00572F25">
      <w:pPr>
        <w:rPr>
          <w:rFonts w:cstheme="minorHAnsi"/>
        </w:rPr>
      </w:pPr>
      <w:r w:rsidRPr="00152476">
        <w:rPr>
          <w:rFonts w:cstheme="minorHAnsi"/>
        </w:rPr>
        <w:t>Caution is required when comparing the results of analyses from year to year (</w:t>
      </w:r>
      <w:r w:rsidRPr="00152476">
        <w:rPr>
          <w:rFonts w:cstheme="minorHAnsi"/>
          <w:iCs/>
        </w:rPr>
        <w:t xml:space="preserve">see </w:t>
      </w:r>
      <w:hyperlink w:anchor="_Methodology_1" w:history="1">
        <w:r w:rsidRPr="00152476">
          <w:rPr>
            <w:rStyle w:val="Hyperlink"/>
            <w:rFonts w:cstheme="minorHAnsi"/>
            <w:iCs/>
          </w:rPr>
          <w:t>Methodology</w:t>
        </w:r>
      </w:hyperlink>
      <w:r w:rsidRPr="00152476">
        <w:rPr>
          <w:rFonts w:cstheme="minorHAnsi"/>
        </w:rPr>
        <w:t>),</w:t>
      </w:r>
      <w:r w:rsidRPr="00C00993">
        <w:rPr>
          <w:rFonts w:cstheme="minorHAnsi"/>
        </w:rPr>
        <w:t xml:space="preserve"> as each dataset may comprise different proportions of surgical procedure groups, which have different requirements for surgical antimicrobial prescribing. This is influenced by the facility participation rates and survey methodologies auditors have </w:t>
      </w:r>
      <w:r w:rsidRPr="00152476">
        <w:rPr>
          <w:rFonts w:cstheme="minorHAnsi"/>
        </w:rPr>
        <w:t>chosen to employ. Overall comparisons should be limited to within specific surgical procedure groups (</w:t>
      </w:r>
      <w:r w:rsidRPr="00152476">
        <w:rPr>
          <w:rFonts w:cstheme="minorHAnsi"/>
          <w:iCs/>
        </w:rPr>
        <w:t xml:space="preserve">see </w:t>
      </w:r>
      <w:hyperlink w:anchor="_Appendix_5:_Procedure" w:history="1">
        <w:r w:rsidRPr="00152476">
          <w:rPr>
            <w:rStyle w:val="Hyperlink"/>
            <w:rFonts w:cstheme="minorHAnsi"/>
            <w:iCs/>
          </w:rPr>
          <w:t xml:space="preserve">Appendix </w:t>
        </w:r>
        <w:r w:rsidRPr="00152476">
          <w:rPr>
            <w:rStyle w:val="Hyperlink"/>
            <w:rFonts w:cstheme="minorHAnsi"/>
          </w:rPr>
          <w:t>5</w:t>
        </w:r>
      </w:hyperlink>
      <w:r w:rsidRPr="00152476">
        <w:rPr>
          <w:rFonts w:cstheme="minorHAnsi"/>
        </w:rPr>
        <w:t>),</w:t>
      </w:r>
      <w:r w:rsidRPr="00C00993">
        <w:rPr>
          <w:rFonts w:cstheme="minorHAnsi"/>
        </w:rPr>
        <w:t xml:space="preserve"> although some comparative analysis between the</w:t>
      </w:r>
      <w:r>
        <w:rPr>
          <w:rFonts w:cstheme="minorHAnsi"/>
        </w:rPr>
        <w:t xml:space="preserve"> datasets from</w:t>
      </w:r>
      <w:r w:rsidRPr="00C00993">
        <w:rPr>
          <w:rFonts w:cstheme="minorHAnsi"/>
        </w:rPr>
        <w:t xml:space="preserve"> 2016 to 20</w:t>
      </w:r>
      <w:r>
        <w:rPr>
          <w:rFonts w:cstheme="minorHAnsi"/>
        </w:rPr>
        <w:t>21</w:t>
      </w:r>
      <w:r w:rsidRPr="00C00993">
        <w:rPr>
          <w:rFonts w:cstheme="minorHAnsi"/>
        </w:rPr>
        <w:t xml:space="preserve"> ha</w:t>
      </w:r>
      <w:r>
        <w:rPr>
          <w:rFonts w:cstheme="minorHAnsi"/>
        </w:rPr>
        <w:t>s</w:t>
      </w:r>
      <w:r w:rsidRPr="00C00993">
        <w:rPr>
          <w:rFonts w:cstheme="minorHAnsi"/>
        </w:rPr>
        <w:t xml:space="preserve"> been provided below.</w:t>
      </w:r>
    </w:p>
    <w:p w14:paraId="050C326F" w14:textId="77777777" w:rsidR="00572F25" w:rsidRPr="00C00993" w:rsidRDefault="00572F25" w:rsidP="00572F25">
      <w:pPr>
        <w:pStyle w:val="Heading3"/>
        <w:ind w:left="720" w:hanging="720"/>
        <w:jc w:val="both"/>
      </w:pPr>
      <w:bookmarkStart w:id="157" w:name="_Toc45292135"/>
      <w:bookmarkStart w:id="158" w:name="_Toc47422913"/>
      <w:bookmarkStart w:id="159" w:name="_Toc47422982"/>
      <w:bookmarkStart w:id="160" w:name="_Toc47423795"/>
      <w:bookmarkStart w:id="161" w:name="_Toc106731821"/>
      <w:r w:rsidRPr="00C00993">
        <w:t>Procedure group participation</w:t>
      </w:r>
      <w:bookmarkEnd w:id="157"/>
      <w:bookmarkEnd w:id="158"/>
      <w:bookmarkEnd w:id="159"/>
      <w:bookmarkEnd w:id="160"/>
      <w:bookmarkEnd w:id="161"/>
      <w:r w:rsidRPr="00C00993">
        <w:t xml:space="preserve"> </w:t>
      </w:r>
    </w:p>
    <w:p w14:paraId="3FF76D4B" w14:textId="77777777" w:rsidR="00572F25" w:rsidRDefault="00572F25" w:rsidP="00572F25">
      <w:pPr>
        <w:rPr>
          <w:rFonts w:cstheme="minorHAnsi"/>
        </w:rPr>
      </w:pPr>
      <w:r w:rsidRPr="00C00993">
        <w:rPr>
          <w:rFonts w:cstheme="minorHAnsi"/>
        </w:rPr>
        <w:t xml:space="preserve">Overall, the </w:t>
      </w:r>
      <w:r w:rsidRPr="00B540B9">
        <w:rPr>
          <w:rFonts w:cstheme="minorHAnsi"/>
        </w:rPr>
        <w:t xml:space="preserve">proportional contribution of procedure groups to the Surgical NAPS dataset </w:t>
      </w:r>
      <w:r>
        <w:rPr>
          <w:rFonts w:cstheme="minorHAnsi"/>
        </w:rPr>
        <w:t>was</w:t>
      </w:r>
      <w:r w:rsidRPr="00B540B9">
        <w:rPr>
          <w:rFonts w:cstheme="minorHAnsi"/>
        </w:rPr>
        <w:t xml:space="preserve"> relatively stable from 2016 to 2021 (Figure A4.1). The highest proportion of audits ha</w:t>
      </w:r>
      <w:r>
        <w:rPr>
          <w:rFonts w:cstheme="minorHAnsi"/>
        </w:rPr>
        <w:t>s</w:t>
      </w:r>
      <w:r w:rsidRPr="00B540B9">
        <w:rPr>
          <w:rFonts w:cstheme="minorHAnsi"/>
        </w:rPr>
        <w:t xml:space="preserve"> been completed for orthopaedics each year since 2016. Consistently, the smallest proportion of data has been submitted for thoracic surgery. </w:t>
      </w:r>
      <w:r w:rsidRPr="00135749">
        <w:rPr>
          <w:rFonts w:cstheme="minorHAnsi"/>
        </w:rPr>
        <w:t xml:space="preserve">Contribution of data </w:t>
      </w:r>
      <w:r>
        <w:rPr>
          <w:rFonts w:cstheme="minorHAnsi"/>
        </w:rPr>
        <w:t xml:space="preserve">has </w:t>
      </w:r>
      <w:r w:rsidRPr="00B540B9">
        <w:rPr>
          <w:rFonts w:cstheme="minorHAnsi"/>
        </w:rPr>
        <w:t>continue</w:t>
      </w:r>
      <w:r>
        <w:rPr>
          <w:rFonts w:cstheme="minorHAnsi"/>
        </w:rPr>
        <w:t>d</w:t>
      </w:r>
      <w:r w:rsidRPr="00B540B9">
        <w:rPr>
          <w:rFonts w:cstheme="minorHAnsi"/>
        </w:rPr>
        <w:t xml:space="preserve"> to increase</w:t>
      </w:r>
      <w:r>
        <w:rPr>
          <w:rFonts w:cstheme="minorHAnsi"/>
        </w:rPr>
        <w:t xml:space="preserve"> since 2016</w:t>
      </w:r>
      <w:r w:rsidRPr="00B540B9">
        <w:rPr>
          <w:rFonts w:cstheme="minorHAnsi"/>
        </w:rPr>
        <w:t xml:space="preserve"> for ophthalmology and obstetrics.</w:t>
      </w:r>
    </w:p>
    <w:p w14:paraId="1228AD17" w14:textId="77777777" w:rsidR="00572F25" w:rsidRDefault="00572F25" w:rsidP="00572F25">
      <w:pPr>
        <w:pStyle w:val="Captions"/>
      </w:pPr>
      <w:r>
        <w:lastRenderedPageBreak/>
        <w:t>F</w:t>
      </w:r>
      <w:r w:rsidRPr="00AC0391">
        <w:t>igure A</w:t>
      </w:r>
      <w:r>
        <w:t>4</w:t>
      </w:r>
      <w:r w:rsidRPr="00AC0391">
        <w:t>.1:</w:t>
      </w:r>
      <w:r w:rsidRPr="00AC0391">
        <w:tab/>
        <w:t>Percentage of surgical episodes* for each surgical procedure group,</w:t>
      </w:r>
      <w:r>
        <w:t xml:space="preserve"> </w:t>
      </w:r>
      <w:r w:rsidRPr="00921BCD">
        <w:t xml:space="preserve">Surgical </w:t>
      </w:r>
      <w:r>
        <w:t>NAPS</w:t>
      </w:r>
      <w:r w:rsidRPr="00AC0391">
        <w:t xml:space="preserve"> contributor facilities, 2016–20</w:t>
      </w:r>
      <w:r>
        <w:t>21</w:t>
      </w:r>
    </w:p>
    <w:p w14:paraId="3D8512D6" w14:textId="77777777" w:rsidR="00572F25" w:rsidRDefault="00572F25" w:rsidP="00572F25">
      <w:r w:rsidRPr="0016630C">
        <w:rPr>
          <w:noProof/>
        </w:rPr>
        <w:drawing>
          <wp:inline distT="0" distB="0" distL="0" distR="0" wp14:anchorId="2931E61E" wp14:editId="399E53CD">
            <wp:extent cx="5941060" cy="6996020"/>
            <wp:effectExtent l="0" t="0" r="15240" b="14605"/>
            <wp:docPr id="47" name="Chart 47" descr="This is a horizontal bar graph showing  the amount of surgical episodes in each procedure group, in facilities contributing to Surgical NAPS, for each year from 2016 to 2021, expressed as a percentage of the total number of surgical episodes for that year. "/>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5308086" w14:textId="77777777" w:rsidR="00572F25" w:rsidRPr="00720C31" w:rsidRDefault="00572F25" w:rsidP="00572F25">
      <w:pPr>
        <w:pStyle w:val="Notes"/>
      </w:pPr>
      <w:r w:rsidRPr="00921BCD">
        <w:t>Note: Where there were multiple procedures per surgical episode, only the primary procedure group was included</w:t>
      </w:r>
      <w:r>
        <w:t>.</w:t>
      </w:r>
    </w:p>
    <w:p w14:paraId="20BF53EC" w14:textId="77777777" w:rsidR="00572F25" w:rsidRPr="00921BCD" w:rsidRDefault="00572F25" w:rsidP="00572F25">
      <w:pPr>
        <w:pStyle w:val="Notes"/>
      </w:pPr>
      <w:r w:rsidRPr="00921BCD">
        <w:t>* n=10,927 surgical episodes in 2021</w:t>
      </w:r>
      <w:r>
        <w:t>.</w:t>
      </w:r>
      <w:r w:rsidRPr="00921BCD">
        <w:br w:type="page"/>
      </w:r>
    </w:p>
    <w:p w14:paraId="670343E6" w14:textId="77777777" w:rsidR="00572F25" w:rsidRPr="000F23F9" w:rsidRDefault="00572F25" w:rsidP="00572F25">
      <w:pPr>
        <w:pStyle w:val="Heading3"/>
        <w:ind w:left="720" w:hanging="720"/>
        <w:jc w:val="both"/>
      </w:pPr>
      <w:bookmarkStart w:id="162" w:name="_Toc45292136"/>
      <w:bookmarkStart w:id="163" w:name="_Toc47422914"/>
      <w:bookmarkStart w:id="164" w:name="_Toc47422983"/>
      <w:bookmarkStart w:id="165" w:name="_Toc47423796"/>
      <w:bookmarkStart w:id="166" w:name="_Toc106731822"/>
      <w:r w:rsidRPr="000F23F9">
        <w:lastRenderedPageBreak/>
        <w:t>Compliance with guidelines</w:t>
      </w:r>
      <w:bookmarkEnd w:id="162"/>
      <w:bookmarkEnd w:id="163"/>
      <w:bookmarkEnd w:id="164"/>
      <w:bookmarkEnd w:id="165"/>
      <w:r w:rsidRPr="000F23F9">
        <w:t xml:space="preserve"> and appropriateness</w:t>
      </w:r>
      <w:bookmarkEnd w:id="166"/>
      <w:r w:rsidRPr="000F23F9">
        <w:t xml:space="preserve"> </w:t>
      </w:r>
    </w:p>
    <w:p w14:paraId="0350AD1E" w14:textId="77777777" w:rsidR="00572F25" w:rsidRPr="000F23F9" w:rsidRDefault="00572F25" w:rsidP="00572F25">
      <w:pPr>
        <w:pStyle w:val="Heading4"/>
        <w:ind w:left="864" w:hanging="864"/>
        <w:jc w:val="both"/>
      </w:pPr>
      <w:r w:rsidRPr="000F23F9">
        <w:t>Procedural prescribing</w:t>
      </w:r>
    </w:p>
    <w:p w14:paraId="490E1437" w14:textId="77777777" w:rsidR="00572F25" w:rsidRDefault="00572F25" w:rsidP="00572F25">
      <w:r w:rsidRPr="002D20E9">
        <w:t xml:space="preserve">For </w:t>
      </w:r>
      <w:r>
        <w:t xml:space="preserve">surgical </w:t>
      </w:r>
      <w:r w:rsidRPr="00921BCD">
        <w:t>episodes</w:t>
      </w:r>
      <w:r w:rsidRPr="002D20E9">
        <w:t>, including when procedural antimicrobials were and were not prescribed, both compliance with guidelines and appropriateness increased by 7.4% and 7.2% respectively from 2016 to 2021 (</w:t>
      </w:r>
      <w:r w:rsidRPr="00AB2178">
        <w:t>Figure A4.2). When antimicrobials were prescribed, both compliance with guidelines and appropriateness for procedural doses improved by approximately 14.3% and 12.9% respectively from 2016 to 2021 (Figure A4.3).</w:t>
      </w:r>
      <w:r w:rsidRPr="00C00993">
        <w:t xml:space="preserve"> </w:t>
      </w:r>
    </w:p>
    <w:p w14:paraId="3C2A644A" w14:textId="77777777" w:rsidR="00572F25" w:rsidRPr="00B022A5" w:rsidRDefault="00572F25" w:rsidP="00572F25">
      <w:pPr>
        <w:pStyle w:val="Captions"/>
      </w:pPr>
      <w:r w:rsidRPr="00C00993">
        <w:t>Figure A</w:t>
      </w:r>
      <w:r>
        <w:t>4</w:t>
      </w:r>
      <w:r w:rsidRPr="00C00993">
        <w:t>.2:</w:t>
      </w:r>
      <w:r w:rsidRPr="00C00993">
        <w:tab/>
        <w:t>Percentage of surgical episodes by compliance with guidelines, when availa</w:t>
      </w:r>
      <w:r w:rsidRPr="00411690">
        <w:t>ble*, and appropriateness, when assessable</w:t>
      </w:r>
      <w:r w:rsidRPr="00116E0C">
        <w:rPr>
          <w:rFonts w:cstheme="minorHAnsi"/>
          <w:vertAlign w:val="superscript"/>
        </w:rPr>
        <w:t>†</w:t>
      </w:r>
      <w:r w:rsidRPr="00411690">
        <w:t xml:space="preserve">, for procedural </w:t>
      </w:r>
      <w:r>
        <w:t>prescribing</w:t>
      </w:r>
      <w:r w:rsidRPr="00411690">
        <w:t xml:space="preserve">, Surgical </w:t>
      </w:r>
      <w:r>
        <w:rPr>
          <w:rFonts w:cs="Arial"/>
        </w:rPr>
        <w:t>NAPS</w:t>
      </w:r>
      <w:r w:rsidRPr="00411690">
        <w:t xml:space="preserve"> contributor facilities, 2016–20</w:t>
      </w:r>
      <w:r>
        <w:t>21</w:t>
      </w:r>
      <w:r w:rsidRPr="00C95DF1">
        <w:rPr>
          <w:sz w:val="18"/>
          <w:vertAlign w:val="superscript"/>
        </w:rPr>
        <w:t>§</w:t>
      </w:r>
    </w:p>
    <w:p w14:paraId="4156415A" w14:textId="23179FA9" w:rsidR="00572F25" w:rsidRPr="00921BCD" w:rsidRDefault="00C05F79" w:rsidP="00572F25">
      <w:r w:rsidRPr="0030144F">
        <w:rPr>
          <w:noProof/>
        </w:rPr>
        <w:drawing>
          <wp:inline distT="0" distB="0" distL="0" distR="0" wp14:anchorId="019858A0" wp14:editId="11554779">
            <wp:extent cx="5892165" cy="2746375"/>
            <wp:effectExtent l="0" t="0" r="635" b="0"/>
            <wp:docPr id="1105572241" name="Chart 16" descr="This is a line graph showing the extent to which procedural prescribing for surgical episodes in facilities contributing to Surgical NAPS was (1) compliant with guidelines and (2) appropriate, for each year from 2016 to 2021, expressed as a percentage of total surgical episodes for that year.  "/>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515E4B3" w14:textId="77777777" w:rsidR="00572F25" w:rsidRPr="006F767F" w:rsidRDefault="00572F25" w:rsidP="00572F25">
      <w:pPr>
        <w:pStyle w:val="Notes"/>
      </w:pPr>
      <w:r w:rsidRPr="00921BCD">
        <w:t>* n=10,482 episodes in 2021, excluding ‘directed therapy’, ‘no guidelines available’ and ‘not assessable’ options for compliance with guidelines</w:t>
      </w:r>
      <w:r>
        <w:t>.</w:t>
      </w:r>
    </w:p>
    <w:p w14:paraId="53F37A0C" w14:textId="77777777" w:rsidR="00572F25" w:rsidRPr="00921BCD" w:rsidRDefault="00572F25" w:rsidP="00572F25">
      <w:pPr>
        <w:pStyle w:val="Notes"/>
      </w:pPr>
      <w:r w:rsidRPr="006F767F">
        <w:rPr>
          <w:vertAlign w:val="superscript"/>
        </w:rPr>
        <w:t>†</w:t>
      </w:r>
      <w:r w:rsidRPr="00C27AA2">
        <w:t xml:space="preserve"> </w:t>
      </w:r>
      <w:r w:rsidRPr="00921BCD">
        <w:t>n=10,550 episodes in 2021, excluding ‘not assessable’ option for appropriateness</w:t>
      </w:r>
      <w:r>
        <w:t>.</w:t>
      </w:r>
    </w:p>
    <w:p w14:paraId="3E9E0217" w14:textId="77777777" w:rsidR="00572F25" w:rsidRPr="006F767F" w:rsidRDefault="00572F25" w:rsidP="00572F25">
      <w:pPr>
        <w:pStyle w:val="Notes"/>
      </w:pPr>
      <w:r w:rsidRPr="006F767F">
        <w:rPr>
          <w:vertAlign w:val="superscript"/>
        </w:rPr>
        <w:t>§</w:t>
      </w:r>
      <w:r w:rsidRPr="00C27AA2">
        <w:t xml:space="preserve"> </w:t>
      </w:r>
      <w:r w:rsidRPr="006F767F">
        <w:t xml:space="preserve">Includes ‘compliant with </w:t>
      </w:r>
      <w:r w:rsidRPr="00C27AA2">
        <w:t>Therapeutic Guidelines</w:t>
      </w:r>
      <w:r w:rsidRPr="006F767F">
        <w:t xml:space="preserve">’ and ‘compliant with local </w:t>
      </w:r>
      <w:proofErr w:type="gramStart"/>
      <w:r w:rsidRPr="006F767F">
        <w:t>guidelines’</w:t>
      </w:r>
      <w:proofErr w:type="gramEnd"/>
      <w:r w:rsidRPr="006F767F">
        <w:t xml:space="preserve">. Antibiotic Expert Group. </w:t>
      </w:r>
      <w:r w:rsidRPr="00C27AA2">
        <w:t>Therapeutic Guidelines: Antibiotic. Version 16</w:t>
      </w:r>
      <w:r w:rsidRPr="006F767F">
        <w:t xml:space="preserve">. Melbourne: Therapeutic Guidelines Limited; 2019. </w:t>
      </w:r>
      <w:hyperlink r:id="rId51" w:history="1">
        <w:r w:rsidRPr="00921BCD">
          <w:rPr>
            <w:rStyle w:val="Hyperlink"/>
          </w:rPr>
          <w:t>https://www.tg.org.au/</w:t>
        </w:r>
      </w:hyperlink>
    </w:p>
    <w:p w14:paraId="4EC2FD21" w14:textId="77777777" w:rsidR="00572F25" w:rsidRPr="00B022A5" w:rsidRDefault="00572F25" w:rsidP="00572F25">
      <w:pPr>
        <w:pStyle w:val="Captions"/>
      </w:pPr>
      <w:r w:rsidRPr="00A85452">
        <w:lastRenderedPageBreak/>
        <w:t>Figure A4.3:</w:t>
      </w:r>
      <w:r w:rsidRPr="00A85452">
        <w:tab/>
        <w:t>Percentage of antimicrobial doses by compliance with guidelines, when available*, and appropriateness, when assessable</w:t>
      </w:r>
      <w:r w:rsidRPr="00A85452">
        <w:rPr>
          <w:rFonts w:cstheme="minorHAnsi"/>
          <w:vertAlign w:val="superscript"/>
        </w:rPr>
        <w:t>†</w:t>
      </w:r>
      <w:r w:rsidRPr="00A85452">
        <w:t xml:space="preserve">, for procedural prescribing, Surgical </w:t>
      </w:r>
      <w:r>
        <w:rPr>
          <w:rFonts w:cs="Arial"/>
        </w:rPr>
        <w:t>NAPS</w:t>
      </w:r>
      <w:r w:rsidRPr="00A85452">
        <w:t xml:space="preserve"> contributor facilities, 2016–2021</w:t>
      </w:r>
      <w:r w:rsidRPr="00C95DF1">
        <w:rPr>
          <w:sz w:val="18"/>
          <w:vertAlign w:val="superscript"/>
        </w:rPr>
        <w:t>§</w:t>
      </w:r>
    </w:p>
    <w:p w14:paraId="2975AD7C" w14:textId="77777777" w:rsidR="00572F25" w:rsidRPr="00921BCD" w:rsidRDefault="00572F25" w:rsidP="00572F25">
      <w:pPr>
        <w:keepNext/>
        <w:keepLines/>
      </w:pPr>
      <w:r>
        <w:rPr>
          <w:noProof/>
        </w:rPr>
        <w:drawing>
          <wp:inline distT="0" distB="0" distL="0" distR="0" wp14:anchorId="03B7D848" wp14:editId="4B65A3DB">
            <wp:extent cx="6048375" cy="2990850"/>
            <wp:effectExtent l="0" t="0" r="9525" b="0"/>
            <wp:docPr id="17" name="Chart 17" descr="This is a line graph showing the extent to which procedural prescribing for antimicrobial doses in facilities contributing to Surgical NAPS was (1) compliant with guidelines and (2) appropriate, for each year from 2016 to 2021, expressed as a percentage of total prescribed procedural antimicrobial doses for that year.  "/>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228D475D" w14:textId="77777777" w:rsidR="00572F25" w:rsidRPr="00921BCD" w:rsidRDefault="00572F25" w:rsidP="00572F25">
      <w:pPr>
        <w:pStyle w:val="Notes"/>
      </w:pPr>
      <w:r w:rsidRPr="00921BCD">
        <w:t>* n=9,215 antimicrobial doses in 2021, excluding ‘directed therapy’, ‘no guidelines available’ and ‘not assessable’ options for compliance with guidelines</w:t>
      </w:r>
      <w:r>
        <w:t>.</w:t>
      </w:r>
    </w:p>
    <w:p w14:paraId="20F7820B" w14:textId="77777777" w:rsidR="00572F25" w:rsidRPr="00921BCD" w:rsidRDefault="00572F25" w:rsidP="00572F25">
      <w:pPr>
        <w:pStyle w:val="Notes"/>
      </w:pPr>
      <w:r w:rsidRPr="006F767F">
        <w:rPr>
          <w:vertAlign w:val="superscript"/>
        </w:rPr>
        <w:t>†</w:t>
      </w:r>
      <w:r w:rsidRPr="00C27AA2">
        <w:t xml:space="preserve"> </w:t>
      </w:r>
      <w:r w:rsidRPr="00921BCD">
        <w:t>n=9</w:t>
      </w:r>
      <w:r>
        <w:t>,</w:t>
      </w:r>
      <w:r w:rsidRPr="00921BCD">
        <w:t>326 antimicrobial doses in 2021, excluding ‘not assessable’ option for appropriateness</w:t>
      </w:r>
      <w:r>
        <w:t>.</w:t>
      </w:r>
      <w:r w:rsidRPr="00921BCD">
        <w:t xml:space="preserve"> </w:t>
      </w:r>
    </w:p>
    <w:p w14:paraId="5244AFDE" w14:textId="77777777" w:rsidR="00572F25" w:rsidRPr="006F767F" w:rsidRDefault="00572F25" w:rsidP="00572F25">
      <w:pPr>
        <w:pStyle w:val="Notes"/>
      </w:pPr>
      <w:r w:rsidRPr="006F767F">
        <w:rPr>
          <w:vertAlign w:val="superscript"/>
        </w:rPr>
        <w:t>§</w:t>
      </w:r>
      <w:r w:rsidRPr="00C27AA2">
        <w:t xml:space="preserve"> </w:t>
      </w:r>
      <w:r w:rsidRPr="006F767F">
        <w:t xml:space="preserve">Includes ‘compliant with </w:t>
      </w:r>
      <w:r w:rsidRPr="00C27AA2">
        <w:t>Therapeutic Guidelines</w:t>
      </w:r>
      <w:r w:rsidRPr="006F767F">
        <w:t xml:space="preserve">’ and ‘compliant with local </w:t>
      </w:r>
      <w:proofErr w:type="gramStart"/>
      <w:r w:rsidRPr="006F767F">
        <w:t>guidelines’</w:t>
      </w:r>
      <w:proofErr w:type="gramEnd"/>
      <w:r w:rsidRPr="006F767F">
        <w:t xml:space="preserve">. Antibiotic Expert Group. </w:t>
      </w:r>
      <w:r w:rsidRPr="00C27AA2">
        <w:t>Therapeutic Guidelines: Antibiotic. Version 16</w:t>
      </w:r>
      <w:r w:rsidRPr="006F767F">
        <w:t xml:space="preserve">. Melbourne: Therapeutic Guidelines Limited; 2019. </w:t>
      </w:r>
      <w:hyperlink r:id="rId53" w:history="1">
        <w:r w:rsidRPr="00921BCD">
          <w:rPr>
            <w:rStyle w:val="Hyperlink"/>
          </w:rPr>
          <w:t>https://www.tg.org.au/</w:t>
        </w:r>
      </w:hyperlink>
    </w:p>
    <w:p w14:paraId="301BC99E" w14:textId="77777777" w:rsidR="00572F25" w:rsidRPr="000F23F9" w:rsidRDefault="00572F25" w:rsidP="00572F25">
      <w:pPr>
        <w:pStyle w:val="Heading4"/>
        <w:ind w:left="864" w:hanging="864"/>
        <w:jc w:val="both"/>
      </w:pPr>
      <w:r>
        <w:t>Post-p</w:t>
      </w:r>
      <w:r w:rsidRPr="000F23F9">
        <w:t>rocedural prescribing</w:t>
      </w:r>
    </w:p>
    <w:p w14:paraId="35127071" w14:textId="77777777" w:rsidR="00572F25" w:rsidRPr="00C00993" w:rsidRDefault="00572F25" w:rsidP="00572F25">
      <w:r w:rsidRPr="007D37D3">
        <w:t>For surgical episodes, including when post</w:t>
      </w:r>
      <w:r>
        <w:t>-</w:t>
      </w:r>
      <w:r w:rsidRPr="007D37D3">
        <w:t xml:space="preserve">procedural antimicrobials were and were not prescribed, there </w:t>
      </w:r>
      <w:r>
        <w:t>was</w:t>
      </w:r>
      <w:r w:rsidRPr="007D37D3">
        <w:t xml:space="preserve"> no discernible change in compliance with guidelines and appropriateness from 2016 to 2021 (Figure A4.4). When antimicrobials were prescribed, both compliance with guidelines and appropriateness for post</w:t>
      </w:r>
      <w:r>
        <w:t>-</w:t>
      </w:r>
      <w:r w:rsidRPr="007D37D3">
        <w:t xml:space="preserve">procedural doses </w:t>
      </w:r>
      <w:r>
        <w:t>were higher</w:t>
      </w:r>
      <w:r w:rsidRPr="007D37D3">
        <w:t xml:space="preserve"> in 2021</w:t>
      </w:r>
      <w:r>
        <w:t xml:space="preserve">, </w:t>
      </w:r>
      <w:proofErr w:type="gramStart"/>
      <w:r>
        <w:t>similar to</w:t>
      </w:r>
      <w:proofErr w:type="gramEnd"/>
      <w:r>
        <w:t xml:space="preserve"> 2020, </w:t>
      </w:r>
      <w:r w:rsidRPr="002D20E9">
        <w:t>compared to 2016 to 2019 (Figure A4.5).</w:t>
      </w:r>
      <w:r w:rsidRPr="00C00993">
        <w:t xml:space="preserve"> </w:t>
      </w:r>
    </w:p>
    <w:p w14:paraId="1F7061D0" w14:textId="77777777" w:rsidR="00572F25" w:rsidRDefault="00572F25" w:rsidP="00572F25">
      <w:pPr>
        <w:pStyle w:val="Captions"/>
      </w:pPr>
      <w:r>
        <w:rPr>
          <w:rFonts w:cstheme="minorHAnsi"/>
        </w:rPr>
        <w:lastRenderedPageBreak/>
        <w:t>Fig</w:t>
      </w:r>
      <w:r>
        <w:t>u</w:t>
      </w:r>
      <w:r w:rsidRPr="00FF5174">
        <w:t>re A</w:t>
      </w:r>
      <w:r>
        <w:t>4</w:t>
      </w:r>
      <w:r w:rsidRPr="00FF5174">
        <w:t>.</w:t>
      </w:r>
      <w:r>
        <w:t>4</w:t>
      </w:r>
      <w:r w:rsidRPr="00FF5174">
        <w:t>:</w:t>
      </w:r>
      <w:r w:rsidRPr="00FF5174">
        <w:tab/>
      </w:r>
      <w:r w:rsidRPr="00411690">
        <w:t xml:space="preserve">Percentage </w:t>
      </w:r>
      <w:r>
        <w:t xml:space="preserve">of surgical episodes by </w:t>
      </w:r>
      <w:r w:rsidRPr="00411690">
        <w:t>compliance with guidelines, when available*, and appropriateness, when assessable</w:t>
      </w:r>
      <w:r w:rsidRPr="00116E0C">
        <w:rPr>
          <w:rFonts w:cstheme="minorHAnsi"/>
          <w:vertAlign w:val="superscript"/>
        </w:rPr>
        <w:t>†</w:t>
      </w:r>
      <w:r w:rsidRPr="00411690">
        <w:t xml:space="preserve">, for </w:t>
      </w:r>
      <w:r>
        <w:t>post-</w:t>
      </w:r>
      <w:r w:rsidRPr="00411690">
        <w:t xml:space="preserve">procedural </w:t>
      </w:r>
      <w:r>
        <w:t>prescribing</w:t>
      </w:r>
      <w:r w:rsidRPr="00411690">
        <w:t xml:space="preserve">, Surgical </w:t>
      </w:r>
      <w:r>
        <w:rPr>
          <w:rFonts w:cs="Arial"/>
        </w:rPr>
        <w:t>NAPS</w:t>
      </w:r>
      <w:r w:rsidRPr="00411690">
        <w:t xml:space="preserve"> c</w:t>
      </w:r>
      <w:r>
        <w:t>ontributor facilities, 2016–2021</w:t>
      </w:r>
      <w:r w:rsidRPr="00C95DF1">
        <w:rPr>
          <w:sz w:val="18"/>
          <w:vertAlign w:val="superscript"/>
        </w:rPr>
        <w:t>§</w:t>
      </w:r>
    </w:p>
    <w:p w14:paraId="35653C55" w14:textId="77777777" w:rsidR="00572F25" w:rsidRDefault="00572F25" w:rsidP="00572F25">
      <w:pPr>
        <w:keepNext/>
        <w:keepLines/>
        <w:rPr>
          <w:rFonts w:cstheme="minorHAnsi"/>
        </w:rPr>
      </w:pPr>
      <w:r>
        <w:rPr>
          <w:noProof/>
        </w:rPr>
        <w:drawing>
          <wp:inline distT="0" distB="0" distL="0" distR="0" wp14:anchorId="3D1D58BF" wp14:editId="4A0318F8">
            <wp:extent cx="5779698" cy="3528203"/>
            <wp:effectExtent l="0" t="0" r="12065" b="15240"/>
            <wp:docPr id="19" name="Chart 19" descr="This is a line graph showing the extent to which post-procedural prescribing for surgical episodes in facilities contributing to Surgical NAPS was (1) compliant with guidelines and (2) appropriate, for each year from 2016 to 2021, expressed as a percentage of total surgical episodes for that year.  "/>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07C86592" w14:textId="77777777" w:rsidR="00572F25" w:rsidRPr="00921BCD" w:rsidRDefault="00572F25" w:rsidP="00572F25">
      <w:pPr>
        <w:pStyle w:val="Notes"/>
      </w:pPr>
      <w:r w:rsidRPr="00921BCD">
        <w:t>* n=9,769 episodes in 2021, excluding ‘directed therapy’, ‘no guidelines available’ and ‘not assessable’ options for compliance with guidelines</w:t>
      </w:r>
      <w:r>
        <w:t>.</w:t>
      </w:r>
    </w:p>
    <w:p w14:paraId="2DED399A" w14:textId="77777777" w:rsidR="00572F25" w:rsidRPr="00921BCD" w:rsidRDefault="00572F25" w:rsidP="00572F25">
      <w:pPr>
        <w:pStyle w:val="Notes"/>
      </w:pPr>
      <w:r w:rsidRPr="00A50840">
        <w:rPr>
          <w:vertAlign w:val="superscript"/>
        </w:rPr>
        <w:t>†</w:t>
      </w:r>
      <w:r w:rsidRPr="00C27AA2">
        <w:t xml:space="preserve"> </w:t>
      </w:r>
      <w:r w:rsidRPr="00921BCD">
        <w:t>n=9,867</w:t>
      </w:r>
      <w:r>
        <w:t xml:space="preserve"> </w:t>
      </w:r>
      <w:r w:rsidRPr="00921BCD">
        <w:t>episodes in 2021, excluding ‘not assessable’ option for appropriateness</w:t>
      </w:r>
      <w:r>
        <w:t>.</w:t>
      </w:r>
    </w:p>
    <w:p w14:paraId="00C79F31" w14:textId="77777777" w:rsidR="00572F25" w:rsidRPr="00921BCD" w:rsidRDefault="00572F25" w:rsidP="00572F25">
      <w:pPr>
        <w:pStyle w:val="Notes"/>
      </w:pPr>
      <w:r w:rsidRPr="00A50840">
        <w:rPr>
          <w:vertAlign w:val="superscript"/>
        </w:rPr>
        <w:t>§</w:t>
      </w:r>
      <w:r w:rsidRPr="00C27AA2">
        <w:t xml:space="preserve"> </w:t>
      </w:r>
      <w:r w:rsidRPr="00921BCD">
        <w:t xml:space="preserve">Includes ‘compliant with </w:t>
      </w:r>
      <w:r w:rsidRPr="00C27AA2">
        <w:t>Therapeutic Guidelines</w:t>
      </w:r>
      <w:r w:rsidRPr="00921BCD">
        <w:t xml:space="preserve">’ and ‘compliant with local </w:t>
      </w:r>
      <w:proofErr w:type="gramStart"/>
      <w:r w:rsidRPr="00921BCD">
        <w:t>guidelines’</w:t>
      </w:r>
      <w:proofErr w:type="gramEnd"/>
      <w:r w:rsidRPr="00921BCD">
        <w:t xml:space="preserve">. Antibiotic Expert Group. </w:t>
      </w:r>
      <w:r w:rsidRPr="00C27AA2">
        <w:t>Therapeutic Guidelines: Antibiotic. Version 16</w:t>
      </w:r>
      <w:r w:rsidRPr="00921BCD">
        <w:t xml:space="preserve">. Melbourne: Therapeutic Guidelines Limited; 2019. </w:t>
      </w:r>
      <w:hyperlink r:id="rId55" w:history="1">
        <w:r w:rsidRPr="00921BCD">
          <w:rPr>
            <w:rStyle w:val="Hyperlink"/>
          </w:rPr>
          <w:t>https://www.tg.org.au/</w:t>
        </w:r>
      </w:hyperlink>
    </w:p>
    <w:p w14:paraId="0532D0E7" w14:textId="77777777" w:rsidR="00572F25" w:rsidRDefault="00572F25" w:rsidP="00572F25">
      <w:pPr>
        <w:pStyle w:val="Captions"/>
        <w:rPr>
          <w:sz w:val="18"/>
          <w:vertAlign w:val="superscript"/>
        </w:rPr>
      </w:pPr>
      <w:r w:rsidRPr="002D20E9">
        <w:t>Figure A</w:t>
      </w:r>
      <w:r>
        <w:t>4</w:t>
      </w:r>
      <w:r w:rsidRPr="002D20E9">
        <w:t>.5:</w:t>
      </w:r>
      <w:r w:rsidRPr="002D20E9">
        <w:tab/>
        <w:t>Percentage of antimicrobial prescriptions by compliance with guidelines, when available*, and appropriateness, when assessable</w:t>
      </w:r>
      <w:r w:rsidRPr="002D20E9">
        <w:rPr>
          <w:rFonts w:cs="Arial"/>
          <w:vertAlign w:val="superscript"/>
        </w:rPr>
        <w:t>†</w:t>
      </w:r>
      <w:r w:rsidRPr="002D20E9">
        <w:t>, for post</w:t>
      </w:r>
      <w:r>
        <w:t>-</w:t>
      </w:r>
      <w:r w:rsidRPr="00921BCD">
        <w:rPr>
          <w:rFonts w:cstheme="minorHAnsi"/>
        </w:rPr>
        <w:t>procedural</w:t>
      </w:r>
      <w:r w:rsidRPr="002D20E9">
        <w:t xml:space="preserve"> prescribing, Surgical </w:t>
      </w:r>
      <w:r>
        <w:rPr>
          <w:rFonts w:cs="Arial"/>
        </w:rPr>
        <w:t>NAPS</w:t>
      </w:r>
      <w:r w:rsidRPr="002D20E9">
        <w:t xml:space="preserve"> contributor facilities, 2016–202</w:t>
      </w:r>
      <w:r>
        <w:t>1</w:t>
      </w:r>
      <w:r w:rsidRPr="00C95DF1">
        <w:rPr>
          <w:sz w:val="18"/>
          <w:vertAlign w:val="superscript"/>
        </w:rPr>
        <w:t>§</w:t>
      </w:r>
    </w:p>
    <w:p w14:paraId="0984E6F1" w14:textId="77777777" w:rsidR="00572F25" w:rsidRPr="00C27AA2" w:rsidRDefault="00572F25" w:rsidP="00572F25">
      <w:r w:rsidRPr="0016630C">
        <w:rPr>
          <w:noProof/>
        </w:rPr>
        <w:drawing>
          <wp:inline distT="0" distB="0" distL="0" distR="0" wp14:anchorId="711878FA" wp14:editId="11441D6F">
            <wp:extent cx="5941060" cy="2400935"/>
            <wp:effectExtent l="0" t="0" r="15240" b="12065"/>
            <wp:docPr id="20" name="Chart 20" descr="This is a line graph showing the extent to which post-procedural prescribing for antimicrobial doses in facilities contributing to Surgical NAPS was (1) compliant with guidelines and (2) appropriate, for each year from 2016 to 2020, expressed as a percentage of total prescribed post-procedural antimicrobial doses for that yea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4A9C734A" w14:textId="77777777" w:rsidR="00572F25" w:rsidRPr="00C95DF1" w:rsidRDefault="00572F25" w:rsidP="00572F25">
      <w:pPr>
        <w:pStyle w:val="Notes"/>
      </w:pPr>
      <w:r w:rsidRPr="00C95DF1">
        <w:t>* n=</w:t>
      </w:r>
      <w:r>
        <w:t>4,416</w:t>
      </w:r>
      <w:r w:rsidRPr="00C95DF1">
        <w:t xml:space="preserve"> </w:t>
      </w:r>
      <w:r>
        <w:t xml:space="preserve">antimicrobial </w:t>
      </w:r>
      <w:r w:rsidRPr="00921BCD">
        <w:t>prescriptions</w:t>
      </w:r>
      <w:r>
        <w:t xml:space="preserve"> in 2021</w:t>
      </w:r>
      <w:r w:rsidRPr="00C95DF1">
        <w:t xml:space="preserve">, excluding ‘directed therapy’, ‘no guidelines available’ and ‘not assessable’ options </w:t>
      </w:r>
      <w:r>
        <w:t>for compliance with guidelines.</w:t>
      </w:r>
    </w:p>
    <w:p w14:paraId="6EFFC03E" w14:textId="77777777" w:rsidR="00572F25" w:rsidRPr="00C95DF1" w:rsidRDefault="00572F25" w:rsidP="00572F25">
      <w:pPr>
        <w:pStyle w:val="Notes"/>
      </w:pPr>
      <w:r w:rsidRPr="00C47208">
        <w:rPr>
          <w:rFonts w:cstheme="minorHAnsi"/>
          <w:vertAlign w:val="superscript"/>
        </w:rPr>
        <w:t>†</w:t>
      </w:r>
      <w:r>
        <w:rPr>
          <w:rFonts w:cstheme="minorHAnsi"/>
          <w:vertAlign w:val="superscript"/>
        </w:rPr>
        <w:t xml:space="preserve"> </w:t>
      </w:r>
      <w:r w:rsidRPr="00C95DF1">
        <w:t>n=</w:t>
      </w:r>
      <w:r>
        <w:t>4,395 antimicrobial prescriptions in 2021</w:t>
      </w:r>
      <w:r w:rsidRPr="00C95DF1">
        <w:t>, excluding ‘not assessable’ option</w:t>
      </w:r>
      <w:r>
        <w:t xml:space="preserve"> for appropriateness.</w:t>
      </w:r>
    </w:p>
    <w:p w14:paraId="647EFF2F" w14:textId="77777777" w:rsidR="00572F25" w:rsidRDefault="00572F25" w:rsidP="00572F25">
      <w:pPr>
        <w:pStyle w:val="Notes"/>
      </w:pPr>
      <w:r w:rsidRPr="00C95DF1">
        <w:rPr>
          <w:vertAlign w:val="superscript"/>
        </w:rPr>
        <w:lastRenderedPageBreak/>
        <w:t>§</w:t>
      </w:r>
      <w:r>
        <w:rPr>
          <w:vertAlign w:val="superscript"/>
        </w:rPr>
        <w:t xml:space="preserve"> </w:t>
      </w:r>
      <w:r w:rsidRPr="00C47208">
        <w:t>I</w:t>
      </w:r>
      <w:r w:rsidRPr="00C95DF1">
        <w:t xml:space="preserve">ncludes ‘compliant with </w:t>
      </w:r>
      <w:r w:rsidRPr="00C27AA2">
        <w:t>Therapeutic Guidelines</w:t>
      </w:r>
      <w:r w:rsidRPr="00A50840">
        <w:t>’</w:t>
      </w:r>
      <w:r w:rsidRPr="00C95DF1">
        <w:t xml:space="preserve"> and ‘compliant with local </w:t>
      </w:r>
      <w:proofErr w:type="gramStart"/>
      <w:r w:rsidRPr="00C95DF1">
        <w:t>guidelines’</w:t>
      </w:r>
      <w:proofErr w:type="gramEnd"/>
      <w:r w:rsidRPr="00C95DF1">
        <w:t xml:space="preserve">. Antibiotic Expert Group. </w:t>
      </w:r>
      <w:r w:rsidRPr="00C27AA2">
        <w:t>Therapeutic Guidelines: Antibiotic. Version 16</w:t>
      </w:r>
      <w:r w:rsidRPr="00A50840">
        <w:t>.</w:t>
      </w:r>
      <w:r w:rsidRPr="00C95DF1">
        <w:t xml:space="preserve"> Melbourne: Therapeutic Guidelines Limited; 2019. </w:t>
      </w:r>
      <w:hyperlink r:id="rId57" w:history="1">
        <w:r w:rsidRPr="00C95DF1">
          <w:rPr>
            <w:rStyle w:val="Hyperlink"/>
          </w:rPr>
          <w:t>https://www.tg.org.au/</w:t>
        </w:r>
      </w:hyperlink>
    </w:p>
    <w:p w14:paraId="7710A73B" w14:textId="77777777" w:rsidR="00572F25" w:rsidRPr="00EB49DA" w:rsidRDefault="00572F25" w:rsidP="00572F25">
      <w:pPr>
        <w:pStyle w:val="Heading3"/>
        <w:ind w:left="720" w:hanging="720"/>
      </w:pPr>
      <w:bookmarkStart w:id="167" w:name="_Toc45292138"/>
      <w:bookmarkStart w:id="168" w:name="_Toc47422916"/>
      <w:bookmarkStart w:id="169" w:name="_Toc47422985"/>
      <w:bookmarkStart w:id="170" w:name="_Toc47423798"/>
      <w:bookmarkStart w:id="171" w:name="_Toc106731823"/>
      <w:r w:rsidRPr="00EB49DA">
        <w:t>Reasons for inappropriateness</w:t>
      </w:r>
      <w:bookmarkEnd w:id="167"/>
      <w:bookmarkEnd w:id="168"/>
      <w:bookmarkEnd w:id="169"/>
      <w:bookmarkEnd w:id="170"/>
      <w:bookmarkEnd w:id="171"/>
      <w:r w:rsidRPr="00EB49DA">
        <w:t xml:space="preserve"> </w:t>
      </w:r>
    </w:p>
    <w:p w14:paraId="54EC779F" w14:textId="77777777" w:rsidR="00572F25" w:rsidRDefault="00572F25" w:rsidP="00572F25">
      <w:r w:rsidRPr="009D3460">
        <w:t>The percentage of antimicrobials not required when prescribed for procedural doses increased</w:t>
      </w:r>
      <w:r>
        <w:t xml:space="preserve"> by</w:t>
      </w:r>
      <w:r w:rsidRPr="009D3460">
        <w:t xml:space="preserve"> approximately 12% from 2016–2021, while</w:t>
      </w:r>
      <w:r>
        <w:t xml:space="preserve"> the percentage for</w:t>
      </w:r>
      <w:r w:rsidRPr="009D3460">
        <w:t xml:space="preserve"> post</w:t>
      </w:r>
      <w:r>
        <w:t>-</w:t>
      </w:r>
      <w:r w:rsidRPr="009D3460">
        <w:t xml:space="preserve">procedural prescriptions decreased by </w:t>
      </w:r>
      <w:r w:rsidRPr="00921BCD">
        <w:t>approximately</w:t>
      </w:r>
      <w:r w:rsidRPr="009D3460">
        <w:t xml:space="preserve"> 8% over the same period (Figure A4.6).</w:t>
      </w:r>
    </w:p>
    <w:p w14:paraId="0EB5EBE7" w14:textId="77777777" w:rsidR="00572F25" w:rsidRDefault="00572F25" w:rsidP="00572F25">
      <w:pPr>
        <w:pStyle w:val="Captions"/>
      </w:pPr>
      <w:r w:rsidRPr="00C27AA2">
        <w:t>Figure A4.6:</w:t>
      </w:r>
      <w:r w:rsidRPr="00C27AA2">
        <w:tab/>
        <w:t>Percentage of antimicrobials deemed not required for procedural doses* and post</w:t>
      </w:r>
      <w:r>
        <w:t>-</w:t>
      </w:r>
      <w:r w:rsidRPr="00C27AA2">
        <w:t>procedural prescriptions</w:t>
      </w:r>
      <w:r w:rsidRPr="00921BCD">
        <w:rPr>
          <w:vertAlign w:val="superscript"/>
        </w:rPr>
        <w:t>†</w:t>
      </w:r>
      <w:r w:rsidRPr="00C27AA2">
        <w:t xml:space="preserve">, Surgical </w:t>
      </w:r>
      <w:r>
        <w:t>NAPS</w:t>
      </w:r>
      <w:r w:rsidRPr="00C27AA2">
        <w:t xml:space="preserve"> contributor facilities, 2016</w:t>
      </w:r>
      <w:r>
        <w:t>–</w:t>
      </w:r>
      <w:proofErr w:type="gramStart"/>
      <w:r w:rsidRPr="00C27AA2">
        <w:t>2021</w:t>
      </w:r>
      <w:proofErr w:type="gramEnd"/>
    </w:p>
    <w:p w14:paraId="7427A7ED" w14:textId="77777777" w:rsidR="00572F25" w:rsidRPr="00C27AA2" w:rsidRDefault="00572F25" w:rsidP="00572F25">
      <w:pPr>
        <w:pStyle w:val="Captions"/>
        <w:rPr>
          <w:b w:val="0"/>
        </w:rPr>
      </w:pPr>
      <w:r>
        <w:rPr>
          <w:b w:val="0"/>
          <w:noProof/>
        </w:rPr>
        <w:drawing>
          <wp:inline distT="0" distB="0" distL="0" distR="0" wp14:anchorId="5F53E57E" wp14:editId="7A0CB983">
            <wp:extent cx="6407150" cy="2936610"/>
            <wp:effectExtent l="0" t="0" r="0" b="0"/>
            <wp:docPr id="38" name="Picture 38" descr="This is a line graph showing the percentage of antimicrobials deemed not required for procedural doses and post-procedural prescriptions in Surgical NAPS contributor facilities, 2016–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his is a line graph showing the percentage of antimicrobials deemed not required for procedural doses and post-procedural prescriptions in Surgical NAPS contributor facilities, 2016–2021"/>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6407150" cy="2936610"/>
                    </a:xfrm>
                    <a:prstGeom prst="rect">
                      <a:avLst/>
                    </a:prstGeom>
                    <a:noFill/>
                    <a:ln>
                      <a:noFill/>
                    </a:ln>
                  </pic:spPr>
                </pic:pic>
              </a:graphicData>
            </a:graphic>
          </wp:inline>
        </w:drawing>
      </w:r>
    </w:p>
    <w:p w14:paraId="306212FA" w14:textId="77777777" w:rsidR="00572F25" w:rsidRDefault="00572F25" w:rsidP="00572F25">
      <w:pPr>
        <w:pStyle w:val="Notes"/>
      </w:pPr>
      <w:r w:rsidRPr="00921BCD">
        <w:t>*</w:t>
      </w:r>
      <w:r>
        <w:t xml:space="preserve"> </w:t>
      </w:r>
      <w:r w:rsidRPr="00921BCD">
        <w:t>n=2,717 antimicrobial doses in 2021</w:t>
      </w:r>
      <w:r>
        <w:t>.</w:t>
      </w:r>
    </w:p>
    <w:p w14:paraId="3D7EDF9B" w14:textId="77777777" w:rsidR="00572F25" w:rsidRPr="00921BCD" w:rsidRDefault="00572F25" w:rsidP="00572F25">
      <w:pPr>
        <w:pStyle w:val="Notes"/>
      </w:pPr>
      <w:r w:rsidRPr="00A50840">
        <w:rPr>
          <w:vertAlign w:val="superscript"/>
        </w:rPr>
        <w:t>†</w:t>
      </w:r>
      <w:r w:rsidRPr="00720C31">
        <w:t xml:space="preserve"> </w:t>
      </w:r>
      <w:r w:rsidRPr="00921BCD">
        <w:t>n=2,739 antimicrobial prescriptions in 2021</w:t>
      </w:r>
      <w:r>
        <w:t>.</w:t>
      </w:r>
    </w:p>
    <w:p w14:paraId="47550E88" w14:textId="77777777" w:rsidR="00572F25" w:rsidRPr="00152476" w:rsidRDefault="00572F25" w:rsidP="00572F25">
      <w:r w:rsidRPr="00152476">
        <w:t>The reasons for deeming procedural antimicrobials inappropriate have changed over time, although incorrect timing has remained the most common reason for inappropriate prescribing when an antimicrobial is required. There was a decrease of almost 12% in incorrect procedural dose from 2016 to 2021. Ther</w:t>
      </w:r>
      <w:r>
        <w:t>e were also recent increases in</w:t>
      </w:r>
      <w:r w:rsidRPr="00152476">
        <w:t xml:space="preserve"> incorrect timing (Figure A4.7). </w:t>
      </w:r>
    </w:p>
    <w:p w14:paraId="251B4D5A" w14:textId="77777777" w:rsidR="00572F25" w:rsidRPr="00231C4F" w:rsidRDefault="00572F25" w:rsidP="00572F25">
      <w:r w:rsidRPr="0085785D">
        <w:t>The reasons for deeming post</w:t>
      </w:r>
      <w:r>
        <w:t>-</w:t>
      </w:r>
      <w:r w:rsidRPr="0085785D">
        <w:t xml:space="preserve">procedural antimicrobials inappropriate when required have not changed </w:t>
      </w:r>
      <w:r w:rsidRPr="00135749">
        <w:t>discernibly</w:t>
      </w:r>
      <w:r w:rsidRPr="0085785D">
        <w:t xml:space="preserve"> over time (Figure A4.8). The exception is ‘spectrum too broad’, for which there was an approximate 9% increase from 2020 to 2021. Over the years there has been a decrease in ‘incorrect dose or frequency’ by approximately 15% (2016</w:t>
      </w:r>
      <w:r>
        <w:t>–</w:t>
      </w:r>
      <w:r w:rsidRPr="0085785D">
        <w:t>2021).</w:t>
      </w:r>
      <w:r w:rsidRPr="00231C4F">
        <w:t xml:space="preserve">  </w:t>
      </w:r>
    </w:p>
    <w:p w14:paraId="23733649" w14:textId="77777777" w:rsidR="00572F25" w:rsidRPr="00921BCD" w:rsidRDefault="00572F25" w:rsidP="00572F25">
      <w:pPr>
        <w:pStyle w:val="Captions"/>
      </w:pPr>
      <w:r>
        <w:lastRenderedPageBreak/>
        <w:t>Figure A4</w:t>
      </w:r>
      <w:r w:rsidRPr="009845FB">
        <w:t>.7:</w:t>
      </w:r>
      <w:r w:rsidRPr="009845FB">
        <w:tab/>
        <w:t xml:space="preserve">Reasons for inappropriateness, by percentage of required procedural antimicrobial doses*, Surgical </w:t>
      </w:r>
      <w:r>
        <w:t>NAPS</w:t>
      </w:r>
      <w:r w:rsidRPr="009845FB">
        <w:t xml:space="preserve"> contributor facilities, 2016–</w:t>
      </w:r>
      <w:proofErr w:type="gramStart"/>
      <w:r w:rsidRPr="009845FB">
        <w:t>2021</w:t>
      </w:r>
      <w:proofErr w:type="gramEnd"/>
    </w:p>
    <w:p w14:paraId="15F65807" w14:textId="77777777" w:rsidR="00572F25" w:rsidRPr="00C27AA2" w:rsidRDefault="00572F25" w:rsidP="00572F25">
      <w:pPr>
        <w:rPr>
          <w:bCs/>
        </w:rPr>
      </w:pPr>
      <w:r>
        <w:rPr>
          <w:noProof/>
        </w:rPr>
        <w:drawing>
          <wp:inline distT="0" distB="0" distL="0" distR="0" wp14:anchorId="5325C920" wp14:editId="72CA483D">
            <wp:extent cx="5615796" cy="3209026"/>
            <wp:effectExtent l="0" t="0" r="10795" b="17145"/>
            <wp:docPr id="22" name="Chart 22" descr="This is a bar graph showing the amount of, and reasons for, inappropriate prescribing in contributing facilities between 2016 and 2021, expressed as a percentage of required procedural antimicrobial doses. "/>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269BBF4A" w14:textId="77777777" w:rsidR="00572F25" w:rsidRPr="00F51B8D" w:rsidRDefault="00572F25" w:rsidP="00572F25">
      <w:pPr>
        <w:pStyle w:val="Notes"/>
        <w:rPr>
          <w:iCs/>
          <w:color w:val="404040" w:themeColor="text1" w:themeTint="BF"/>
          <w:sz w:val="24"/>
        </w:rPr>
      </w:pPr>
      <w:r w:rsidRPr="00BB1EAA">
        <w:rPr>
          <w:rFonts w:eastAsiaTheme="majorEastAsia"/>
        </w:rPr>
        <w:t>* n=</w:t>
      </w:r>
      <w:r>
        <w:rPr>
          <w:rFonts w:eastAsiaTheme="majorEastAsia"/>
        </w:rPr>
        <w:t>1,716</w:t>
      </w:r>
      <w:r w:rsidRPr="00BB1EAA">
        <w:rPr>
          <w:rFonts w:eastAsiaTheme="majorEastAsia"/>
        </w:rPr>
        <w:t xml:space="preserve"> antimicrobial doses </w:t>
      </w:r>
      <w:r>
        <w:rPr>
          <w:rFonts w:eastAsiaTheme="majorEastAsia"/>
        </w:rPr>
        <w:t>in 2021.</w:t>
      </w:r>
    </w:p>
    <w:p w14:paraId="40063CF2" w14:textId="77777777" w:rsidR="00572F25" w:rsidRPr="00921BCD" w:rsidRDefault="00572F25" w:rsidP="00572F25">
      <w:pPr>
        <w:pStyle w:val="Captions"/>
      </w:pPr>
      <w:r w:rsidRPr="00F51B8D">
        <w:t>Figure A4.8:</w:t>
      </w:r>
      <w:r w:rsidRPr="00F51B8D">
        <w:tab/>
        <w:t>Reasons for inappropriateness, by percentage of required post</w:t>
      </w:r>
      <w:r>
        <w:t>-</w:t>
      </w:r>
      <w:r w:rsidRPr="00F51B8D">
        <w:t xml:space="preserve">procedural antimicrobial prescriptions*, Surgical </w:t>
      </w:r>
      <w:r>
        <w:t>NAPS</w:t>
      </w:r>
      <w:r w:rsidRPr="00F51B8D">
        <w:t xml:space="preserve"> contributor facilities, 2016–</w:t>
      </w:r>
      <w:proofErr w:type="gramStart"/>
      <w:r w:rsidRPr="00F51B8D">
        <w:t>2021</w:t>
      </w:r>
      <w:proofErr w:type="gramEnd"/>
    </w:p>
    <w:p w14:paraId="4A5CD932" w14:textId="77777777" w:rsidR="00572F25" w:rsidRPr="00921BCD" w:rsidRDefault="00572F25" w:rsidP="00572F25">
      <w:r>
        <w:rPr>
          <w:noProof/>
        </w:rPr>
        <w:drawing>
          <wp:inline distT="0" distB="0" distL="0" distR="0" wp14:anchorId="32DC1700" wp14:editId="15D7A13D">
            <wp:extent cx="5895975" cy="3700464"/>
            <wp:effectExtent l="0" t="0" r="9525" b="14605"/>
            <wp:docPr id="28" name="Chart 28" descr="This is a bar graph showing the amount of, and reasons for, inappropriate prescribing in contributing facilities between 2016 and 2021, expressed as a percentage of required post-procedural antimicrobial prescriptions.">
              <a:extLst xmlns:a="http://schemas.openxmlformats.org/drawingml/2006/main">
                <a:ext uri="{FF2B5EF4-FFF2-40B4-BE49-F238E27FC236}">
                  <a16:creationId xmlns:a16="http://schemas.microsoft.com/office/drawing/2014/main" id="{00000000-0008-0000-2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67051F5D" w14:textId="77777777" w:rsidR="00572F25" w:rsidRPr="0085785D" w:rsidRDefault="00572F25" w:rsidP="00572F25">
      <w:pPr>
        <w:pStyle w:val="Notes"/>
      </w:pPr>
      <w:r w:rsidRPr="0085785D">
        <w:rPr>
          <w:rFonts w:eastAsiaTheme="majorEastAsia"/>
        </w:rPr>
        <w:t xml:space="preserve">* n=1,214 antimicrobial </w:t>
      </w:r>
      <w:r w:rsidRPr="00921BCD">
        <w:rPr>
          <w:rFonts w:eastAsiaTheme="majorEastAsia"/>
        </w:rPr>
        <w:t>prescriptions</w:t>
      </w:r>
      <w:r w:rsidRPr="0085785D">
        <w:rPr>
          <w:rFonts w:eastAsiaTheme="majorEastAsia"/>
        </w:rPr>
        <w:t xml:space="preserve"> in 2021</w:t>
      </w:r>
      <w:bookmarkStart w:id="172" w:name="_Appendix_5:_Procedure"/>
      <w:bookmarkStart w:id="173" w:name="_Toc106731824"/>
      <w:bookmarkEnd w:id="172"/>
      <w:r>
        <w:rPr>
          <w:rFonts w:eastAsiaTheme="majorEastAsia"/>
        </w:rPr>
        <w:t>.</w:t>
      </w:r>
    </w:p>
    <w:p w14:paraId="4A912892" w14:textId="77777777" w:rsidR="00572F25" w:rsidRPr="0085785D" w:rsidRDefault="00572F25" w:rsidP="00572F25">
      <w:pPr>
        <w:pStyle w:val="Heading1"/>
        <w:rPr>
          <w:iCs/>
          <w:color w:val="404040" w:themeColor="text1" w:themeTint="BF"/>
          <w:sz w:val="24"/>
        </w:rPr>
      </w:pPr>
      <w:bookmarkStart w:id="174" w:name="_Appendix_5:_Procedure_1"/>
      <w:bookmarkStart w:id="175" w:name="_Toc126664221"/>
      <w:bookmarkEnd w:id="174"/>
      <w:r w:rsidRPr="00EB49DA">
        <w:lastRenderedPageBreak/>
        <w:t xml:space="preserve">Appendix </w:t>
      </w:r>
      <w:r>
        <w:t xml:space="preserve">5: </w:t>
      </w:r>
      <w:r w:rsidRPr="001B7B53">
        <w:t>Procedure</w:t>
      </w:r>
      <w:r w:rsidRPr="00EB49DA">
        <w:t xml:space="preserve"> groups</w:t>
      </w:r>
      <w:bookmarkEnd w:id="173"/>
      <w:bookmarkEnd w:id="175"/>
    </w:p>
    <w:p w14:paraId="3DCE578F" w14:textId="77777777" w:rsidR="00572F25" w:rsidRPr="00EB49DA" w:rsidRDefault="00572F25" w:rsidP="00572F25">
      <w:r w:rsidRPr="00EB49DA">
        <w:t xml:space="preserve">The procedures listed in the Surgical NAPS database have been adopted from </w:t>
      </w:r>
      <w:r>
        <w:t>t</w:t>
      </w:r>
      <w:r w:rsidRPr="00EB49DA">
        <w:t>he Royal Australasian College of Surgeons Morbidity Audit and Logbook tool.</w:t>
      </w:r>
      <w:r>
        <w:rPr>
          <w:vertAlign w:val="superscript"/>
        </w:rPr>
        <w:t>18</w:t>
      </w:r>
    </w:p>
    <w:p w14:paraId="3001DFB8" w14:textId="77777777" w:rsidR="00572F25" w:rsidRPr="00EB49DA" w:rsidRDefault="00572F25" w:rsidP="00572F25">
      <w:r w:rsidRPr="00EB49DA">
        <w:t>The surgical procedure groups listed are:</w:t>
      </w:r>
    </w:p>
    <w:tbl>
      <w:tblPr>
        <w:tblStyle w:val="TableGridLigh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201"/>
      </w:tblGrid>
      <w:tr w:rsidR="00572F25" w:rsidRPr="00EB49DA" w14:paraId="57CC915C" w14:textId="77777777" w:rsidTr="00140544">
        <w:tc>
          <w:tcPr>
            <w:tcW w:w="4815" w:type="dxa"/>
          </w:tcPr>
          <w:p w14:paraId="52F0565B" w14:textId="77777777" w:rsidR="00572F25" w:rsidRPr="00EB49DA" w:rsidRDefault="00572F25" w:rsidP="00572F25">
            <w:pPr>
              <w:pStyle w:val="ListParagraph"/>
              <w:numPr>
                <w:ilvl w:val="0"/>
                <w:numId w:val="35"/>
              </w:numPr>
              <w:spacing w:before="0" w:after="0"/>
              <w:rPr>
                <w:rFonts w:cs="Arial"/>
              </w:rPr>
            </w:pPr>
            <w:r w:rsidRPr="00EB49DA">
              <w:rPr>
                <w:rFonts w:cs="Arial"/>
              </w:rPr>
              <w:t>Abdominal surgery</w:t>
            </w:r>
          </w:p>
          <w:p w14:paraId="692DC9F5" w14:textId="77777777" w:rsidR="00572F25" w:rsidRPr="00EB49DA" w:rsidRDefault="00572F25" w:rsidP="00140544">
            <w:pPr>
              <w:spacing w:after="0"/>
              <w:ind w:left="720"/>
              <w:rPr>
                <w:rFonts w:cs="Arial"/>
              </w:rPr>
            </w:pPr>
            <w:r w:rsidRPr="00EB49DA">
              <w:rPr>
                <w:rFonts w:cs="Arial"/>
              </w:rPr>
              <w:t>– anorectal</w:t>
            </w:r>
          </w:p>
          <w:p w14:paraId="1CA9A13C" w14:textId="77777777" w:rsidR="00572F25" w:rsidRPr="00EB49DA" w:rsidRDefault="00572F25" w:rsidP="00140544">
            <w:pPr>
              <w:spacing w:after="0"/>
              <w:ind w:left="720"/>
              <w:rPr>
                <w:rFonts w:cs="Arial"/>
              </w:rPr>
            </w:pPr>
            <w:r w:rsidRPr="00EB49DA">
              <w:rPr>
                <w:rFonts w:cs="Arial"/>
              </w:rPr>
              <w:t>– bariatric and other</w:t>
            </w:r>
          </w:p>
          <w:p w14:paraId="329B3D7C" w14:textId="77777777" w:rsidR="00572F25" w:rsidRPr="00EB49DA" w:rsidRDefault="00572F25" w:rsidP="00140544">
            <w:pPr>
              <w:spacing w:after="0"/>
              <w:ind w:left="720"/>
              <w:rPr>
                <w:rFonts w:cs="Arial"/>
              </w:rPr>
            </w:pPr>
            <w:r w:rsidRPr="00EB49DA">
              <w:rPr>
                <w:rFonts w:cs="Arial"/>
              </w:rPr>
              <w:t>– biliary</w:t>
            </w:r>
          </w:p>
          <w:p w14:paraId="08928ADA" w14:textId="77777777" w:rsidR="00572F25" w:rsidRPr="00EB49DA" w:rsidRDefault="00572F25" w:rsidP="00140544">
            <w:pPr>
              <w:spacing w:after="0"/>
              <w:ind w:left="720"/>
              <w:rPr>
                <w:rFonts w:cs="Arial"/>
              </w:rPr>
            </w:pPr>
            <w:r w:rsidRPr="00EB49DA">
              <w:rPr>
                <w:rFonts w:cs="Arial"/>
              </w:rPr>
              <w:t>– colorectal</w:t>
            </w:r>
          </w:p>
          <w:p w14:paraId="78E587A3" w14:textId="77777777" w:rsidR="00572F25" w:rsidRPr="00EB49DA" w:rsidRDefault="00572F25" w:rsidP="00140544">
            <w:pPr>
              <w:spacing w:after="0"/>
              <w:ind w:left="720"/>
              <w:rPr>
                <w:rFonts w:cs="Arial"/>
              </w:rPr>
            </w:pPr>
            <w:r w:rsidRPr="00EB49DA">
              <w:rPr>
                <w:rFonts w:cs="Arial"/>
              </w:rPr>
              <w:t>– gastro</w:t>
            </w:r>
            <w:r>
              <w:rPr>
                <w:rFonts w:cs="Arial"/>
              </w:rPr>
              <w:t>-</w:t>
            </w:r>
            <w:r w:rsidRPr="00EB49DA">
              <w:rPr>
                <w:rFonts w:cs="Arial"/>
              </w:rPr>
              <w:t>oesophageal</w:t>
            </w:r>
          </w:p>
          <w:p w14:paraId="18916C22" w14:textId="77777777" w:rsidR="00572F25" w:rsidRPr="00EB49DA" w:rsidRDefault="00572F25" w:rsidP="00140544">
            <w:pPr>
              <w:spacing w:after="0"/>
              <w:ind w:left="720"/>
              <w:rPr>
                <w:rFonts w:cs="Arial"/>
              </w:rPr>
            </w:pPr>
            <w:r w:rsidRPr="00EB49DA">
              <w:rPr>
                <w:rFonts w:cs="Arial"/>
              </w:rPr>
              <w:t>– hepatic</w:t>
            </w:r>
          </w:p>
          <w:p w14:paraId="1DEE07D4" w14:textId="77777777" w:rsidR="00572F25" w:rsidRPr="00EB49DA" w:rsidRDefault="00572F25" w:rsidP="00140544">
            <w:pPr>
              <w:spacing w:after="0"/>
              <w:ind w:left="720"/>
              <w:rPr>
                <w:rFonts w:cs="Arial"/>
              </w:rPr>
            </w:pPr>
            <w:r w:rsidRPr="00EB49DA">
              <w:rPr>
                <w:rFonts w:cs="Arial"/>
              </w:rPr>
              <w:t>– pancreas and duodenum</w:t>
            </w:r>
          </w:p>
          <w:p w14:paraId="4FAF21B0" w14:textId="77777777" w:rsidR="00572F25" w:rsidRPr="00EB49DA" w:rsidRDefault="00572F25" w:rsidP="00572F25">
            <w:pPr>
              <w:pStyle w:val="ListParagraph"/>
              <w:numPr>
                <w:ilvl w:val="0"/>
                <w:numId w:val="35"/>
              </w:numPr>
              <w:spacing w:before="0" w:after="200"/>
              <w:rPr>
                <w:rFonts w:cs="Arial"/>
              </w:rPr>
            </w:pPr>
            <w:r w:rsidRPr="00EB49DA">
              <w:rPr>
                <w:rFonts w:cs="Arial"/>
              </w:rPr>
              <w:t>Breast surgery</w:t>
            </w:r>
          </w:p>
          <w:p w14:paraId="0CAC3655" w14:textId="77777777" w:rsidR="00572F25" w:rsidRPr="00EB49DA" w:rsidRDefault="00572F25" w:rsidP="00572F25">
            <w:pPr>
              <w:pStyle w:val="ListParagraph"/>
              <w:numPr>
                <w:ilvl w:val="0"/>
                <w:numId w:val="35"/>
              </w:numPr>
              <w:spacing w:before="0" w:after="200"/>
              <w:rPr>
                <w:rFonts w:cs="Arial"/>
              </w:rPr>
            </w:pPr>
            <w:r w:rsidRPr="00EB49DA">
              <w:rPr>
                <w:rFonts w:cs="Arial"/>
              </w:rPr>
              <w:t>Cardiac surgery</w:t>
            </w:r>
          </w:p>
          <w:p w14:paraId="45AD02BE" w14:textId="77777777" w:rsidR="00572F25" w:rsidRPr="00EB49DA" w:rsidRDefault="00572F25" w:rsidP="00572F25">
            <w:pPr>
              <w:pStyle w:val="ListParagraph"/>
              <w:numPr>
                <w:ilvl w:val="0"/>
                <w:numId w:val="35"/>
              </w:numPr>
              <w:spacing w:before="0" w:after="200"/>
              <w:rPr>
                <w:rFonts w:cs="Arial"/>
              </w:rPr>
            </w:pPr>
            <w:r w:rsidRPr="00EB49DA">
              <w:rPr>
                <w:rFonts w:cs="Arial"/>
              </w:rPr>
              <w:t>Dentoalveolar surgery</w:t>
            </w:r>
          </w:p>
          <w:p w14:paraId="194EFEC7" w14:textId="77777777" w:rsidR="00572F25" w:rsidRPr="00EB49DA" w:rsidRDefault="00572F25" w:rsidP="00572F25">
            <w:pPr>
              <w:pStyle w:val="ListParagraph"/>
              <w:numPr>
                <w:ilvl w:val="0"/>
                <w:numId w:val="35"/>
              </w:numPr>
              <w:spacing w:before="0" w:after="200"/>
              <w:rPr>
                <w:rFonts w:cs="Arial"/>
              </w:rPr>
            </w:pPr>
            <w:r w:rsidRPr="00EB49DA">
              <w:rPr>
                <w:rFonts w:cs="Arial"/>
              </w:rPr>
              <w:t>Gastrointestinal endoscopic procedures</w:t>
            </w:r>
          </w:p>
          <w:p w14:paraId="0690E446" w14:textId="77777777" w:rsidR="00572F25" w:rsidRPr="00EB49DA" w:rsidRDefault="00572F25" w:rsidP="00572F25">
            <w:pPr>
              <w:pStyle w:val="ListParagraph"/>
              <w:numPr>
                <w:ilvl w:val="0"/>
                <w:numId w:val="35"/>
              </w:numPr>
              <w:spacing w:before="0" w:after="200"/>
              <w:rPr>
                <w:rFonts w:cs="Arial"/>
              </w:rPr>
            </w:pPr>
            <w:r w:rsidRPr="00EB49DA">
              <w:rPr>
                <w:rFonts w:cs="Arial"/>
              </w:rPr>
              <w:t>Gynaecological surgery</w:t>
            </w:r>
          </w:p>
          <w:p w14:paraId="7F920BF2" w14:textId="77777777" w:rsidR="00572F25" w:rsidRPr="00EB49DA" w:rsidRDefault="00572F25" w:rsidP="00572F25">
            <w:pPr>
              <w:pStyle w:val="ListParagraph"/>
              <w:numPr>
                <w:ilvl w:val="0"/>
                <w:numId w:val="35"/>
              </w:numPr>
              <w:spacing w:before="0" w:after="0"/>
              <w:rPr>
                <w:rFonts w:cs="Arial"/>
              </w:rPr>
            </w:pPr>
            <w:r w:rsidRPr="00EB49DA">
              <w:rPr>
                <w:rFonts w:cs="Arial"/>
              </w:rPr>
              <w:t>Head and neck surgery</w:t>
            </w:r>
          </w:p>
          <w:p w14:paraId="20E13DCC" w14:textId="77777777" w:rsidR="00572F25" w:rsidRPr="00EB49DA" w:rsidRDefault="00572F25" w:rsidP="00140544">
            <w:pPr>
              <w:spacing w:after="0"/>
              <w:ind w:left="720"/>
              <w:rPr>
                <w:rFonts w:cs="Arial"/>
              </w:rPr>
            </w:pPr>
            <w:r w:rsidRPr="00EB49DA">
              <w:rPr>
                <w:rFonts w:cs="Arial"/>
              </w:rPr>
              <w:t>– laryngology</w:t>
            </w:r>
          </w:p>
          <w:p w14:paraId="7C0C90C0" w14:textId="77777777" w:rsidR="00572F25" w:rsidRPr="00EB49DA" w:rsidRDefault="00572F25" w:rsidP="00140544">
            <w:pPr>
              <w:spacing w:after="0"/>
              <w:ind w:left="720"/>
              <w:rPr>
                <w:rFonts w:cs="Arial"/>
              </w:rPr>
            </w:pPr>
            <w:r w:rsidRPr="00EB49DA">
              <w:rPr>
                <w:rFonts w:cs="Arial"/>
              </w:rPr>
              <w:t>– otology</w:t>
            </w:r>
          </w:p>
          <w:p w14:paraId="091A0732" w14:textId="77777777" w:rsidR="00572F25" w:rsidRPr="00EB49DA" w:rsidRDefault="00572F25" w:rsidP="00140544">
            <w:pPr>
              <w:spacing w:after="0"/>
              <w:ind w:left="720"/>
              <w:rPr>
                <w:rFonts w:cs="Arial"/>
              </w:rPr>
            </w:pPr>
            <w:r w:rsidRPr="00EB49DA">
              <w:rPr>
                <w:rFonts w:cs="Arial"/>
              </w:rPr>
              <w:t>– rhinology</w:t>
            </w:r>
          </w:p>
        </w:tc>
        <w:tc>
          <w:tcPr>
            <w:tcW w:w="4201" w:type="dxa"/>
          </w:tcPr>
          <w:p w14:paraId="4692BCF0" w14:textId="77777777" w:rsidR="00572F25" w:rsidRPr="00EB49DA" w:rsidRDefault="00572F25" w:rsidP="00572F25">
            <w:pPr>
              <w:pStyle w:val="ListParagraph"/>
              <w:numPr>
                <w:ilvl w:val="0"/>
                <w:numId w:val="35"/>
              </w:numPr>
              <w:spacing w:before="0" w:after="0"/>
              <w:rPr>
                <w:rFonts w:cs="Arial"/>
              </w:rPr>
            </w:pPr>
            <w:r w:rsidRPr="00EB49DA">
              <w:rPr>
                <w:rFonts w:cs="Arial"/>
              </w:rPr>
              <w:t xml:space="preserve">Neurosurgery </w:t>
            </w:r>
          </w:p>
          <w:p w14:paraId="066730BD" w14:textId="77777777" w:rsidR="00572F25" w:rsidRPr="00EB49DA" w:rsidRDefault="00572F25" w:rsidP="00140544">
            <w:pPr>
              <w:spacing w:after="0"/>
              <w:ind w:left="720"/>
              <w:rPr>
                <w:rFonts w:cs="Arial"/>
              </w:rPr>
            </w:pPr>
            <w:r w:rsidRPr="00EB49DA">
              <w:rPr>
                <w:rFonts w:cs="Arial"/>
              </w:rPr>
              <w:t>– cerebrovascular</w:t>
            </w:r>
          </w:p>
          <w:p w14:paraId="3FC56534" w14:textId="77777777" w:rsidR="00572F25" w:rsidRPr="00EB49DA" w:rsidRDefault="00572F25" w:rsidP="00140544">
            <w:pPr>
              <w:spacing w:after="0"/>
              <w:ind w:left="720"/>
              <w:rPr>
                <w:rFonts w:cs="Arial"/>
              </w:rPr>
            </w:pPr>
            <w:r w:rsidRPr="00EB49DA">
              <w:rPr>
                <w:rFonts w:cs="Arial"/>
              </w:rPr>
              <w:t>– peripheral nerve</w:t>
            </w:r>
          </w:p>
          <w:p w14:paraId="12C84B9E" w14:textId="77777777" w:rsidR="00572F25" w:rsidRPr="00EB49DA" w:rsidRDefault="00572F25" w:rsidP="00140544">
            <w:pPr>
              <w:spacing w:after="0"/>
              <w:ind w:left="720"/>
              <w:rPr>
                <w:rFonts w:cs="Arial"/>
              </w:rPr>
            </w:pPr>
            <w:r w:rsidRPr="00EB49DA">
              <w:rPr>
                <w:rFonts w:cs="Arial"/>
              </w:rPr>
              <w:t>– spinal</w:t>
            </w:r>
          </w:p>
          <w:p w14:paraId="2909AA11" w14:textId="77777777" w:rsidR="00572F25" w:rsidRPr="00EB49DA" w:rsidRDefault="00572F25" w:rsidP="00140544">
            <w:pPr>
              <w:spacing w:after="0"/>
              <w:ind w:left="720"/>
              <w:rPr>
                <w:rFonts w:cs="Arial"/>
              </w:rPr>
            </w:pPr>
            <w:r w:rsidRPr="00EB49DA">
              <w:rPr>
                <w:rFonts w:cs="Arial"/>
              </w:rPr>
              <w:t>– other</w:t>
            </w:r>
          </w:p>
          <w:p w14:paraId="72CE1475" w14:textId="77777777" w:rsidR="00572F25" w:rsidRPr="00EB49DA" w:rsidRDefault="00572F25" w:rsidP="00572F25">
            <w:pPr>
              <w:pStyle w:val="ListParagraph"/>
              <w:numPr>
                <w:ilvl w:val="0"/>
                <w:numId w:val="35"/>
              </w:numPr>
              <w:spacing w:before="0" w:after="200"/>
              <w:rPr>
                <w:rFonts w:cs="Arial"/>
              </w:rPr>
            </w:pPr>
            <w:r w:rsidRPr="00EB49DA">
              <w:rPr>
                <w:rFonts w:cs="Arial"/>
              </w:rPr>
              <w:t>Obstetrics</w:t>
            </w:r>
          </w:p>
          <w:p w14:paraId="66F3B4E1" w14:textId="77777777" w:rsidR="00572F25" w:rsidRPr="00EB49DA" w:rsidRDefault="00572F25" w:rsidP="00572F25">
            <w:pPr>
              <w:pStyle w:val="ListParagraph"/>
              <w:numPr>
                <w:ilvl w:val="0"/>
                <w:numId w:val="35"/>
              </w:numPr>
              <w:spacing w:before="0" w:after="200"/>
              <w:rPr>
                <w:rFonts w:cs="Arial"/>
              </w:rPr>
            </w:pPr>
            <w:r w:rsidRPr="00EB49DA">
              <w:rPr>
                <w:rFonts w:cs="Arial"/>
              </w:rPr>
              <w:t>Ophthalmology</w:t>
            </w:r>
          </w:p>
          <w:p w14:paraId="2E6EF6A1" w14:textId="77777777" w:rsidR="00572F25" w:rsidRPr="00EB49DA" w:rsidRDefault="00572F25" w:rsidP="00572F25">
            <w:pPr>
              <w:pStyle w:val="ListParagraph"/>
              <w:numPr>
                <w:ilvl w:val="0"/>
                <w:numId w:val="35"/>
              </w:numPr>
              <w:spacing w:before="0" w:after="200"/>
              <w:rPr>
                <w:rFonts w:cs="Arial"/>
              </w:rPr>
            </w:pPr>
            <w:r w:rsidRPr="00EB49DA">
              <w:rPr>
                <w:rFonts w:cs="Arial"/>
              </w:rPr>
              <w:t>Orthopaedic surgery</w:t>
            </w:r>
          </w:p>
          <w:p w14:paraId="71F83EA0" w14:textId="77777777" w:rsidR="00572F25" w:rsidRPr="00EB49DA" w:rsidRDefault="00572F25" w:rsidP="00572F25">
            <w:pPr>
              <w:pStyle w:val="ListParagraph"/>
              <w:numPr>
                <w:ilvl w:val="0"/>
                <w:numId w:val="35"/>
              </w:numPr>
              <w:spacing w:before="0" w:after="200"/>
              <w:rPr>
                <w:rFonts w:cs="Arial"/>
              </w:rPr>
            </w:pPr>
            <w:r w:rsidRPr="00EB49DA">
              <w:rPr>
                <w:rFonts w:cs="Arial"/>
              </w:rPr>
              <w:t>Plastic and reconstructive surgery</w:t>
            </w:r>
          </w:p>
          <w:p w14:paraId="5B876C8B" w14:textId="77777777" w:rsidR="00572F25" w:rsidRPr="00EB49DA" w:rsidRDefault="00572F25" w:rsidP="00572F25">
            <w:pPr>
              <w:pStyle w:val="ListParagraph"/>
              <w:numPr>
                <w:ilvl w:val="0"/>
                <w:numId w:val="35"/>
              </w:numPr>
              <w:spacing w:before="0" w:after="200"/>
              <w:rPr>
                <w:rFonts w:cs="Arial"/>
              </w:rPr>
            </w:pPr>
            <w:r w:rsidRPr="00EB49DA">
              <w:rPr>
                <w:rFonts w:cs="Arial"/>
              </w:rPr>
              <w:t>Thoracic surgery</w:t>
            </w:r>
          </w:p>
          <w:p w14:paraId="755C0A67" w14:textId="77777777" w:rsidR="00572F25" w:rsidRPr="00EB49DA" w:rsidRDefault="00572F25" w:rsidP="00572F25">
            <w:pPr>
              <w:pStyle w:val="ListParagraph"/>
              <w:numPr>
                <w:ilvl w:val="0"/>
                <w:numId w:val="35"/>
              </w:numPr>
              <w:spacing w:before="0" w:after="0"/>
              <w:rPr>
                <w:rFonts w:cs="Arial"/>
              </w:rPr>
            </w:pPr>
            <w:r w:rsidRPr="00EB49DA">
              <w:rPr>
                <w:rFonts w:cs="Arial"/>
              </w:rPr>
              <w:t xml:space="preserve">Urological surgery </w:t>
            </w:r>
          </w:p>
          <w:p w14:paraId="6707FF8F" w14:textId="77777777" w:rsidR="00572F25" w:rsidRPr="00EB49DA" w:rsidRDefault="00572F25" w:rsidP="00140544">
            <w:pPr>
              <w:spacing w:after="0"/>
              <w:ind w:left="720"/>
              <w:rPr>
                <w:rFonts w:cs="Arial"/>
              </w:rPr>
            </w:pPr>
            <w:r w:rsidRPr="00EB49DA">
              <w:rPr>
                <w:rFonts w:cs="Arial"/>
              </w:rPr>
              <w:t>– endoscopic procedures</w:t>
            </w:r>
          </w:p>
          <w:p w14:paraId="38E411C0" w14:textId="77777777" w:rsidR="00572F25" w:rsidRPr="00EB49DA" w:rsidRDefault="00572F25" w:rsidP="00140544">
            <w:pPr>
              <w:spacing w:after="0"/>
              <w:ind w:left="720"/>
              <w:rPr>
                <w:rFonts w:cs="Arial"/>
              </w:rPr>
            </w:pPr>
            <w:r w:rsidRPr="00EB49DA">
              <w:rPr>
                <w:rFonts w:cs="Arial"/>
              </w:rPr>
              <w:t>– laparoscopic procedures</w:t>
            </w:r>
          </w:p>
          <w:p w14:paraId="2089D5CF" w14:textId="77777777" w:rsidR="00572F25" w:rsidRPr="00EB49DA" w:rsidRDefault="00572F25" w:rsidP="00140544">
            <w:pPr>
              <w:spacing w:after="0"/>
              <w:ind w:left="720"/>
              <w:rPr>
                <w:rFonts w:cs="Arial"/>
              </w:rPr>
            </w:pPr>
            <w:r w:rsidRPr="00EB49DA">
              <w:rPr>
                <w:rFonts w:cs="Arial"/>
              </w:rPr>
              <w:t>– open procedures</w:t>
            </w:r>
          </w:p>
          <w:p w14:paraId="62DC1E9E" w14:textId="77777777" w:rsidR="00572F25" w:rsidRPr="00EB49DA" w:rsidRDefault="00572F25" w:rsidP="00140544">
            <w:pPr>
              <w:spacing w:after="0"/>
              <w:ind w:left="720"/>
              <w:rPr>
                <w:rFonts w:cs="Arial"/>
              </w:rPr>
            </w:pPr>
            <w:r w:rsidRPr="00EB49DA">
              <w:rPr>
                <w:rFonts w:cs="Arial"/>
              </w:rPr>
              <w:t>– other</w:t>
            </w:r>
          </w:p>
          <w:p w14:paraId="318F8AFC" w14:textId="77777777" w:rsidR="00572F25" w:rsidRPr="00EB49DA" w:rsidRDefault="00572F25" w:rsidP="00572F25">
            <w:pPr>
              <w:pStyle w:val="ListParagraph"/>
              <w:numPr>
                <w:ilvl w:val="0"/>
                <w:numId w:val="35"/>
              </w:numPr>
              <w:spacing w:before="0" w:after="200"/>
              <w:rPr>
                <w:rFonts w:cs="Arial"/>
              </w:rPr>
            </w:pPr>
            <w:r w:rsidRPr="00EB49DA">
              <w:rPr>
                <w:rFonts w:cs="Arial"/>
              </w:rPr>
              <w:t xml:space="preserve">Vascular surgery </w:t>
            </w:r>
          </w:p>
          <w:p w14:paraId="6AD3BB7D" w14:textId="77777777" w:rsidR="00572F25" w:rsidRPr="00EB49DA" w:rsidRDefault="00572F25" w:rsidP="00140544">
            <w:pPr>
              <w:pStyle w:val="ListParagraph"/>
              <w:spacing w:after="0"/>
              <w:rPr>
                <w:rFonts w:cs="Arial"/>
              </w:rPr>
            </w:pPr>
            <w:r w:rsidRPr="00EB49DA">
              <w:rPr>
                <w:rFonts w:cs="Arial"/>
              </w:rPr>
              <w:t>– dialysis access</w:t>
            </w:r>
          </w:p>
        </w:tc>
      </w:tr>
    </w:tbl>
    <w:p w14:paraId="5DF16670" w14:textId="77777777" w:rsidR="00572F25" w:rsidRPr="0072278A" w:rsidRDefault="00572F25" w:rsidP="00572F25">
      <w:pPr>
        <w:spacing w:after="0"/>
        <w:sectPr w:rsidR="00572F25" w:rsidRPr="0072278A" w:rsidSect="00DE146F">
          <w:footerReference w:type="default" r:id="rId61"/>
          <w:pgSz w:w="11906" w:h="16838"/>
          <w:pgMar w:top="1440" w:right="1274" w:bottom="1440" w:left="1276" w:header="0" w:footer="227" w:gutter="0"/>
          <w:cols w:space="708"/>
          <w:docGrid w:linePitch="360"/>
        </w:sectPr>
      </w:pPr>
    </w:p>
    <w:p w14:paraId="10F3C5BC" w14:textId="77777777" w:rsidR="00572F25" w:rsidRDefault="00572F25" w:rsidP="00572F25">
      <w:pPr>
        <w:pStyle w:val="Heading1"/>
        <w:ind w:left="432" w:hanging="432"/>
      </w:pPr>
      <w:bookmarkStart w:id="176" w:name="_Appendix_6_:"/>
      <w:bookmarkStart w:id="177" w:name="_Appendix_6_"/>
      <w:bookmarkStart w:id="178" w:name="_Toc126664222"/>
      <w:bookmarkEnd w:id="176"/>
      <w:bookmarkEnd w:id="177"/>
      <w:r>
        <w:lastRenderedPageBreak/>
        <w:t xml:space="preserve">Appendix 6: </w:t>
      </w:r>
      <w:r w:rsidRPr="001B7B53">
        <w:t>Surgical</w:t>
      </w:r>
      <w:r>
        <w:t xml:space="preserve"> NAPS data collection form</w:t>
      </w:r>
      <w:bookmarkEnd w:id="178"/>
    </w:p>
    <w:p w14:paraId="72F5781D" w14:textId="77777777" w:rsidR="00572F25" w:rsidRPr="00C27AA2" w:rsidRDefault="00572F25" w:rsidP="00572F25">
      <w:r w:rsidRPr="00427505">
        <w:rPr>
          <w:noProof/>
        </w:rPr>
        <w:drawing>
          <wp:inline distT="0" distB="0" distL="0" distR="0" wp14:anchorId="6A1C41B1" wp14:editId="2972BBC5">
            <wp:extent cx="7961630" cy="5619750"/>
            <wp:effectExtent l="12700" t="12700" r="13970" b="19050"/>
            <wp:docPr id="34" name="Picture 34" descr="This is a reproduction of the Surgical NAPS data collection form for use by participating hospi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his is a reproduction of the Surgical NAPS data collection form for use by participating hospitals."/>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961630" cy="5619750"/>
                    </a:xfrm>
                    <a:prstGeom prst="rect">
                      <a:avLst/>
                    </a:prstGeom>
                    <a:noFill/>
                    <a:ln>
                      <a:solidFill>
                        <a:schemeClr val="bg2"/>
                      </a:solidFill>
                    </a:ln>
                  </pic:spPr>
                </pic:pic>
              </a:graphicData>
            </a:graphic>
          </wp:inline>
        </w:drawing>
      </w:r>
    </w:p>
    <w:p w14:paraId="4E0DE0ED" w14:textId="77777777" w:rsidR="00572F25" w:rsidRDefault="00572F25" w:rsidP="00572F25">
      <w:pPr>
        <w:rPr>
          <w:noProof/>
        </w:rPr>
      </w:pPr>
      <w:r>
        <w:rPr>
          <w:noProof/>
        </w:rPr>
        <w:lastRenderedPageBreak/>
        <w:drawing>
          <wp:inline distT="0" distB="0" distL="0" distR="0" wp14:anchorId="7ED9FC92" wp14:editId="0BBB6467">
            <wp:extent cx="8072755" cy="5705475"/>
            <wp:effectExtent l="12700" t="12700" r="17145" b="9525"/>
            <wp:docPr id="26" name="Picture 26" descr="This is the second page of the Surgical NAPS data collection form for the use of participating hospi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his is the second page of the Surgical NAPS data collection form for the use of participating hospitals."/>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072755" cy="5705475"/>
                    </a:xfrm>
                    <a:prstGeom prst="rect">
                      <a:avLst/>
                    </a:prstGeom>
                    <a:noFill/>
                    <a:ln>
                      <a:solidFill>
                        <a:schemeClr val="bg2"/>
                      </a:solidFill>
                    </a:ln>
                  </pic:spPr>
                </pic:pic>
              </a:graphicData>
            </a:graphic>
          </wp:inline>
        </w:drawing>
      </w:r>
    </w:p>
    <w:p w14:paraId="057ACFA0" w14:textId="77777777" w:rsidR="00572F25" w:rsidRDefault="00572F25" w:rsidP="00572F25">
      <w:pPr>
        <w:pStyle w:val="Heading1"/>
        <w:ind w:left="432" w:hanging="432"/>
      </w:pPr>
      <w:bookmarkStart w:id="179" w:name="_Appendix_7:_Surgical"/>
      <w:bookmarkStart w:id="180" w:name="_Appendix_7_:"/>
      <w:bookmarkStart w:id="181" w:name="_Appendix_7_"/>
      <w:bookmarkStart w:id="182" w:name="_Toc126664223"/>
      <w:bookmarkEnd w:id="179"/>
      <w:bookmarkEnd w:id="180"/>
      <w:bookmarkEnd w:id="181"/>
      <w:r>
        <w:lastRenderedPageBreak/>
        <w:t xml:space="preserve">Appendix 7: </w:t>
      </w:r>
      <w:r w:rsidRPr="001B7B53">
        <w:t>Surgical</w:t>
      </w:r>
      <w:r>
        <w:t xml:space="preserve"> NAPS appropriateness definitions</w:t>
      </w:r>
      <w:bookmarkEnd w:id="182"/>
    </w:p>
    <w:p w14:paraId="537BD356" w14:textId="77777777" w:rsidR="00572F25" w:rsidRDefault="00572F25" w:rsidP="00572F25">
      <w:r w:rsidRPr="0091545F">
        <w:rPr>
          <w:noProof/>
        </w:rPr>
        <w:drawing>
          <wp:inline distT="0" distB="0" distL="0" distR="0" wp14:anchorId="2F078488" wp14:editId="4E742953">
            <wp:extent cx="7955915" cy="5637530"/>
            <wp:effectExtent l="12700" t="12700" r="6985" b="13970"/>
            <wp:docPr id="27" name="Picture 27" descr="This describes the Surgical NAPS appropriateness defin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his describes the Surgical NAPS appropriateness definitions."/>
                    <pic:cNvPicPr/>
                  </pic:nvPicPr>
                  <pic:blipFill>
                    <a:blip r:embed="rId64">
                      <a:extLst>
                        <a:ext uri="{28A0092B-C50C-407E-A947-70E740481C1C}">
                          <a14:useLocalDpi xmlns:a14="http://schemas.microsoft.com/office/drawing/2010/main" val="0"/>
                        </a:ext>
                      </a:extLst>
                    </a:blip>
                    <a:stretch>
                      <a:fillRect/>
                    </a:stretch>
                  </pic:blipFill>
                  <pic:spPr>
                    <a:xfrm>
                      <a:off x="0" y="0"/>
                      <a:ext cx="7955915" cy="5637530"/>
                    </a:xfrm>
                    <a:prstGeom prst="rect">
                      <a:avLst/>
                    </a:prstGeom>
                    <a:ln>
                      <a:solidFill>
                        <a:schemeClr val="bg2"/>
                      </a:solidFill>
                    </a:ln>
                  </pic:spPr>
                </pic:pic>
              </a:graphicData>
            </a:graphic>
          </wp:inline>
        </w:drawing>
      </w:r>
    </w:p>
    <w:p w14:paraId="50677C82" w14:textId="77777777" w:rsidR="00572F25" w:rsidRDefault="00572F25" w:rsidP="00572F25">
      <w:pPr>
        <w:sectPr w:rsidR="00572F25" w:rsidSect="00137FD6">
          <w:pgSz w:w="16838" w:h="11906" w:orient="landscape"/>
          <w:pgMar w:top="1276" w:right="1440" w:bottom="567" w:left="1440" w:header="0" w:footer="0" w:gutter="0"/>
          <w:cols w:space="708"/>
          <w:docGrid w:linePitch="360"/>
        </w:sectPr>
      </w:pPr>
    </w:p>
    <w:p w14:paraId="2D206124" w14:textId="77777777" w:rsidR="00572F25" w:rsidRPr="00FB392D" w:rsidRDefault="00572F25" w:rsidP="00572F25">
      <w:pPr>
        <w:pStyle w:val="Heading1"/>
        <w:ind w:left="432" w:hanging="432"/>
      </w:pPr>
      <w:bookmarkStart w:id="183" w:name="_Appendix_8:_Glossary"/>
      <w:bookmarkStart w:id="184" w:name="_Toc126664224"/>
      <w:bookmarkEnd w:id="183"/>
      <w:r>
        <w:lastRenderedPageBreak/>
        <w:t xml:space="preserve">Appendix 8: </w:t>
      </w:r>
      <w:r w:rsidRPr="003C4C48">
        <w:t>Glossary</w:t>
      </w:r>
      <w:bookmarkEnd w:id="184"/>
      <w:r>
        <w:t xml:space="preserve"> </w:t>
      </w:r>
    </w:p>
    <w:tbl>
      <w:tblPr>
        <w:tblStyle w:val="LightList-Accent6"/>
        <w:tblW w:w="9639" w:type="dxa"/>
        <w:tblBorders>
          <w:top w:val="single" w:sz="2" w:space="0" w:color="276066" w:themeColor="accent2" w:themeShade="BF"/>
          <w:left w:val="none" w:sz="0" w:space="0" w:color="auto"/>
          <w:bottom w:val="single" w:sz="2" w:space="0" w:color="276066" w:themeColor="accent2" w:themeShade="BF"/>
          <w:right w:val="none" w:sz="0" w:space="0" w:color="auto"/>
          <w:insideH w:val="single" w:sz="2" w:space="0" w:color="276066" w:themeColor="accent2" w:themeShade="BF"/>
        </w:tblBorders>
        <w:tblLayout w:type="fixed"/>
        <w:tblLook w:val="0420" w:firstRow="1" w:lastRow="0" w:firstColumn="0" w:lastColumn="0" w:noHBand="0" w:noVBand="1"/>
      </w:tblPr>
      <w:tblGrid>
        <w:gridCol w:w="2552"/>
        <w:gridCol w:w="7087"/>
      </w:tblGrid>
      <w:tr w:rsidR="00572F25" w:rsidRPr="00FB392D" w14:paraId="53F3B922" w14:textId="77777777" w:rsidTr="004800B5">
        <w:trPr>
          <w:cnfStyle w:val="100000000000" w:firstRow="1" w:lastRow="0" w:firstColumn="0" w:lastColumn="0" w:oddVBand="0" w:evenVBand="0" w:oddHBand="0" w:evenHBand="0" w:firstRowFirstColumn="0" w:firstRowLastColumn="0" w:lastRowFirstColumn="0" w:lastRowLastColumn="0"/>
        </w:trPr>
        <w:tc>
          <w:tcPr>
            <w:tcW w:w="2552" w:type="dxa"/>
            <w:tcBorders>
              <w:bottom w:val="single" w:sz="4" w:space="0" w:color="auto"/>
            </w:tcBorders>
            <w:vAlign w:val="center"/>
          </w:tcPr>
          <w:p w14:paraId="4E3B7AB8" w14:textId="77777777" w:rsidR="00572F25" w:rsidRPr="00FB392D" w:rsidRDefault="003F7B79" w:rsidP="003F7B79">
            <w:pPr>
              <w:spacing w:before="80" w:after="80"/>
              <w:jc w:val="center"/>
              <w:rPr>
                <w:rFonts w:cs="Arial"/>
              </w:rPr>
            </w:pPr>
            <w:r>
              <w:rPr>
                <w:rFonts w:cs="Arial"/>
              </w:rPr>
              <w:t>Term</w:t>
            </w:r>
          </w:p>
        </w:tc>
        <w:tc>
          <w:tcPr>
            <w:tcW w:w="7087" w:type="dxa"/>
            <w:tcBorders>
              <w:bottom w:val="single" w:sz="4" w:space="0" w:color="auto"/>
            </w:tcBorders>
          </w:tcPr>
          <w:p w14:paraId="5ADFBA1C" w14:textId="77777777" w:rsidR="00572F25" w:rsidRPr="00FB392D" w:rsidRDefault="003F7B79" w:rsidP="003F7B79">
            <w:pPr>
              <w:spacing w:before="80" w:after="80"/>
              <w:jc w:val="center"/>
              <w:rPr>
                <w:rFonts w:cs="Arial"/>
              </w:rPr>
            </w:pPr>
            <w:r>
              <w:rPr>
                <w:rFonts w:cs="Arial"/>
              </w:rPr>
              <w:t>Definition</w:t>
            </w:r>
          </w:p>
        </w:tc>
      </w:tr>
      <w:tr w:rsidR="00EA5020" w:rsidRPr="00FB392D" w14:paraId="57C4130F" w14:textId="77777777" w:rsidTr="004800B5">
        <w:trPr>
          <w:cnfStyle w:val="000000100000" w:firstRow="0" w:lastRow="0" w:firstColumn="0" w:lastColumn="0" w:oddVBand="0" w:evenVBand="0" w:oddHBand="1" w:evenHBand="0" w:firstRowFirstColumn="0" w:firstRowLastColumn="0" w:lastRowFirstColumn="0" w:lastRowLastColumn="0"/>
        </w:trPr>
        <w:tc>
          <w:tcPr>
            <w:tcW w:w="2552" w:type="dxa"/>
            <w:tcBorders>
              <w:top w:val="single" w:sz="4" w:space="0" w:color="auto"/>
              <w:left w:val="single" w:sz="4" w:space="0" w:color="auto"/>
              <w:bottom w:val="single" w:sz="4" w:space="0" w:color="auto"/>
              <w:right w:val="single" w:sz="4" w:space="0" w:color="auto"/>
            </w:tcBorders>
            <w:vAlign w:val="center"/>
          </w:tcPr>
          <w:p w14:paraId="48123BF2" w14:textId="77777777" w:rsidR="00EA5020" w:rsidRPr="00FB392D" w:rsidRDefault="00EA5020" w:rsidP="00140544">
            <w:pPr>
              <w:spacing w:before="80" w:after="80"/>
              <w:rPr>
                <w:rFonts w:cs="Arial"/>
              </w:rPr>
            </w:pPr>
            <w:r>
              <w:rPr>
                <w:rFonts w:cs="Arial"/>
              </w:rPr>
              <w:t>Adequate prescribing</w:t>
            </w:r>
          </w:p>
        </w:tc>
        <w:tc>
          <w:tcPr>
            <w:tcW w:w="7087" w:type="dxa"/>
            <w:tcBorders>
              <w:top w:val="single" w:sz="4" w:space="0" w:color="auto"/>
              <w:left w:val="single" w:sz="4" w:space="0" w:color="auto"/>
              <w:bottom w:val="single" w:sz="4" w:space="0" w:color="auto"/>
              <w:right w:val="single" w:sz="4" w:space="0" w:color="auto"/>
            </w:tcBorders>
            <w:vAlign w:val="center"/>
          </w:tcPr>
          <w:p w14:paraId="7E9290A5" w14:textId="77777777" w:rsidR="00EA5020" w:rsidRPr="00FB392D" w:rsidRDefault="00EA5020" w:rsidP="00140544">
            <w:pPr>
              <w:spacing w:before="80" w:after="80"/>
              <w:rPr>
                <w:rFonts w:cs="Arial"/>
              </w:rPr>
            </w:pPr>
            <w:r>
              <w:rPr>
                <w:rFonts w:cs="Arial"/>
              </w:rPr>
              <w:t xml:space="preserve">A prescription that is deemed </w:t>
            </w:r>
            <w:r w:rsidRPr="00EA5020">
              <w:rPr>
                <w:rFonts w:cs="Arial"/>
                <w:b/>
                <w:bCs/>
              </w:rPr>
              <w:t>adequate</w:t>
            </w:r>
            <w:r>
              <w:rPr>
                <w:rFonts w:cs="Arial"/>
              </w:rPr>
              <w:t xml:space="preserve"> by the Surgical NAPS appropriateness definitions; see </w:t>
            </w:r>
            <w:hyperlink w:anchor="_Appendix_7:_Surgical" w:history="1">
              <w:r w:rsidRPr="00FB392D">
                <w:rPr>
                  <w:rStyle w:val="Hyperlink"/>
                  <w:rFonts w:cs="Arial"/>
                  <w:iCs/>
                </w:rPr>
                <w:t xml:space="preserve">Appendix </w:t>
              </w:r>
              <w:r>
                <w:rPr>
                  <w:rStyle w:val="Hyperlink"/>
                  <w:rFonts w:cs="Arial"/>
                  <w:iCs/>
                </w:rPr>
                <w:t>7</w:t>
              </w:r>
            </w:hyperlink>
            <w:r>
              <w:rPr>
                <w:rFonts w:cs="Arial"/>
              </w:rPr>
              <w:t xml:space="preserve">. </w:t>
            </w:r>
          </w:p>
        </w:tc>
      </w:tr>
      <w:tr w:rsidR="00572F25" w:rsidRPr="00FB392D" w14:paraId="3273723C" w14:textId="77777777" w:rsidTr="004800B5">
        <w:tc>
          <w:tcPr>
            <w:tcW w:w="2552" w:type="dxa"/>
            <w:tcBorders>
              <w:top w:val="single" w:sz="4" w:space="0" w:color="auto"/>
              <w:left w:val="single" w:sz="4" w:space="0" w:color="auto"/>
              <w:bottom w:val="single" w:sz="4" w:space="0" w:color="auto"/>
              <w:right w:val="single" w:sz="4" w:space="0" w:color="auto"/>
            </w:tcBorders>
            <w:vAlign w:val="center"/>
          </w:tcPr>
          <w:p w14:paraId="181C0FE0" w14:textId="77777777" w:rsidR="00572F25" w:rsidRPr="00FB392D" w:rsidRDefault="00572F25" w:rsidP="00140544">
            <w:pPr>
              <w:spacing w:before="80" w:after="80"/>
              <w:rPr>
                <w:rFonts w:cs="Arial"/>
              </w:rPr>
            </w:pPr>
            <w:r w:rsidRPr="00FB392D">
              <w:rPr>
                <w:rFonts w:cs="Arial"/>
              </w:rPr>
              <w:t>Appropriate prescribing</w:t>
            </w:r>
          </w:p>
        </w:tc>
        <w:tc>
          <w:tcPr>
            <w:tcW w:w="7087" w:type="dxa"/>
            <w:tcBorders>
              <w:top w:val="single" w:sz="4" w:space="0" w:color="auto"/>
              <w:left w:val="single" w:sz="4" w:space="0" w:color="auto"/>
              <w:bottom w:val="single" w:sz="4" w:space="0" w:color="auto"/>
              <w:right w:val="single" w:sz="4" w:space="0" w:color="auto"/>
            </w:tcBorders>
            <w:vAlign w:val="center"/>
          </w:tcPr>
          <w:p w14:paraId="0799CDA9" w14:textId="77777777" w:rsidR="00572F25" w:rsidRPr="00FB392D" w:rsidRDefault="00572F25" w:rsidP="00140544">
            <w:pPr>
              <w:spacing w:before="80" w:after="80"/>
              <w:rPr>
                <w:rFonts w:cs="Arial"/>
              </w:rPr>
            </w:pPr>
            <w:r w:rsidRPr="00FB392D">
              <w:rPr>
                <w:rFonts w:cs="Arial"/>
              </w:rPr>
              <w:t xml:space="preserve">A prescription that is deemed </w:t>
            </w:r>
            <w:r w:rsidRPr="00FB392D">
              <w:rPr>
                <w:rFonts w:cs="Arial"/>
                <w:b/>
              </w:rPr>
              <w:t>appropriate</w:t>
            </w:r>
            <w:r w:rsidRPr="00FB392D">
              <w:rPr>
                <w:rFonts w:cs="Arial"/>
              </w:rPr>
              <w:t xml:space="preserve"> (optimal or adequate) by the Surgical NAPS </w:t>
            </w:r>
            <w:r>
              <w:rPr>
                <w:rFonts w:cs="Arial"/>
              </w:rPr>
              <w:t>a</w:t>
            </w:r>
            <w:r w:rsidRPr="00FB392D">
              <w:rPr>
                <w:rFonts w:cs="Arial"/>
              </w:rPr>
              <w:t xml:space="preserve">ppropriateness </w:t>
            </w:r>
            <w:r>
              <w:rPr>
                <w:rFonts w:cs="Arial"/>
              </w:rPr>
              <w:t>d</w:t>
            </w:r>
            <w:r w:rsidRPr="00FB392D">
              <w:rPr>
                <w:rFonts w:cs="Arial"/>
              </w:rPr>
              <w:t xml:space="preserve">efinitions; see </w:t>
            </w:r>
            <w:hyperlink w:anchor="_Appendix_7:_Surgical" w:history="1">
              <w:r w:rsidRPr="00FB392D">
                <w:rPr>
                  <w:rStyle w:val="Hyperlink"/>
                  <w:rFonts w:cs="Arial"/>
                  <w:iCs/>
                </w:rPr>
                <w:t xml:space="preserve">Appendix </w:t>
              </w:r>
              <w:r>
                <w:rPr>
                  <w:rStyle w:val="Hyperlink"/>
                  <w:rFonts w:cs="Arial"/>
                  <w:iCs/>
                </w:rPr>
                <w:t>7</w:t>
              </w:r>
            </w:hyperlink>
            <w:r>
              <w:rPr>
                <w:rFonts w:cs="Arial"/>
              </w:rPr>
              <w:t>.</w:t>
            </w:r>
            <w:r w:rsidRPr="00FB392D">
              <w:rPr>
                <w:rFonts w:cs="Arial"/>
              </w:rPr>
              <w:t xml:space="preserve"> </w:t>
            </w:r>
          </w:p>
        </w:tc>
      </w:tr>
      <w:tr w:rsidR="00572F25" w:rsidRPr="00FB392D" w14:paraId="0EE0EE0E" w14:textId="77777777" w:rsidTr="004800B5">
        <w:trPr>
          <w:cnfStyle w:val="000000100000" w:firstRow="0" w:lastRow="0" w:firstColumn="0" w:lastColumn="0" w:oddVBand="0" w:evenVBand="0" w:oddHBand="1" w:evenHBand="0" w:firstRowFirstColumn="0" w:firstRowLastColumn="0" w:lastRowFirstColumn="0" w:lastRowLastColumn="0"/>
        </w:trPr>
        <w:tc>
          <w:tcPr>
            <w:tcW w:w="2552" w:type="dxa"/>
            <w:tcBorders>
              <w:top w:val="single" w:sz="4" w:space="0" w:color="auto"/>
              <w:left w:val="single" w:sz="4" w:space="0" w:color="auto"/>
              <w:bottom w:val="single" w:sz="4" w:space="0" w:color="auto"/>
              <w:right w:val="single" w:sz="4" w:space="0" w:color="auto"/>
            </w:tcBorders>
            <w:vAlign w:val="center"/>
          </w:tcPr>
          <w:p w14:paraId="11F23739" w14:textId="77777777" w:rsidR="00572F25" w:rsidRPr="00FB392D" w:rsidRDefault="00572F25" w:rsidP="00140544">
            <w:pPr>
              <w:spacing w:before="80" w:after="80"/>
              <w:rPr>
                <w:rFonts w:cs="Arial"/>
              </w:rPr>
            </w:pPr>
            <w:r w:rsidRPr="00FB392D">
              <w:rPr>
                <w:rFonts w:cs="Arial"/>
              </w:rPr>
              <w:t>Directed therapy</w:t>
            </w:r>
          </w:p>
        </w:tc>
        <w:tc>
          <w:tcPr>
            <w:tcW w:w="7087" w:type="dxa"/>
            <w:tcBorders>
              <w:top w:val="single" w:sz="4" w:space="0" w:color="auto"/>
              <w:left w:val="single" w:sz="4" w:space="0" w:color="auto"/>
              <w:bottom w:val="single" w:sz="4" w:space="0" w:color="auto"/>
              <w:right w:val="single" w:sz="4" w:space="0" w:color="auto"/>
            </w:tcBorders>
            <w:vAlign w:val="center"/>
          </w:tcPr>
          <w:p w14:paraId="143D4DDE" w14:textId="77777777" w:rsidR="00572F25" w:rsidRPr="00FB392D" w:rsidRDefault="00572F25" w:rsidP="00140544">
            <w:pPr>
              <w:pStyle w:val="Default"/>
              <w:spacing w:before="80" w:after="80"/>
              <w:contextualSpacing/>
              <w:rPr>
                <w:sz w:val="22"/>
                <w:szCs w:val="22"/>
              </w:rPr>
            </w:pPr>
            <w:r w:rsidRPr="00FB392D">
              <w:rPr>
                <w:sz w:val="22"/>
                <w:szCs w:val="22"/>
              </w:rPr>
              <w:t xml:space="preserve">There are microbiology culture and susceptibility </w:t>
            </w:r>
            <w:proofErr w:type="gramStart"/>
            <w:r w:rsidRPr="00FB392D">
              <w:rPr>
                <w:sz w:val="22"/>
                <w:szCs w:val="22"/>
              </w:rPr>
              <w:t>results</w:t>
            </w:r>
            <w:proofErr w:type="gramEnd"/>
            <w:r w:rsidRPr="00FB392D">
              <w:rPr>
                <w:sz w:val="22"/>
                <w:szCs w:val="22"/>
              </w:rPr>
              <w:t xml:space="preserve"> available to guide prophylaxis or treatment.</w:t>
            </w:r>
          </w:p>
        </w:tc>
      </w:tr>
      <w:tr w:rsidR="00572F25" w:rsidRPr="00FB392D" w14:paraId="131A18EA" w14:textId="77777777" w:rsidTr="004800B5">
        <w:tc>
          <w:tcPr>
            <w:tcW w:w="2552" w:type="dxa"/>
            <w:tcBorders>
              <w:top w:val="single" w:sz="4" w:space="0" w:color="auto"/>
              <w:left w:val="single" w:sz="4" w:space="0" w:color="auto"/>
              <w:bottom w:val="single" w:sz="4" w:space="0" w:color="auto"/>
              <w:right w:val="single" w:sz="4" w:space="0" w:color="auto"/>
            </w:tcBorders>
            <w:vAlign w:val="center"/>
          </w:tcPr>
          <w:p w14:paraId="66194F99" w14:textId="77777777" w:rsidR="00572F25" w:rsidRPr="00FB392D" w:rsidRDefault="00572F25" w:rsidP="00140544">
            <w:pPr>
              <w:spacing w:before="80" w:after="80"/>
              <w:rPr>
                <w:rFonts w:cs="Arial"/>
              </w:rPr>
            </w:pPr>
            <w:r w:rsidRPr="00FB392D">
              <w:rPr>
                <w:rFonts w:cs="Arial"/>
              </w:rPr>
              <w:t>Dose</w:t>
            </w:r>
          </w:p>
        </w:tc>
        <w:tc>
          <w:tcPr>
            <w:tcW w:w="7087" w:type="dxa"/>
            <w:tcBorders>
              <w:top w:val="single" w:sz="4" w:space="0" w:color="auto"/>
              <w:left w:val="single" w:sz="4" w:space="0" w:color="auto"/>
              <w:bottom w:val="single" w:sz="4" w:space="0" w:color="auto"/>
              <w:right w:val="single" w:sz="4" w:space="0" w:color="auto"/>
            </w:tcBorders>
            <w:vAlign w:val="center"/>
          </w:tcPr>
          <w:p w14:paraId="740F897B" w14:textId="77777777" w:rsidR="00572F25" w:rsidRPr="00FB392D" w:rsidRDefault="00572F25" w:rsidP="00140544">
            <w:pPr>
              <w:pStyle w:val="Default"/>
              <w:spacing w:before="80" w:after="80"/>
              <w:contextualSpacing/>
              <w:rPr>
                <w:sz w:val="22"/>
                <w:szCs w:val="22"/>
              </w:rPr>
            </w:pPr>
            <w:r w:rsidRPr="00FB392D">
              <w:rPr>
                <w:sz w:val="22"/>
                <w:szCs w:val="22"/>
              </w:rPr>
              <w:t>An individual antimicrobial dose administered either immediately prior to or during the surgical procedure.</w:t>
            </w:r>
          </w:p>
        </w:tc>
      </w:tr>
      <w:tr w:rsidR="00572F25" w:rsidRPr="00FB392D" w14:paraId="61483814" w14:textId="77777777" w:rsidTr="004800B5">
        <w:trPr>
          <w:cnfStyle w:val="000000100000" w:firstRow="0" w:lastRow="0" w:firstColumn="0" w:lastColumn="0" w:oddVBand="0" w:evenVBand="0" w:oddHBand="1" w:evenHBand="0" w:firstRowFirstColumn="0" w:firstRowLastColumn="0" w:lastRowFirstColumn="0" w:lastRowLastColumn="0"/>
        </w:trPr>
        <w:tc>
          <w:tcPr>
            <w:tcW w:w="2552" w:type="dxa"/>
            <w:tcBorders>
              <w:top w:val="single" w:sz="4" w:space="0" w:color="auto"/>
              <w:left w:val="single" w:sz="4" w:space="0" w:color="auto"/>
              <w:bottom w:val="single" w:sz="4" w:space="0" w:color="auto"/>
              <w:right w:val="single" w:sz="4" w:space="0" w:color="auto"/>
            </w:tcBorders>
            <w:vAlign w:val="center"/>
          </w:tcPr>
          <w:p w14:paraId="6B3A8BC4" w14:textId="77777777" w:rsidR="00572F25" w:rsidRPr="00FB392D" w:rsidRDefault="00572F25" w:rsidP="00140544">
            <w:pPr>
              <w:spacing w:before="80" w:after="80"/>
              <w:rPr>
                <w:rFonts w:cs="Arial"/>
              </w:rPr>
            </w:pPr>
            <w:r w:rsidRPr="00FB392D">
              <w:rPr>
                <w:rFonts w:cs="Arial"/>
              </w:rPr>
              <w:t>Elective surgery</w:t>
            </w:r>
          </w:p>
        </w:tc>
        <w:tc>
          <w:tcPr>
            <w:tcW w:w="7087" w:type="dxa"/>
            <w:tcBorders>
              <w:top w:val="single" w:sz="4" w:space="0" w:color="auto"/>
              <w:left w:val="single" w:sz="4" w:space="0" w:color="auto"/>
              <w:bottom w:val="single" w:sz="4" w:space="0" w:color="auto"/>
              <w:right w:val="single" w:sz="4" w:space="0" w:color="auto"/>
            </w:tcBorders>
            <w:vAlign w:val="center"/>
          </w:tcPr>
          <w:p w14:paraId="4010D856" w14:textId="77777777" w:rsidR="00572F25" w:rsidRPr="00FB392D" w:rsidRDefault="00572F25" w:rsidP="00140544">
            <w:pPr>
              <w:spacing w:before="80" w:after="80"/>
              <w:rPr>
                <w:rFonts w:cs="Arial"/>
              </w:rPr>
            </w:pPr>
            <w:r w:rsidRPr="00FB392D">
              <w:rPr>
                <w:rFonts w:cs="Arial"/>
                <w:color w:val="000000"/>
                <w:shd w:val="clear" w:color="auto" w:fill="FFFFFF"/>
              </w:rPr>
              <w:t xml:space="preserve">Surgery that can be booked in advance </w:t>
            </w:r>
            <w:proofErr w:type="gramStart"/>
            <w:r w:rsidRPr="00FB392D">
              <w:rPr>
                <w:rFonts w:cs="Arial"/>
                <w:color w:val="000000"/>
                <w:shd w:val="clear" w:color="auto" w:fill="FFFFFF"/>
              </w:rPr>
              <w:t>as a result of</w:t>
            </w:r>
            <w:proofErr w:type="gramEnd"/>
            <w:r w:rsidRPr="00FB392D">
              <w:rPr>
                <w:rFonts w:cs="Arial"/>
                <w:color w:val="000000"/>
                <w:shd w:val="clear" w:color="auto" w:fill="FFFFFF"/>
              </w:rPr>
              <w:t xml:space="preserve"> a specialist clinical assessment resulting in placement on an elective surgery waiting list.</w:t>
            </w:r>
          </w:p>
        </w:tc>
      </w:tr>
      <w:tr w:rsidR="00572F25" w:rsidRPr="00FB392D" w14:paraId="664A351E" w14:textId="77777777" w:rsidTr="004800B5">
        <w:tc>
          <w:tcPr>
            <w:tcW w:w="2552" w:type="dxa"/>
            <w:tcBorders>
              <w:top w:val="single" w:sz="4" w:space="0" w:color="auto"/>
              <w:left w:val="single" w:sz="4" w:space="0" w:color="auto"/>
              <w:bottom w:val="single" w:sz="4" w:space="0" w:color="auto"/>
              <w:right w:val="single" w:sz="4" w:space="0" w:color="auto"/>
            </w:tcBorders>
            <w:vAlign w:val="center"/>
          </w:tcPr>
          <w:p w14:paraId="2A9C3321" w14:textId="77777777" w:rsidR="00572F25" w:rsidRPr="00FB392D" w:rsidRDefault="00572F25" w:rsidP="00140544">
            <w:pPr>
              <w:spacing w:before="80" w:after="80"/>
              <w:rPr>
                <w:rFonts w:cs="Arial"/>
              </w:rPr>
            </w:pPr>
            <w:r w:rsidRPr="00FB392D">
              <w:rPr>
                <w:rFonts w:cs="Arial"/>
              </w:rPr>
              <w:t>Emergency surgery</w:t>
            </w:r>
          </w:p>
        </w:tc>
        <w:tc>
          <w:tcPr>
            <w:tcW w:w="7087" w:type="dxa"/>
            <w:tcBorders>
              <w:top w:val="single" w:sz="4" w:space="0" w:color="auto"/>
              <w:left w:val="single" w:sz="4" w:space="0" w:color="auto"/>
              <w:bottom w:val="single" w:sz="4" w:space="0" w:color="auto"/>
              <w:right w:val="single" w:sz="4" w:space="0" w:color="auto"/>
            </w:tcBorders>
            <w:vAlign w:val="center"/>
          </w:tcPr>
          <w:p w14:paraId="456246FD" w14:textId="77777777" w:rsidR="00572F25" w:rsidRPr="00FB392D" w:rsidRDefault="00572F25" w:rsidP="00140544">
            <w:pPr>
              <w:spacing w:before="80" w:after="80"/>
              <w:rPr>
                <w:rFonts w:cs="Arial"/>
                <w:color w:val="000000"/>
                <w:shd w:val="clear" w:color="auto" w:fill="FFFFFF"/>
              </w:rPr>
            </w:pPr>
            <w:r w:rsidRPr="00FB392D">
              <w:rPr>
                <w:rFonts w:cs="Arial"/>
                <w:color w:val="000000"/>
                <w:shd w:val="clear" w:color="auto" w:fill="FFFFFF"/>
              </w:rPr>
              <w:t xml:space="preserve">Surgery to treat trauma or acute illness </w:t>
            </w:r>
            <w:proofErr w:type="gramStart"/>
            <w:r w:rsidRPr="00FB392D">
              <w:rPr>
                <w:rFonts w:cs="Arial"/>
                <w:color w:val="000000"/>
                <w:shd w:val="clear" w:color="auto" w:fill="FFFFFF"/>
              </w:rPr>
              <w:t>subsequent to</w:t>
            </w:r>
            <w:proofErr w:type="gramEnd"/>
            <w:r w:rsidRPr="00FB392D">
              <w:rPr>
                <w:rFonts w:cs="Arial"/>
                <w:color w:val="000000"/>
                <w:shd w:val="clear" w:color="auto" w:fill="FFFFFF"/>
              </w:rPr>
              <w:t xml:space="preserve"> an emergency presentation</w:t>
            </w:r>
            <w:r>
              <w:rPr>
                <w:rFonts w:cs="Arial"/>
                <w:color w:val="000000"/>
                <w:shd w:val="clear" w:color="auto" w:fill="FFFFFF"/>
              </w:rPr>
              <w:t>,</w:t>
            </w:r>
            <w:r w:rsidRPr="00FB392D">
              <w:rPr>
                <w:rFonts w:cs="Arial"/>
                <w:color w:val="000000"/>
                <w:shd w:val="clear" w:color="auto" w:fill="FFFFFF"/>
              </w:rPr>
              <w:t xml:space="preserve"> including unplanned surgery for admitted patients and unplanned surgery for patients already awaiting an elective surgery</w:t>
            </w:r>
            <w:r w:rsidRPr="00FB392D">
              <w:rPr>
                <w:rFonts w:cs="Arial"/>
                <w:i/>
                <w:color w:val="000000"/>
                <w:shd w:val="clear" w:color="auto" w:fill="FFFFFF"/>
              </w:rPr>
              <w:t>.</w:t>
            </w:r>
          </w:p>
        </w:tc>
      </w:tr>
      <w:tr w:rsidR="00572F25" w:rsidRPr="00FB392D" w14:paraId="62284D79" w14:textId="77777777" w:rsidTr="004800B5">
        <w:trPr>
          <w:cnfStyle w:val="000000100000" w:firstRow="0" w:lastRow="0" w:firstColumn="0" w:lastColumn="0" w:oddVBand="0" w:evenVBand="0" w:oddHBand="1" w:evenHBand="0" w:firstRowFirstColumn="0" w:firstRowLastColumn="0" w:lastRowFirstColumn="0" w:lastRowLastColumn="0"/>
        </w:trPr>
        <w:tc>
          <w:tcPr>
            <w:tcW w:w="2552" w:type="dxa"/>
            <w:tcBorders>
              <w:top w:val="single" w:sz="4" w:space="0" w:color="auto"/>
              <w:left w:val="single" w:sz="4" w:space="0" w:color="auto"/>
              <w:bottom w:val="single" w:sz="4" w:space="0" w:color="auto"/>
              <w:right w:val="single" w:sz="4" w:space="0" w:color="auto"/>
            </w:tcBorders>
            <w:vAlign w:val="center"/>
          </w:tcPr>
          <w:p w14:paraId="47E4BE9A" w14:textId="77777777" w:rsidR="00572F25" w:rsidRPr="00FB392D" w:rsidRDefault="00572F25" w:rsidP="00140544">
            <w:pPr>
              <w:spacing w:before="80" w:after="80"/>
              <w:rPr>
                <w:rFonts w:cs="Arial"/>
              </w:rPr>
            </w:pPr>
            <w:r w:rsidRPr="00FB392D">
              <w:rPr>
                <w:rFonts w:cs="Arial"/>
              </w:rPr>
              <w:t>Episode</w:t>
            </w:r>
          </w:p>
        </w:tc>
        <w:tc>
          <w:tcPr>
            <w:tcW w:w="7087" w:type="dxa"/>
            <w:tcBorders>
              <w:top w:val="single" w:sz="4" w:space="0" w:color="auto"/>
              <w:left w:val="single" w:sz="4" w:space="0" w:color="auto"/>
              <w:bottom w:val="single" w:sz="4" w:space="0" w:color="auto"/>
              <w:right w:val="single" w:sz="4" w:space="0" w:color="auto"/>
            </w:tcBorders>
            <w:vAlign w:val="center"/>
          </w:tcPr>
          <w:p w14:paraId="2D70F9B5" w14:textId="77777777" w:rsidR="00572F25" w:rsidRPr="00FB392D" w:rsidRDefault="00572F25" w:rsidP="00140544">
            <w:pPr>
              <w:spacing w:before="80" w:after="80"/>
              <w:rPr>
                <w:rFonts w:cs="Arial"/>
                <w:color w:val="000000"/>
                <w:shd w:val="clear" w:color="auto" w:fill="FFFFFF"/>
              </w:rPr>
            </w:pPr>
            <w:r w:rsidRPr="00FB392D">
              <w:rPr>
                <w:rFonts w:cs="Arial"/>
              </w:rPr>
              <w:t xml:space="preserve">An individual </w:t>
            </w:r>
            <w:r w:rsidRPr="00FB392D">
              <w:rPr>
                <w:rFonts w:cs="Arial"/>
                <w:color w:val="000000"/>
              </w:rPr>
              <w:t xml:space="preserve">procedure or </w:t>
            </w:r>
            <w:r>
              <w:rPr>
                <w:rFonts w:cs="Arial"/>
                <w:color w:val="000000"/>
              </w:rPr>
              <w:t xml:space="preserve">a </w:t>
            </w:r>
            <w:r w:rsidRPr="00FB392D">
              <w:rPr>
                <w:rFonts w:cs="Arial"/>
                <w:color w:val="000000"/>
              </w:rPr>
              <w:t>set of procedures performed together during the one surgical session and the subsequent post</w:t>
            </w:r>
            <w:r>
              <w:rPr>
                <w:rFonts w:cs="Arial"/>
                <w:color w:val="000000"/>
              </w:rPr>
              <w:t>-</w:t>
            </w:r>
            <w:r w:rsidRPr="00FB392D">
              <w:rPr>
                <w:rFonts w:cs="Arial"/>
                <w:color w:val="000000"/>
              </w:rPr>
              <w:t>procedural care associated with the procedure(s).</w:t>
            </w:r>
          </w:p>
        </w:tc>
      </w:tr>
      <w:tr w:rsidR="00572F25" w:rsidRPr="00FB392D" w14:paraId="6CE3AAF2" w14:textId="77777777" w:rsidTr="004800B5">
        <w:tc>
          <w:tcPr>
            <w:tcW w:w="2552" w:type="dxa"/>
            <w:tcBorders>
              <w:top w:val="single" w:sz="4" w:space="0" w:color="auto"/>
              <w:left w:val="single" w:sz="4" w:space="0" w:color="auto"/>
              <w:bottom w:val="single" w:sz="4" w:space="0" w:color="auto"/>
              <w:right w:val="single" w:sz="4" w:space="0" w:color="auto"/>
            </w:tcBorders>
            <w:vAlign w:val="center"/>
          </w:tcPr>
          <w:p w14:paraId="3F31080E" w14:textId="77777777" w:rsidR="00572F25" w:rsidRPr="00FB392D" w:rsidRDefault="00572F25" w:rsidP="00140544">
            <w:pPr>
              <w:spacing w:before="80" w:after="80"/>
              <w:rPr>
                <w:rFonts w:cs="Arial"/>
              </w:rPr>
            </w:pPr>
            <w:r w:rsidRPr="00FB392D">
              <w:rPr>
                <w:rFonts w:cs="Arial"/>
              </w:rPr>
              <w:t>Episode where no prophylaxis prescribed</w:t>
            </w:r>
          </w:p>
        </w:tc>
        <w:tc>
          <w:tcPr>
            <w:tcW w:w="7087" w:type="dxa"/>
            <w:tcBorders>
              <w:top w:val="single" w:sz="4" w:space="0" w:color="auto"/>
              <w:left w:val="single" w:sz="4" w:space="0" w:color="auto"/>
              <w:bottom w:val="single" w:sz="4" w:space="0" w:color="auto"/>
              <w:right w:val="single" w:sz="4" w:space="0" w:color="auto"/>
            </w:tcBorders>
            <w:vAlign w:val="center"/>
          </w:tcPr>
          <w:p w14:paraId="570EC68B" w14:textId="77777777" w:rsidR="00572F25" w:rsidRPr="00FB392D" w:rsidRDefault="00572F25" w:rsidP="00140544">
            <w:pPr>
              <w:spacing w:before="80" w:after="80"/>
              <w:rPr>
                <w:rFonts w:cs="Arial"/>
              </w:rPr>
            </w:pPr>
            <w:r w:rsidRPr="00FB392D">
              <w:rPr>
                <w:rFonts w:cs="Arial"/>
                <w:bCs/>
              </w:rPr>
              <w:t>Any episode where all prescribed antimicrobials are recorded as for ‘treatment’ and/or ‘not assessable’.</w:t>
            </w:r>
          </w:p>
        </w:tc>
      </w:tr>
      <w:tr w:rsidR="00572F25" w:rsidRPr="00FB392D" w14:paraId="2EC870C4" w14:textId="77777777" w:rsidTr="004800B5">
        <w:trPr>
          <w:cnfStyle w:val="000000100000" w:firstRow="0" w:lastRow="0" w:firstColumn="0" w:lastColumn="0" w:oddVBand="0" w:evenVBand="0" w:oddHBand="1" w:evenHBand="0" w:firstRowFirstColumn="0" w:firstRowLastColumn="0" w:lastRowFirstColumn="0" w:lastRowLastColumn="0"/>
        </w:trPr>
        <w:tc>
          <w:tcPr>
            <w:tcW w:w="2552" w:type="dxa"/>
            <w:tcBorders>
              <w:top w:val="single" w:sz="4" w:space="0" w:color="auto"/>
              <w:left w:val="single" w:sz="4" w:space="0" w:color="auto"/>
              <w:bottom w:val="single" w:sz="4" w:space="0" w:color="auto"/>
              <w:right w:val="single" w:sz="4" w:space="0" w:color="auto"/>
            </w:tcBorders>
            <w:vAlign w:val="center"/>
          </w:tcPr>
          <w:p w14:paraId="7521E7B1" w14:textId="77777777" w:rsidR="00572F25" w:rsidRPr="00FB392D" w:rsidRDefault="00572F25" w:rsidP="00140544">
            <w:pPr>
              <w:spacing w:before="80" w:after="80"/>
              <w:rPr>
                <w:rFonts w:cs="Arial"/>
              </w:rPr>
            </w:pPr>
            <w:r w:rsidRPr="00FB392D">
              <w:rPr>
                <w:rFonts w:cs="Arial"/>
              </w:rPr>
              <w:t>Existing antimicrobial therapy</w:t>
            </w:r>
          </w:p>
        </w:tc>
        <w:tc>
          <w:tcPr>
            <w:tcW w:w="7087" w:type="dxa"/>
            <w:tcBorders>
              <w:top w:val="single" w:sz="4" w:space="0" w:color="auto"/>
              <w:left w:val="single" w:sz="4" w:space="0" w:color="auto"/>
              <w:bottom w:val="single" w:sz="4" w:space="0" w:color="auto"/>
              <w:right w:val="single" w:sz="4" w:space="0" w:color="auto"/>
            </w:tcBorders>
            <w:vAlign w:val="center"/>
          </w:tcPr>
          <w:p w14:paraId="30C27327" w14:textId="77777777" w:rsidR="00572F25" w:rsidRPr="00FB392D" w:rsidRDefault="00572F25" w:rsidP="00140544">
            <w:pPr>
              <w:spacing w:before="80" w:after="80"/>
              <w:rPr>
                <w:rFonts w:cs="Arial"/>
              </w:rPr>
            </w:pPr>
            <w:r w:rsidRPr="00FB392D">
              <w:rPr>
                <w:rFonts w:cs="Arial"/>
              </w:rPr>
              <w:t>Any antimicrobial prescribed for treatment or prophylaxis in the 24</w:t>
            </w:r>
            <w:r>
              <w:rPr>
                <w:rFonts w:cs="Arial"/>
              </w:rPr>
              <w:t> </w:t>
            </w:r>
            <w:r w:rsidRPr="00FB392D">
              <w:rPr>
                <w:rFonts w:cs="Arial"/>
              </w:rPr>
              <w:t xml:space="preserve">hours prior (72 hours if on dialysis) to the procedure; these are not analysed individually but </w:t>
            </w:r>
            <w:r>
              <w:rPr>
                <w:rFonts w:cs="Arial"/>
              </w:rPr>
              <w:t>can</w:t>
            </w:r>
            <w:r w:rsidRPr="00FB392D">
              <w:rPr>
                <w:rFonts w:cs="Arial"/>
              </w:rPr>
              <w:t xml:space="preserve"> be considered when assessing the appropriateness of whether procedural antimicrobials were given or not given.</w:t>
            </w:r>
          </w:p>
        </w:tc>
      </w:tr>
      <w:tr w:rsidR="00572F25" w:rsidRPr="00FB392D" w14:paraId="487CB256" w14:textId="77777777" w:rsidTr="004800B5">
        <w:tc>
          <w:tcPr>
            <w:tcW w:w="2552" w:type="dxa"/>
            <w:tcBorders>
              <w:top w:val="single" w:sz="4" w:space="0" w:color="auto"/>
              <w:left w:val="single" w:sz="4" w:space="0" w:color="auto"/>
              <w:bottom w:val="single" w:sz="4" w:space="0" w:color="auto"/>
              <w:right w:val="single" w:sz="4" w:space="0" w:color="auto"/>
            </w:tcBorders>
            <w:vAlign w:val="center"/>
          </w:tcPr>
          <w:p w14:paraId="5A9AE19F" w14:textId="77777777" w:rsidR="00572F25" w:rsidRPr="00FB392D" w:rsidRDefault="00572F25" w:rsidP="00140544">
            <w:pPr>
              <w:spacing w:before="80" w:after="80"/>
              <w:rPr>
                <w:rFonts w:cs="Arial"/>
              </w:rPr>
            </w:pPr>
            <w:r w:rsidRPr="00FB392D">
              <w:rPr>
                <w:rFonts w:cs="Arial"/>
              </w:rPr>
              <w:t>Inadequate prescribing</w:t>
            </w:r>
          </w:p>
        </w:tc>
        <w:tc>
          <w:tcPr>
            <w:tcW w:w="7087" w:type="dxa"/>
            <w:tcBorders>
              <w:top w:val="single" w:sz="4" w:space="0" w:color="auto"/>
              <w:left w:val="single" w:sz="4" w:space="0" w:color="auto"/>
              <w:bottom w:val="single" w:sz="4" w:space="0" w:color="auto"/>
              <w:right w:val="single" w:sz="4" w:space="0" w:color="auto"/>
            </w:tcBorders>
          </w:tcPr>
          <w:p w14:paraId="02CE897A" w14:textId="77777777" w:rsidR="00572F25" w:rsidRPr="00FB392D" w:rsidRDefault="00572F25" w:rsidP="00140544">
            <w:pPr>
              <w:spacing w:before="80" w:after="80"/>
              <w:rPr>
                <w:rFonts w:cs="Arial"/>
              </w:rPr>
            </w:pPr>
            <w:r w:rsidRPr="00FB392D">
              <w:rPr>
                <w:rFonts w:cs="Arial"/>
              </w:rPr>
              <w:t xml:space="preserve">A prescription that is deemed </w:t>
            </w:r>
            <w:r w:rsidRPr="00C27AA2">
              <w:rPr>
                <w:rFonts w:cs="Arial"/>
                <w:b/>
              </w:rPr>
              <w:t>inadequate</w:t>
            </w:r>
            <w:r w:rsidRPr="00FB392D">
              <w:rPr>
                <w:rFonts w:cs="Arial"/>
              </w:rPr>
              <w:t xml:space="preserve"> by the Surgical NAPS </w:t>
            </w:r>
            <w:r>
              <w:rPr>
                <w:rFonts w:cs="Arial"/>
              </w:rPr>
              <w:t>a</w:t>
            </w:r>
            <w:r w:rsidRPr="00FB392D">
              <w:rPr>
                <w:rFonts w:cs="Arial"/>
              </w:rPr>
              <w:t xml:space="preserve">ppropriateness </w:t>
            </w:r>
            <w:r>
              <w:rPr>
                <w:rFonts w:cs="Arial"/>
              </w:rPr>
              <w:t>d</w:t>
            </w:r>
            <w:r w:rsidRPr="00FB392D">
              <w:rPr>
                <w:rFonts w:cs="Arial"/>
              </w:rPr>
              <w:t xml:space="preserve">efinitions; see </w:t>
            </w:r>
            <w:hyperlink w:anchor="_Appendix_7:_Surgical" w:history="1">
              <w:r w:rsidRPr="00FB392D">
                <w:rPr>
                  <w:rStyle w:val="Hyperlink"/>
                  <w:rFonts w:cs="Arial"/>
                  <w:iCs/>
                </w:rPr>
                <w:t xml:space="preserve">Appendix </w:t>
              </w:r>
              <w:r>
                <w:rPr>
                  <w:rStyle w:val="Hyperlink"/>
                  <w:rFonts w:cs="Arial"/>
                  <w:iCs/>
                </w:rPr>
                <w:t>7</w:t>
              </w:r>
            </w:hyperlink>
            <w:r w:rsidRPr="00FB392D">
              <w:rPr>
                <w:rFonts w:cs="Arial"/>
              </w:rPr>
              <w:t>.</w:t>
            </w:r>
          </w:p>
        </w:tc>
      </w:tr>
      <w:tr w:rsidR="00572F25" w:rsidRPr="00FB392D" w14:paraId="364A60D3" w14:textId="77777777" w:rsidTr="004800B5">
        <w:trPr>
          <w:cnfStyle w:val="000000100000" w:firstRow="0" w:lastRow="0" w:firstColumn="0" w:lastColumn="0" w:oddVBand="0" w:evenVBand="0" w:oddHBand="1" w:evenHBand="0" w:firstRowFirstColumn="0" w:firstRowLastColumn="0" w:lastRowFirstColumn="0" w:lastRowLastColumn="0"/>
        </w:trPr>
        <w:tc>
          <w:tcPr>
            <w:tcW w:w="2552" w:type="dxa"/>
            <w:tcBorders>
              <w:top w:val="single" w:sz="4" w:space="0" w:color="auto"/>
              <w:left w:val="single" w:sz="4" w:space="0" w:color="auto"/>
              <w:bottom w:val="single" w:sz="4" w:space="0" w:color="auto"/>
              <w:right w:val="single" w:sz="4" w:space="0" w:color="auto"/>
            </w:tcBorders>
            <w:vAlign w:val="center"/>
          </w:tcPr>
          <w:p w14:paraId="72D25CBE" w14:textId="77777777" w:rsidR="00572F25" w:rsidRPr="00FB392D" w:rsidRDefault="00572F25" w:rsidP="00140544">
            <w:pPr>
              <w:spacing w:before="80" w:after="80"/>
              <w:rPr>
                <w:rFonts w:cs="Arial"/>
              </w:rPr>
            </w:pPr>
            <w:r w:rsidRPr="00FB392D">
              <w:rPr>
                <w:rFonts w:cs="Arial"/>
              </w:rPr>
              <w:t>Inappropriate prescribing</w:t>
            </w:r>
          </w:p>
        </w:tc>
        <w:tc>
          <w:tcPr>
            <w:tcW w:w="7087" w:type="dxa"/>
            <w:tcBorders>
              <w:top w:val="single" w:sz="4" w:space="0" w:color="auto"/>
              <w:left w:val="single" w:sz="4" w:space="0" w:color="auto"/>
              <w:bottom w:val="single" w:sz="4" w:space="0" w:color="auto"/>
              <w:right w:val="single" w:sz="4" w:space="0" w:color="auto"/>
            </w:tcBorders>
            <w:vAlign w:val="center"/>
          </w:tcPr>
          <w:p w14:paraId="0B3CCB27" w14:textId="77777777" w:rsidR="00572F25" w:rsidRPr="00FB392D" w:rsidRDefault="00572F25" w:rsidP="00140544">
            <w:pPr>
              <w:spacing w:before="80" w:after="80"/>
              <w:rPr>
                <w:rFonts w:cs="Arial"/>
              </w:rPr>
            </w:pPr>
            <w:r w:rsidRPr="00FB392D">
              <w:rPr>
                <w:rFonts w:cs="Arial"/>
              </w:rPr>
              <w:t xml:space="preserve">A prescription that is deemed </w:t>
            </w:r>
            <w:r w:rsidRPr="00C27AA2">
              <w:rPr>
                <w:rFonts w:cs="Arial"/>
                <w:b/>
              </w:rPr>
              <w:t>inappropriate</w:t>
            </w:r>
            <w:r w:rsidRPr="00FB392D">
              <w:rPr>
                <w:rFonts w:cs="Arial"/>
              </w:rPr>
              <w:t xml:space="preserve"> (suboptimal or inadequate) by the Surgical NAPS </w:t>
            </w:r>
            <w:r>
              <w:rPr>
                <w:rFonts w:cs="Arial"/>
              </w:rPr>
              <w:t>a</w:t>
            </w:r>
            <w:r w:rsidRPr="00FB392D">
              <w:rPr>
                <w:rFonts w:cs="Arial"/>
              </w:rPr>
              <w:t xml:space="preserve">ppropriateness </w:t>
            </w:r>
            <w:r>
              <w:rPr>
                <w:rFonts w:cs="Arial"/>
              </w:rPr>
              <w:t>d</w:t>
            </w:r>
            <w:r w:rsidRPr="00FB392D">
              <w:rPr>
                <w:rFonts w:cs="Arial"/>
              </w:rPr>
              <w:t xml:space="preserve">efinitions; see </w:t>
            </w:r>
            <w:hyperlink w:anchor="_Appendix_7:_Surgical" w:history="1">
              <w:r w:rsidRPr="00FB392D">
                <w:rPr>
                  <w:rStyle w:val="Hyperlink"/>
                  <w:rFonts w:cs="Arial"/>
                  <w:iCs/>
                </w:rPr>
                <w:t xml:space="preserve">Appendix </w:t>
              </w:r>
              <w:r>
                <w:rPr>
                  <w:rStyle w:val="Hyperlink"/>
                  <w:rFonts w:cs="Arial"/>
                  <w:iCs/>
                </w:rPr>
                <w:t>7</w:t>
              </w:r>
            </w:hyperlink>
            <w:r w:rsidRPr="00FB392D">
              <w:rPr>
                <w:rFonts w:cs="Arial"/>
              </w:rPr>
              <w:t>.</w:t>
            </w:r>
          </w:p>
        </w:tc>
      </w:tr>
      <w:tr w:rsidR="00572F25" w:rsidRPr="00FB392D" w14:paraId="022D54D9" w14:textId="77777777" w:rsidTr="004800B5">
        <w:tc>
          <w:tcPr>
            <w:tcW w:w="2552" w:type="dxa"/>
            <w:tcBorders>
              <w:top w:val="single" w:sz="4" w:space="0" w:color="auto"/>
              <w:left w:val="single" w:sz="4" w:space="0" w:color="auto"/>
              <w:bottom w:val="single" w:sz="4" w:space="0" w:color="auto"/>
              <w:right w:val="single" w:sz="4" w:space="0" w:color="auto"/>
            </w:tcBorders>
            <w:vAlign w:val="center"/>
          </w:tcPr>
          <w:p w14:paraId="5E714755" w14:textId="77777777" w:rsidR="00572F25" w:rsidRPr="00FB392D" w:rsidRDefault="00572F25" w:rsidP="00140544">
            <w:pPr>
              <w:spacing w:before="80" w:after="80"/>
              <w:rPr>
                <w:rFonts w:cs="Arial"/>
              </w:rPr>
            </w:pPr>
            <w:r w:rsidRPr="00FB392D">
              <w:rPr>
                <w:rFonts w:cs="Arial"/>
              </w:rPr>
              <w:t>Initial dose</w:t>
            </w:r>
          </w:p>
        </w:tc>
        <w:tc>
          <w:tcPr>
            <w:tcW w:w="7087" w:type="dxa"/>
            <w:tcBorders>
              <w:top w:val="single" w:sz="4" w:space="0" w:color="auto"/>
              <w:left w:val="single" w:sz="4" w:space="0" w:color="auto"/>
              <w:bottom w:val="single" w:sz="4" w:space="0" w:color="auto"/>
              <w:right w:val="single" w:sz="4" w:space="0" w:color="auto"/>
            </w:tcBorders>
            <w:vAlign w:val="center"/>
          </w:tcPr>
          <w:p w14:paraId="3ACA6910" w14:textId="77777777" w:rsidR="00572F25" w:rsidRPr="00FB392D" w:rsidRDefault="00572F25" w:rsidP="00140544">
            <w:pPr>
              <w:pStyle w:val="Default"/>
              <w:spacing w:before="80" w:after="80"/>
              <w:contextualSpacing/>
              <w:rPr>
                <w:sz w:val="22"/>
                <w:szCs w:val="22"/>
              </w:rPr>
            </w:pPr>
            <w:r w:rsidRPr="00FB392D">
              <w:rPr>
                <w:sz w:val="22"/>
                <w:szCs w:val="22"/>
              </w:rPr>
              <w:t>The first dose of an antimicrobial administered either immediately prior to or during the surgical procedure for the purpose of prophylaxis.</w:t>
            </w:r>
          </w:p>
        </w:tc>
      </w:tr>
      <w:tr w:rsidR="00572F25" w:rsidRPr="00FB392D" w14:paraId="6971A714" w14:textId="77777777" w:rsidTr="004800B5">
        <w:trPr>
          <w:cnfStyle w:val="000000100000" w:firstRow="0" w:lastRow="0" w:firstColumn="0" w:lastColumn="0" w:oddVBand="0" w:evenVBand="0" w:oddHBand="1" w:evenHBand="0" w:firstRowFirstColumn="0" w:firstRowLastColumn="0" w:lastRowFirstColumn="0" w:lastRowLastColumn="0"/>
        </w:trPr>
        <w:tc>
          <w:tcPr>
            <w:tcW w:w="2552" w:type="dxa"/>
            <w:tcBorders>
              <w:top w:val="single" w:sz="4" w:space="0" w:color="auto"/>
              <w:left w:val="single" w:sz="4" w:space="0" w:color="auto"/>
              <w:bottom w:val="single" w:sz="4" w:space="0" w:color="auto"/>
              <w:right w:val="single" w:sz="4" w:space="0" w:color="auto"/>
            </w:tcBorders>
            <w:vAlign w:val="center"/>
          </w:tcPr>
          <w:p w14:paraId="201CA7A1" w14:textId="77777777" w:rsidR="00572F25" w:rsidRPr="00FB392D" w:rsidRDefault="00572F25" w:rsidP="00140544">
            <w:pPr>
              <w:spacing w:before="80" w:after="80"/>
              <w:rPr>
                <w:rFonts w:cs="Arial"/>
              </w:rPr>
            </w:pPr>
            <w:r w:rsidRPr="00FB392D">
              <w:rPr>
                <w:rFonts w:cs="Arial"/>
              </w:rPr>
              <w:t>Local guidelines</w:t>
            </w:r>
          </w:p>
        </w:tc>
        <w:tc>
          <w:tcPr>
            <w:tcW w:w="7087" w:type="dxa"/>
            <w:tcBorders>
              <w:top w:val="single" w:sz="4" w:space="0" w:color="auto"/>
              <w:left w:val="single" w:sz="4" w:space="0" w:color="auto"/>
              <w:bottom w:val="single" w:sz="4" w:space="0" w:color="auto"/>
              <w:right w:val="single" w:sz="4" w:space="0" w:color="auto"/>
            </w:tcBorders>
            <w:vAlign w:val="center"/>
          </w:tcPr>
          <w:p w14:paraId="06579812" w14:textId="77777777" w:rsidR="00572F25" w:rsidRPr="00FB392D" w:rsidRDefault="00572F25" w:rsidP="00140544">
            <w:pPr>
              <w:pStyle w:val="Default"/>
              <w:spacing w:before="80" w:after="80" w:line="276" w:lineRule="auto"/>
              <w:contextualSpacing/>
              <w:rPr>
                <w:sz w:val="22"/>
                <w:szCs w:val="22"/>
              </w:rPr>
            </w:pPr>
            <w:r w:rsidRPr="00FB392D">
              <w:rPr>
                <w:sz w:val="22"/>
                <w:szCs w:val="22"/>
              </w:rPr>
              <w:t>Local guidelines must be authorised and readily available on wards or on the hospital intranet; exceptions include paediatric and neonatal guidelines from an Australian children’s hospital and links to other official guidelines within a facility’s network</w:t>
            </w:r>
            <w:r w:rsidRPr="00C27AA2">
              <w:rPr>
                <w:iCs/>
                <w:sz w:val="22"/>
                <w:szCs w:val="22"/>
              </w:rPr>
              <w:t>.</w:t>
            </w:r>
          </w:p>
        </w:tc>
      </w:tr>
      <w:tr w:rsidR="00572F25" w:rsidRPr="00FB392D" w14:paraId="25365A37" w14:textId="77777777" w:rsidTr="004800B5">
        <w:tc>
          <w:tcPr>
            <w:tcW w:w="2552" w:type="dxa"/>
            <w:tcBorders>
              <w:top w:val="single" w:sz="4" w:space="0" w:color="auto"/>
              <w:left w:val="single" w:sz="4" w:space="0" w:color="auto"/>
              <w:bottom w:val="single" w:sz="4" w:space="0" w:color="auto"/>
              <w:right w:val="single" w:sz="4" w:space="0" w:color="auto"/>
            </w:tcBorders>
            <w:vAlign w:val="center"/>
          </w:tcPr>
          <w:p w14:paraId="4823A17A" w14:textId="77777777" w:rsidR="00572F25" w:rsidRPr="00FB392D" w:rsidRDefault="00572F25" w:rsidP="00140544">
            <w:pPr>
              <w:spacing w:before="80" w:after="80"/>
              <w:rPr>
                <w:rFonts w:cs="Arial"/>
              </w:rPr>
            </w:pPr>
            <w:r w:rsidRPr="00FB392D">
              <w:rPr>
                <w:rFonts w:cs="Arial"/>
              </w:rPr>
              <w:lastRenderedPageBreak/>
              <w:t xml:space="preserve">Not assessable prescribing </w:t>
            </w:r>
          </w:p>
        </w:tc>
        <w:tc>
          <w:tcPr>
            <w:tcW w:w="7087" w:type="dxa"/>
            <w:tcBorders>
              <w:top w:val="single" w:sz="4" w:space="0" w:color="auto"/>
              <w:left w:val="single" w:sz="4" w:space="0" w:color="auto"/>
              <w:bottom w:val="single" w:sz="4" w:space="0" w:color="auto"/>
              <w:right w:val="single" w:sz="4" w:space="0" w:color="auto"/>
            </w:tcBorders>
          </w:tcPr>
          <w:p w14:paraId="19F69ECA" w14:textId="77777777" w:rsidR="00572F25" w:rsidRPr="00FB392D" w:rsidRDefault="00572F25" w:rsidP="00140544">
            <w:pPr>
              <w:spacing w:before="80" w:after="80"/>
              <w:rPr>
                <w:rFonts w:cs="Arial"/>
              </w:rPr>
            </w:pPr>
            <w:r w:rsidRPr="00FB392D">
              <w:rPr>
                <w:rFonts w:cs="Arial"/>
              </w:rPr>
              <w:t xml:space="preserve">A prescription that is deemed </w:t>
            </w:r>
            <w:r w:rsidRPr="00FB392D">
              <w:rPr>
                <w:rFonts w:cs="Arial"/>
                <w:b/>
              </w:rPr>
              <w:t>not assessable</w:t>
            </w:r>
            <w:r w:rsidRPr="00FB392D">
              <w:rPr>
                <w:rFonts w:cs="Arial"/>
              </w:rPr>
              <w:t xml:space="preserve"> by the Surgical NAPS </w:t>
            </w:r>
            <w:r>
              <w:rPr>
                <w:rFonts w:cs="Arial"/>
              </w:rPr>
              <w:t>a</w:t>
            </w:r>
            <w:r w:rsidRPr="00FB392D">
              <w:rPr>
                <w:rFonts w:cs="Arial"/>
              </w:rPr>
              <w:t xml:space="preserve">ppropriateness </w:t>
            </w:r>
            <w:r>
              <w:rPr>
                <w:rFonts w:cs="Arial"/>
              </w:rPr>
              <w:t>d</w:t>
            </w:r>
            <w:r w:rsidRPr="00FB392D">
              <w:rPr>
                <w:rFonts w:cs="Arial"/>
              </w:rPr>
              <w:t xml:space="preserve">efinitions; see </w:t>
            </w:r>
            <w:hyperlink w:anchor="_Appendix_7:_Surgical" w:history="1">
              <w:r w:rsidRPr="00FB392D">
                <w:rPr>
                  <w:rStyle w:val="Hyperlink"/>
                  <w:rFonts w:cs="Arial"/>
                  <w:iCs/>
                </w:rPr>
                <w:t xml:space="preserve">Appendix </w:t>
              </w:r>
              <w:r>
                <w:rPr>
                  <w:rStyle w:val="Hyperlink"/>
                  <w:rFonts w:cs="Arial"/>
                  <w:iCs/>
                </w:rPr>
                <w:t>7</w:t>
              </w:r>
            </w:hyperlink>
            <w:r w:rsidRPr="00FB392D">
              <w:rPr>
                <w:rFonts w:cs="Arial"/>
              </w:rPr>
              <w:t>.</w:t>
            </w:r>
          </w:p>
        </w:tc>
      </w:tr>
      <w:tr w:rsidR="00572F25" w:rsidRPr="00FB392D" w14:paraId="3D318953" w14:textId="77777777" w:rsidTr="004800B5">
        <w:trPr>
          <w:cnfStyle w:val="000000100000" w:firstRow="0" w:lastRow="0" w:firstColumn="0" w:lastColumn="0" w:oddVBand="0" w:evenVBand="0" w:oddHBand="1" w:evenHBand="0" w:firstRowFirstColumn="0" w:firstRowLastColumn="0" w:lastRowFirstColumn="0" w:lastRowLastColumn="0"/>
        </w:trPr>
        <w:tc>
          <w:tcPr>
            <w:tcW w:w="2552" w:type="dxa"/>
            <w:tcBorders>
              <w:top w:val="single" w:sz="4" w:space="0" w:color="auto"/>
              <w:left w:val="single" w:sz="4" w:space="0" w:color="auto"/>
              <w:bottom w:val="single" w:sz="4" w:space="0" w:color="auto"/>
              <w:right w:val="single" w:sz="4" w:space="0" w:color="auto"/>
            </w:tcBorders>
            <w:vAlign w:val="center"/>
          </w:tcPr>
          <w:p w14:paraId="312FB79D" w14:textId="77777777" w:rsidR="00572F25" w:rsidRPr="00FB392D" w:rsidRDefault="00572F25" w:rsidP="00140544">
            <w:pPr>
              <w:spacing w:before="80" w:after="80"/>
              <w:rPr>
                <w:rFonts w:cs="Arial"/>
              </w:rPr>
            </w:pPr>
            <w:r w:rsidRPr="00FB392D">
              <w:rPr>
                <w:rFonts w:cs="Arial"/>
              </w:rPr>
              <w:t xml:space="preserve">Optimal prescribing </w:t>
            </w:r>
          </w:p>
        </w:tc>
        <w:tc>
          <w:tcPr>
            <w:tcW w:w="7087" w:type="dxa"/>
            <w:tcBorders>
              <w:top w:val="single" w:sz="4" w:space="0" w:color="auto"/>
              <w:left w:val="single" w:sz="4" w:space="0" w:color="auto"/>
              <w:bottom w:val="single" w:sz="4" w:space="0" w:color="auto"/>
              <w:right w:val="single" w:sz="4" w:space="0" w:color="auto"/>
            </w:tcBorders>
          </w:tcPr>
          <w:p w14:paraId="0EA3CE64" w14:textId="77777777" w:rsidR="00572F25" w:rsidRPr="00FB392D" w:rsidRDefault="00572F25" w:rsidP="00140544">
            <w:pPr>
              <w:spacing w:before="80" w:after="80"/>
              <w:rPr>
                <w:rFonts w:cs="Arial"/>
              </w:rPr>
            </w:pPr>
            <w:r w:rsidRPr="00FB392D">
              <w:rPr>
                <w:rFonts w:cs="Arial"/>
              </w:rPr>
              <w:t xml:space="preserve">A prescription that is deemed </w:t>
            </w:r>
            <w:r w:rsidRPr="00FB392D">
              <w:rPr>
                <w:rFonts w:cs="Arial"/>
                <w:b/>
              </w:rPr>
              <w:t>optimal</w:t>
            </w:r>
            <w:r w:rsidRPr="00FB392D">
              <w:rPr>
                <w:rFonts w:cs="Arial"/>
              </w:rPr>
              <w:t xml:space="preserve"> by the Surgical NAPS </w:t>
            </w:r>
            <w:r>
              <w:rPr>
                <w:rFonts w:cs="Arial"/>
              </w:rPr>
              <w:t>a</w:t>
            </w:r>
            <w:r w:rsidRPr="00FB392D">
              <w:rPr>
                <w:rFonts w:cs="Arial"/>
              </w:rPr>
              <w:t xml:space="preserve">ppropriateness </w:t>
            </w:r>
            <w:r>
              <w:rPr>
                <w:rFonts w:cs="Arial"/>
              </w:rPr>
              <w:t>d</w:t>
            </w:r>
            <w:r w:rsidRPr="00FB392D">
              <w:rPr>
                <w:rFonts w:cs="Arial"/>
              </w:rPr>
              <w:t xml:space="preserve">efinitions; see </w:t>
            </w:r>
            <w:hyperlink w:anchor="_Appendix_7:_Surgical" w:history="1">
              <w:r w:rsidRPr="00FB392D">
                <w:rPr>
                  <w:rStyle w:val="Hyperlink"/>
                  <w:rFonts w:cs="Arial"/>
                  <w:iCs/>
                </w:rPr>
                <w:t xml:space="preserve">Appendix </w:t>
              </w:r>
              <w:r>
                <w:rPr>
                  <w:rStyle w:val="Hyperlink"/>
                  <w:rFonts w:cs="Arial"/>
                  <w:iCs/>
                </w:rPr>
                <w:t>7</w:t>
              </w:r>
            </w:hyperlink>
            <w:r w:rsidRPr="00FB392D">
              <w:rPr>
                <w:rFonts w:cs="Arial"/>
              </w:rPr>
              <w:t xml:space="preserve">. </w:t>
            </w:r>
          </w:p>
        </w:tc>
      </w:tr>
      <w:tr w:rsidR="00572F25" w:rsidRPr="00FB392D" w14:paraId="447A8227" w14:textId="77777777" w:rsidTr="004800B5">
        <w:tc>
          <w:tcPr>
            <w:tcW w:w="2552" w:type="dxa"/>
            <w:tcBorders>
              <w:top w:val="single" w:sz="4" w:space="0" w:color="auto"/>
              <w:left w:val="single" w:sz="4" w:space="0" w:color="auto"/>
              <w:bottom w:val="single" w:sz="4" w:space="0" w:color="auto"/>
              <w:right w:val="single" w:sz="4" w:space="0" w:color="auto"/>
            </w:tcBorders>
            <w:vAlign w:val="center"/>
          </w:tcPr>
          <w:p w14:paraId="306E1B6E" w14:textId="77777777" w:rsidR="00572F25" w:rsidRPr="00FB392D" w:rsidRDefault="00572F25" w:rsidP="00140544">
            <w:pPr>
              <w:spacing w:before="80" w:after="80"/>
              <w:rPr>
                <w:rFonts w:cs="Arial"/>
              </w:rPr>
            </w:pPr>
            <w:r w:rsidRPr="00FB392D">
              <w:rPr>
                <w:rFonts w:cs="Arial"/>
              </w:rPr>
              <w:t>Peer group</w:t>
            </w:r>
            <w:r>
              <w:rPr>
                <w:rFonts w:cs="Arial"/>
                <w:vertAlign w:val="superscript"/>
              </w:rPr>
              <w:t>8</w:t>
            </w:r>
          </w:p>
        </w:tc>
        <w:tc>
          <w:tcPr>
            <w:tcW w:w="7087" w:type="dxa"/>
            <w:tcBorders>
              <w:top w:val="single" w:sz="4" w:space="0" w:color="auto"/>
              <w:left w:val="single" w:sz="4" w:space="0" w:color="auto"/>
              <w:bottom w:val="single" w:sz="4" w:space="0" w:color="auto"/>
              <w:right w:val="single" w:sz="4" w:space="0" w:color="auto"/>
            </w:tcBorders>
          </w:tcPr>
          <w:p w14:paraId="0B1F227B" w14:textId="77777777" w:rsidR="00572F25" w:rsidRPr="00FB392D" w:rsidRDefault="00572F25" w:rsidP="00140544">
            <w:pPr>
              <w:spacing w:before="80" w:after="80"/>
              <w:rPr>
                <w:rFonts w:cs="Arial"/>
              </w:rPr>
            </w:pPr>
            <w:r w:rsidRPr="00FB392D">
              <w:rPr>
                <w:rFonts w:cs="Arial"/>
              </w:rPr>
              <w:t>A hospital peer group supports comparisons that reflect the purpose, resources and role of each hospital and is defined by the type and nature of the services provided</w:t>
            </w:r>
            <w:r>
              <w:rPr>
                <w:rFonts w:cs="Arial"/>
              </w:rPr>
              <w:t>. It is</w:t>
            </w:r>
            <w:r w:rsidRPr="00FB392D">
              <w:rPr>
                <w:rFonts w:cs="Arial"/>
              </w:rPr>
              <w:t xml:space="preserve"> based on data from a broad range of sources</w:t>
            </w:r>
            <w:r>
              <w:rPr>
                <w:rFonts w:cs="Arial"/>
              </w:rPr>
              <w:t>,</w:t>
            </w:r>
            <w:r w:rsidRPr="00FB392D">
              <w:rPr>
                <w:rFonts w:cs="Arial"/>
              </w:rPr>
              <w:t xml:space="preserve"> intended to be multipurpose</w:t>
            </w:r>
            <w:r>
              <w:rPr>
                <w:rFonts w:cs="Arial"/>
              </w:rPr>
              <w:t>,</w:t>
            </w:r>
            <w:r w:rsidRPr="00FB392D">
              <w:rPr>
                <w:rFonts w:cs="Arial"/>
              </w:rPr>
              <w:t xml:space="preserve"> and stable over time. </w:t>
            </w:r>
          </w:p>
        </w:tc>
      </w:tr>
      <w:tr w:rsidR="00572F25" w:rsidRPr="00FB392D" w14:paraId="2735C0A0" w14:textId="77777777" w:rsidTr="004800B5">
        <w:trPr>
          <w:cnfStyle w:val="000000100000" w:firstRow="0" w:lastRow="0" w:firstColumn="0" w:lastColumn="0" w:oddVBand="0" w:evenVBand="0" w:oddHBand="1" w:evenHBand="0" w:firstRowFirstColumn="0" w:firstRowLastColumn="0" w:lastRowFirstColumn="0" w:lastRowLastColumn="0"/>
        </w:trPr>
        <w:tc>
          <w:tcPr>
            <w:tcW w:w="2552" w:type="dxa"/>
            <w:tcBorders>
              <w:top w:val="single" w:sz="4" w:space="0" w:color="auto"/>
              <w:left w:val="single" w:sz="4" w:space="0" w:color="auto"/>
              <w:bottom w:val="single" w:sz="4" w:space="0" w:color="auto"/>
              <w:right w:val="single" w:sz="4" w:space="0" w:color="auto"/>
            </w:tcBorders>
            <w:vAlign w:val="center"/>
          </w:tcPr>
          <w:p w14:paraId="2ADFF839" w14:textId="77777777" w:rsidR="00572F25" w:rsidRPr="00FB392D" w:rsidRDefault="00572F25" w:rsidP="00140544">
            <w:pPr>
              <w:spacing w:before="80" w:after="80"/>
              <w:rPr>
                <w:rFonts w:cs="Arial"/>
              </w:rPr>
            </w:pPr>
            <w:r w:rsidRPr="00FB392D">
              <w:rPr>
                <w:rFonts w:cs="Arial"/>
              </w:rPr>
              <w:t>Post</w:t>
            </w:r>
            <w:r>
              <w:rPr>
                <w:rFonts w:cs="Arial"/>
              </w:rPr>
              <w:t>-</w:t>
            </w:r>
            <w:r w:rsidRPr="00FB392D">
              <w:rPr>
                <w:rFonts w:cs="Arial"/>
              </w:rPr>
              <w:t>procedural antimicrobial</w:t>
            </w:r>
          </w:p>
        </w:tc>
        <w:tc>
          <w:tcPr>
            <w:tcW w:w="7087" w:type="dxa"/>
            <w:tcBorders>
              <w:top w:val="single" w:sz="4" w:space="0" w:color="auto"/>
              <w:left w:val="single" w:sz="4" w:space="0" w:color="auto"/>
              <w:bottom w:val="single" w:sz="4" w:space="0" w:color="auto"/>
              <w:right w:val="single" w:sz="4" w:space="0" w:color="auto"/>
            </w:tcBorders>
            <w:vAlign w:val="center"/>
          </w:tcPr>
          <w:p w14:paraId="6D426551" w14:textId="77777777" w:rsidR="00572F25" w:rsidRPr="00FB392D" w:rsidRDefault="00572F25" w:rsidP="00140544">
            <w:pPr>
              <w:spacing w:before="80" w:after="80"/>
              <w:rPr>
                <w:rFonts w:cs="Arial"/>
              </w:rPr>
            </w:pPr>
            <w:r w:rsidRPr="00FB392D">
              <w:rPr>
                <w:rFonts w:cs="Arial"/>
              </w:rPr>
              <w:t>An antimicrobial prescribed following, but directly relating to, the procedure; each prescription of the antimicrobial is recorded, including any inpatient or discharge scripts.</w:t>
            </w:r>
          </w:p>
        </w:tc>
      </w:tr>
      <w:tr w:rsidR="00572F25" w:rsidRPr="00FB392D" w14:paraId="0473849C" w14:textId="77777777" w:rsidTr="004800B5">
        <w:tc>
          <w:tcPr>
            <w:tcW w:w="2552" w:type="dxa"/>
            <w:tcBorders>
              <w:top w:val="single" w:sz="4" w:space="0" w:color="auto"/>
              <w:left w:val="single" w:sz="4" w:space="0" w:color="auto"/>
              <w:bottom w:val="single" w:sz="4" w:space="0" w:color="auto"/>
              <w:right w:val="single" w:sz="4" w:space="0" w:color="auto"/>
            </w:tcBorders>
            <w:vAlign w:val="center"/>
          </w:tcPr>
          <w:p w14:paraId="542B78B0" w14:textId="77777777" w:rsidR="00572F25" w:rsidRPr="00FB392D" w:rsidRDefault="00572F25" w:rsidP="00140544">
            <w:pPr>
              <w:spacing w:before="80" w:after="80"/>
              <w:rPr>
                <w:rFonts w:cs="Arial"/>
              </w:rPr>
            </w:pPr>
            <w:r w:rsidRPr="00FB392D">
              <w:rPr>
                <w:rFonts w:cs="Arial"/>
              </w:rPr>
              <w:t>Post</w:t>
            </w:r>
            <w:r>
              <w:rPr>
                <w:rFonts w:cs="Arial"/>
              </w:rPr>
              <w:t>-</w:t>
            </w:r>
            <w:r w:rsidRPr="00FB392D">
              <w:rPr>
                <w:rFonts w:cs="Arial"/>
              </w:rPr>
              <w:t>procedural antimicrobial prophylaxis</w:t>
            </w:r>
          </w:p>
        </w:tc>
        <w:tc>
          <w:tcPr>
            <w:tcW w:w="7087" w:type="dxa"/>
            <w:tcBorders>
              <w:top w:val="single" w:sz="4" w:space="0" w:color="auto"/>
              <w:left w:val="single" w:sz="4" w:space="0" w:color="auto"/>
              <w:bottom w:val="single" w:sz="4" w:space="0" w:color="auto"/>
              <w:right w:val="single" w:sz="4" w:space="0" w:color="auto"/>
            </w:tcBorders>
            <w:vAlign w:val="center"/>
          </w:tcPr>
          <w:p w14:paraId="22C1EB7B" w14:textId="77777777" w:rsidR="00572F25" w:rsidRPr="00FB392D" w:rsidRDefault="00572F25" w:rsidP="00140544">
            <w:pPr>
              <w:spacing w:before="80" w:after="80"/>
              <w:rPr>
                <w:rFonts w:cs="Arial"/>
              </w:rPr>
            </w:pPr>
            <w:r w:rsidRPr="00FB392D">
              <w:rPr>
                <w:rFonts w:cs="Arial"/>
              </w:rPr>
              <w:t>All antimicrobials prescribed following, but directly relating to, the procedure for the purposes of prophylaxis; each prescription course of the antimicrobial is recorded and reported, including any inpatient or discharge scripts.</w:t>
            </w:r>
          </w:p>
        </w:tc>
      </w:tr>
      <w:tr w:rsidR="00572F25" w:rsidRPr="00FB392D" w14:paraId="21D832BB" w14:textId="77777777" w:rsidTr="004800B5">
        <w:trPr>
          <w:cnfStyle w:val="000000100000" w:firstRow="0" w:lastRow="0" w:firstColumn="0" w:lastColumn="0" w:oddVBand="0" w:evenVBand="0" w:oddHBand="1" w:evenHBand="0" w:firstRowFirstColumn="0" w:firstRowLastColumn="0" w:lastRowFirstColumn="0" w:lastRowLastColumn="0"/>
        </w:trPr>
        <w:tc>
          <w:tcPr>
            <w:tcW w:w="2552" w:type="dxa"/>
            <w:tcBorders>
              <w:top w:val="single" w:sz="4" w:space="0" w:color="auto"/>
              <w:left w:val="single" w:sz="4" w:space="0" w:color="auto"/>
              <w:bottom w:val="single" w:sz="4" w:space="0" w:color="auto"/>
              <w:right w:val="single" w:sz="4" w:space="0" w:color="auto"/>
            </w:tcBorders>
            <w:vAlign w:val="center"/>
          </w:tcPr>
          <w:p w14:paraId="5EB30D9E" w14:textId="77777777" w:rsidR="00572F25" w:rsidRPr="00FB392D" w:rsidRDefault="00572F25" w:rsidP="00140544">
            <w:pPr>
              <w:spacing w:before="80" w:after="80"/>
              <w:rPr>
                <w:rFonts w:cs="Arial"/>
              </w:rPr>
            </w:pPr>
            <w:r w:rsidRPr="00FB392D">
              <w:rPr>
                <w:rFonts w:cs="Arial"/>
              </w:rPr>
              <w:t>Prescription</w:t>
            </w:r>
          </w:p>
        </w:tc>
        <w:tc>
          <w:tcPr>
            <w:tcW w:w="7087" w:type="dxa"/>
            <w:tcBorders>
              <w:top w:val="single" w:sz="4" w:space="0" w:color="auto"/>
              <w:left w:val="single" w:sz="4" w:space="0" w:color="auto"/>
              <w:bottom w:val="single" w:sz="4" w:space="0" w:color="auto"/>
              <w:right w:val="single" w:sz="4" w:space="0" w:color="auto"/>
            </w:tcBorders>
            <w:vAlign w:val="center"/>
          </w:tcPr>
          <w:p w14:paraId="161E420A" w14:textId="77777777" w:rsidR="00572F25" w:rsidRPr="00FB392D" w:rsidRDefault="00572F25" w:rsidP="00140544">
            <w:pPr>
              <w:pStyle w:val="Default"/>
              <w:spacing w:before="80" w:after="80"/>
              <w:contextualSpacing/>
              <w:rPr>
                <w:color w:val="auto"/>
                <w:sz w:val="22"/>
                <w:szCs w:val="22"/>
              </w:rPr>
            </w:pPr>
            <w:r w:rsidRPr="00FB392D">
              <w:rPr>
                <w:sz w:val="22"/>
                <w:szCs w:val="22"/>
              </w:rPr>
              <w:t>Any antimicrobial prescribed</w:t>
            </w:r>
            <w:r>
              <w:rPr>
                <w:sz w:val="22"/>
                <w:szCs w:val="22"/>
              </w:rPr>
              <w:t>,</w:t>
            </w:r>
            <w:r w:rsidRPr="00FB392D">
              <w:rPr>
                <w:sz w:val="22"/>
                <w:szCs w:val="22"/>
              </w:rPr>
              <w:t xml:space="preserve"> either </w:t>
            </w:r>
            <w:r>
              <w:rPr>
                <w:sz w:val="22"/>
                <w:szCs w:val="22"/>
              </w:rPr>
              <w:t xml:space="preserve">as </w:t>
            </w:r>
            <w:r w:rsidRPr="00FB392D">
              <w:rPr>
                <w:sz w:val="22"/>
                <w:szCs w:val="22"/>
              </w:rPr>
              <w:t>a single dose or as a course</w:t>
            </w:r>
            <w:r>
              <w:rPr>
                <w:sz w:val="22"/>
                <w:szCs w:val="22"/>
              </w:rPr>
              <w:t>,</w:t>
            </w:r>
            <w:r w:rsidRPr="00FB392D">
              <w:rPr>
                <w:sz w:val="22"/>
                <w:szCs w:val="22"/>
              </w:rPr>
              <w:t xml:space="preserve"> following the surgical procedure.</w:t>
            </w:r>
          </w:p>
        </w:tc>
      </w:tr>
      <w:tr w:rsidR="00572F25" w:rsidRPr="00FB392D" w14:paraId="58137C5A" w14:textId="77777777" w:rsidTr="004800B5">
        <w:tc>
          <w:tcPr>
            <w:tcW w:w="2552" w:type="dxa"/>
            <w:tcBorders>
              <w:top w:val="single" w:sz="4" w:space="0" w:color="auto"/>
              <w:left w:val="single" w:sz="4" w:space="0" w:color="auto"/>
              <w:bottom w:val="single" w:sz="4" w:space="0" w:color="auto"/>
              <w:right w:val="single" w:sz="4" w:space="0" w:color="auto"/>
            </w:tcBorders>
            <w:vAlign w:val="center"/>
          </w:tcPr>
          <w:p w14:paraId="7E1EF324" w14:textId="77777777" w:rsidR="00572F25" w:rsidRPr="00FB392D" w:rsidRDefault="00572F25" w:rsidP="00140544">
            <w:pPr>
              <w:spacing w:before="80" w:after="80"/>
              <w:rPr>
                <w:rFonts w:cs="Arial"/>
              </w:rPr>
            </w:pPr>
            <w:r w:rsidRPr="00FB392D">
              <w:rPr>
                <w:rFonts w:cs="Arial"/>
              </w:rPr>
              <w:t>Procedural antimicrobial</w:t>
            </w:r>
          </w:p>
        </w:tc>
        <w:tc>
          <w:tcPr>
            <w:tcW w:w="7087" w:type="dxa"/>
            <w:tcBorders>
              <w:top w:val="single" w:sz="4" w:space="0" w:color="auto"/>
              <w:left w:val="single" w:sz="4" w:space="0" w:color="auto"/>
              <w:bottom w:val="single" w:sz="4" w:space="0" w:color="auto"/>
              <w:right w:val="single" w:sz="4" w:space="0" w:color="auto"/>
            </w:tcBorders>
            <w:vAlign w:val="center"/>
          </w:tcPr>
          <w:p w14:paraId="0462A9A9" w14:textId="77777777" w:rsidR="00572F25" w:rsidRPr="00FB392D" w:rsidRDefault="00572F25" w:rsidP="00140544">
            <w:pPr>
              <w:spacing w:before="80" w:after="80"/>
              <w:rPr>
                <w:rFonts w:cs="Arial"/>
              </w:rPr>
            </w:pPr>
            <w:r w:rsidRPr="00FB392D">
              <w:rPr>
                <w:rFonts w:cs="Arial"/>
              </w:rPr>
              <w:t>An antimicrobial administered either immediately prior to or during the surgical procedure for the purpose of prophylaxis; each initial and repeat dose of the antimicrobial administered is recorded individually.</w:t>
            </w:r>
          </w:p>
        </w:tc>
      </w:tr>
      <w:tr w:rsidR="00572F25" w:rsidRPr="00FB392D" w14:paraId="6D367BA3" w14:textId="77777777" w:rsidTr="004800B5">
        <w:trPr>
          <w:cnfStyle w:val="000000100000" w:firstRow="0" w:lastRow="0" w:firstColumn="0" w:lastColumn="0" w:oddVBand="0" w:evenVBand="0" w:oddHBand="1" w:evenHBand="0" w:firstRowFirstColumn="0" w:firstRowLastColumn="0" w:lastRowFirstColumn="0" w:lastRowLastColumn="0"/>
        </w:trPr>
        <w:tc>
          <w:tcPr>
            <w:tcW w:w="2552" w:type="dxa"/>
            <w:tcBorders>
              <w:top w:val="single" w:sz="4" w:space="0" w:color="auto"/>
              <w:left w:val="single" w:sz="4" w:space="0" w:color="auto"/>
              <w:bottom w:val="single" w:sz="4" w:space="0" w:color="auto"/>
              <w:right w:val="single" w:sz="4" w:space="0" w:color="auto"/>
            </w:tcBorders>
            <w:vAlign w:val="center"/>
          </w:tcPr>
          <w:p w14:paraId="7E967F3A" w14:textId="77777777" w:rsidR="00572F25" w:rsidRPr="00FB392D" w:rsidRDefault="00572F25" w:rsidP="00140544">
            <w:pPr>
              <w:spacing w:before="80" w:after="80"/>
              <w:rPr>
                <w:rFonts w:cs="Arial"/>
              </w:rPr>
            </w:pPr>
            <w:r w:rsidRPr="00FB392D">
              <w:rPr>
                <w:rFonts w:cs="Arial"/>
              </w:rPr>
              <w:t>Procedural antimicrobial prophylaxis</w:t>
            </w:r>
          </w:p>
        </w:tc>
        <w:tc>
          <w:tcPr>
            <w:tcW w:w="7087" w:type="dxa"/>
            <w:tcBorders>
              <w:top w:val="single" w:sz="4" w:space="0" w:color="auto"/>
              <w:left w:val="single" w:sz="4" w:space="0" w:color="auto"/>
              <w:bottom w:val="single" w:sz="4" w:space="0" w:color="auto"/>
              <w:right w:val="single" w:sz="4" w:space="0" w:color="auto"/>
            </w:tcBorders>
            <w:vAlign w:val="center"/>
          </w:tcPr>
          <w:p w14:paraId="6E9BE1E8" w14:textId="77777777" w:rsidR="00572F25" w:rsidRPr="00FB392D" w:rsidRDefault="00572F25" w:rsidP="00140544">
            <w:pPr>
              <w:spacing w:before="80" w:after="80"/>
              <w:rPr>
                <w:rFonts w:cs="Arial"/>
              </w:rPr>
            </w:pPr>
            <w:r w:rsidRPr="00FB392D">
              <w:rPr>
                <w:rFonts w:cs="Arial"/>
              </w:rPr>
              <w:t>All antimicrobials administered either immediately prior to or during the surgical procedure for the purpose of prophylaxis; each dose of the antimicrobial administered is recorded and reported individually.</w:t>
            </w:r>
          </w:p>
        </w:tc>
      </w:tr>
      <w:tr w:rsidR="00572F25" w:rsidRPr="00FB392D" w14:paraId="03A37CF9" w14:textId="77777777" w:rsidTr="004800B5">
        <w:tc>
          <w:tcPr>
            <w:tcW w:w="2552" w:type="dxa"/>
            <w:tcBorders>
              <w:top w:val="single" w:sz="4" w:space="0" w:color="auto"/>
              <w:left w:val="single" w:sz="4" w:space="0" w:color="auto"/>
              <w:bottom w:val="single" w:sz="4" w:space="0" w:color="auto"/>
              <w:right w:val="single" w:sz="4" w:space="0" w:color="auto"/>
            </w:tcBorders>
            <w:vAlign w:val="center"/>
          </w:tcPr>
          <w:p w14:paraId="5E320DE1" w14:textId="77777777" w:rsidR="00572F25" w:rsidRPr="00FB392D" w:rsidRDefault="00572F25" w:rsidP="00140544">
            <w:pPr>
              <w:spacing w:before="80" w:after="80"/>
              <w:rPr>
                <w:rFonts w:cs="Arial"/>
              </w:rPr>
            </w:pPr>
            <w:r w:rsidRPr="00FB392D">
              <w:rPr>
                <w:rFonts w:cs="Arial"/>
              </w:rPr>
              <w:t>Procedure</w:t>
            </w:r>
          </w:p>
        </w:tc>
        <w:tc>
          <w:tcPr>
            <w:tcW w:w="7087" w:type="dxa"/>
            <w:tcBorders>
              <w:top w:val="single" w:sz="4" w:space="0" w:color="auto"/>
              <w:left w:val="single" w:sz="4" w:space="0" w:color="auto"/>
              <w:bottom w:val="single" w:sz="4" w:space="0" w:color="auto"/>
              <w:right w:val="single" w:sz="4" w:space="0" w:color="auto"/>
            </w:tcBorders>
            <w:vAlign w:val="center"/>
          </w:tcPr>
          <w:p w14:paraId="414B5FB5" w14:textId="77777777" w:rsidR="00572F25" w:rsidRPr="00FB392D" w:rsidRDefault="00572F25" w:rsidP="00140544">
            <w:pPr>
              <w:spacing w:before="80" w:after="80"/>
              <w:rPr>
                <w:rFonts w:cs="Arial"/>
              </w:rPr>
            </w:pPr>
            <w:r w:rsidRPr="00FB392D">
              <w:rPr>
                <w:rFonts w:cs="Arial"/>
              </w:rPr>
              <w:t xml:space="preserve">The procedure(s) performed during the surgical episode, as documented on the procedure form or in the medical record; </w:t>
            </w:r>
            <w:r w:rsidRPr="00FB392D">
              <w:rPr>
                <w:rFonts w:cs="Arial"/>
                <w:color w:val="000000"/>
              </w:rPr>
              <w:t xml:space="preserve">any procedure can be included, </w:t>
            </w:r>
            <w:proofErr w:type="gramStart"/>
            <w:r w:rsidRPr="00FB392D">
              <w:rPr>
                <w:rFonts w:cs="Arial"/>
                <w:color w:val="000000"/>
              </w:rPr>
              <w:t>e.g.</w:t>
            </w:r>
            <w:proofErr w:type="gramEnd"/>
            <w:r w:rsidRPr="00FB392D">
              <w:rPr>
                <w:rFonts w:cs="Arial"/>
                <w:color w:val="000000"/>
              </w:rPr>
              <w:t xml:space="preserve"> colonoscopies, radiological procedures.</w:t>
            </w:r>
          </w:p>
        </w:tc>
      </w:tr>
      <w:tr w:rsidR="00572F25" w:rsidRPr="00FB392D" w14:paraId="037AFB96" w14:textId="77777777" w:rsidTr="004800B5">
        <w:trPr>
          <w:cnfStyle w:val="000000100000" w:firstRow="0" w:lastRow="0" w:firstColumn="0" w:lastColumn="0" w:oddVBand="0" w:evenVBand="0" w:oddHBand="1" w:evenHBand="0" w:firstRowFirstColumn="0" w:firstRowLastColumn="0" w:lastRowFirstColumn="0" w:lastRowLastColumn="0"/>
        </w:trPr>
        <w:tc>
          <w:tcPr>
            <w:tcW w:w="2552" w:type="dxa"/>
            <w:tcBorders>
              <w:top w:val="single" w:sz="4" w:space="0" w:color="auto"/>
              <w:left w:val="single" w:sz="4" w:space="0" w:color="auto"/>
              <w:bottom w:val="single" w:sz="4" w:space="0" w:color="auto"/>
              <w:right w:val="single" w:sz="4" w:space="0" w:color="auto"/>
            </w:tcBorders>
            <w:vAlign w:val="center"/>
          </w:tcPr>
          <w:p w14:paraId="31FE043F" w14:textId="77777777" w:rsidR="00572F25" w:rsidRPr="00FB392D" w:rsidRDefault="00572F25" w:rsidP="00140544">
            <w:pPr>
              <w:spacing w:before="80" w:after="80"/>
              <w:rPr>
                <w:rFonts w:cs="Arial"/>
              </w:rPr>
            </w:pPr>
            <w:r w:rsidRPr="00FB392D">
              <w:rPr>
                <w:rFonts w:cs="Arial"/>
              </w:rPr>
              <w:t>Procedure group</w:t>
            </w:r>
          </w:p>
        </w:tc>
        <w:tc>
          <w:tcPr>
            <w:tcW w:w="7087" w:type="dxa"/>
            <w:tcBorders>
              <w:top w:val="single" w:sz="4" w:space="0" w:color="auto"/>
              <w:left w:val="single" w:sz="4" w:space="0" w:color="auto"/>
              <w:bottom w:val="single" w:sz="4" w:space="0" w:color="auto"/>
              <w:right w:val="single" w:sz="4" w:space="0" w:color="auto"/>
            </w:tcBorders>
            <w:vAlign w:val="center"/>
          </w:tcPr>
          <w:p w14:paraId="78F5A9AB" w14:textId="77777777" w:rsidR="00572F25" w:rsidRPr="00FB392D" w:rsidRDefault="00572F25" w:rsidP="00140544">
            <w:pPr>
              <w:spacing w:before="80" w:after="80"/>
              <w:rPr>
                <w:rFonts w:cs="Arial"/>
                <w:i/>
              </w:rPr>
            </w:pPr>
            <w:r w:rsidRPr="00FB392D">
              <w:rPr>
                <w:rFonts w:cs="Arial"/>
              </w:rPr>
              <w:t xml:space="preserve">The specialty group under which each procedure is classed for reporting; see </w:t>
            </w:r>
            <w:hyperlink w:anchor="_Appendix_5:_Procedure_1" w:history="1">
              <w:r w:rsidRPr="0085785D">
                <w:rPr>
                  <w:rStyle w:val="Hyperlink"/>
                  <w:rFonts w:cs="Arial"/>
                </w:rPr>
                <w:t>Appendix 5</w:t>
              </w:r>
            </w:hyperlink>
            <w:r w:rsidRPr="00FB392D">
              <w:rPr>
                <w:rFonts w:cs="Arial"/>
                <w:i/>
              </w:rPr>
              <w:t>.</w:t>
            </w:r>
          </w:p>
        </w:tc>
      </w:tr>
      <w:tr w:rsidR="00572F25" w:rsidRPr="00FB392D" w14:paraId="0CABDDC1" w14:textId="77777777" w:rsidTr="004800B5">
        <w:tc>
          <w:tcPr>
            <w:tcW w:w="2552" w:type="dxa"/>
            <w:tcBorders>
              <w:top w:val="single" w:sz="4" w:space="0" w:color="auto"/>
              <w:left w:val="single" w:sz="4" w:space="0" w:color="auto"/>
              <w:bottom w:val="single" w:sz="4" w:space="0" w:color="auto"/>
              <w:right w:val="single" w:sz="4" w:space="0" w:color="auto"/>
            </w:tcBorders>
            <w:vAlign w:val="center"/>
          </w:tcPr>
          <w:p w14:paraId="201263B7" w14:textId="77777777" w:rsidR="00572F25" w:rsidRPr="00FB392D" w:rsidRDefault="00572F25" w:rsidP="00140544">
            <w:pPr>
              <w:spacing w:before="80" w:after="80"/>
              <w:rPr>
                <w:rFonts w:cs="Arial"/>
              </w:rPr>
            </w:pPr>
            <w:r w:rsidRPr="00FB392D">
              <w:rPr>
                <w:rFonts w:cs="Arial"/>
              </w:rPr>
              <w:t>Prophylaxis</w:t>
            </w:r>
          </w:p>
        </w:tc>
        <w:tc>
          <w:tcPr>
            <w:tcW w:w="7087" w:type="dxa"/>
            <w:tcBorders>
              <w:top w:val="single" w:sz="4" w:space="0" w:color="auto"/>
              <w:left w:val="single" w:sz="4" w:space="0" w:color="auto"/>
              <w:bottom w:val="single" w:sz="4" w:space="0" w:color="auto"/>
              <w:right w:val="single" w:sz="4" w:space="0" w:color="auto"/>
            </w:tcBorders>
            <w:vAlign w:val="center"/>
          </w:tcPr>
          <w:p w14:paraId="7C881C1F" w14:textId="77777777" w:rsidR="00572F25" w:rsidRPr="00FB392D" w:rsidRDefault="00572F25" w:rsidP="00140544">
            <w:pPr>
              <w:pStyle w:val="Default"/>
              <w:spacing w:before="80" w:after="80"/>
              <w:contextualSpacing/>
              <w:rPr>
                <w:sz w:val="22"/>
                <w:szCs w:val="22"/>
              </w:rPr>
            </w:pPr>
            <w:r w:rsidRPr="00FB392D">
              <w:rPr>
                <w:sz w:val="22"/>
                <w:szCs w:val="22"/>
              </w:rPr>
              <w:t>An antimicrobial prescribed for the prevention of surgery</w:t>
            </w:r>
            <w:r>
              <w:rPr>
                <w:sz w:val="22"/>
                <w:szCs w:val="22"/>
              </w:rPr>
              <w:t>-</w:t>
            </w:r>
            <w:r w:rsidRPr="00FB392D">
              <w:rPr>
                <w:sz w:val="22"/>
                <w:szCs w:val="22"/>
              </w:rPr>
              <w:t>related infections.</w:t>
            </w:r>
          </w:p>
        </w:tc>
      </w:tr>
      <w:tr w:rsidR="00572F25" w:rsidRPr="00FB392D" w14:paraId="156C1612" w14:textId="77777777" w:rsidTr="004800B5">
        <w:trPr>
          <w:cnfStyle w:val="000000100000" w:firstRow="0" w:lastRow="0" w:firstColumn="0" w:lastColumn="0" w:oddVBand="0" w:evenVBand="0" w:oddHBand="1" w:evenHBand="0" w:firstRowFirstColumn="0" w:firstRowLastColumn="0" w:lastRowFirstColumn="0" w:lastRowLastColumn="0"/>
        </w:trPr>
        <w:tc>
          <w:tcPr>
            <w:tcW w:w="2552" w:type="dxa"/>
            <w:tcBorders>
              <w:top w:val="single" w:sz="4" w:space="0" w:color="auto"/>
              <w:left w:val="single" w:sz="4" w:space="0" w:color="auto"/>
              <w:bottom w:val="single" w:sz="4" w:space="0" w:color="auto"/>
              <w:right w:val="single" w:sz="4" w:space="0" w:color="auto"/>
            </w:tcBorders>
            <w:vAlign w:val="center"/>
          </w:tcPr>
          <w:p w14:paraId="3866FEC5" w14:textId="77777777" w:rsidR="00572F25" w:rsidRPr="00FB392D" w:rsidRDefault="00572F25" w:rsidP="00140544">
            <w:pPr>
              <w:spacing w:before="80" w:after="80"/>
              <w:rPr>
                <w:rFonts w:cs="Arial"/>
              </w:rPr>
            </w:pPr>
            <w:r w:rsidRPr="00FB392D">
              <w:rPr>
                <w:rFonts w:cs="Arial"/>
              </w:rPr>
              <w:t>Remoteness classification</w:t>
            </w:r>
            <w:r>
              <w:rPr>
                <w:rFonts w:cs="Arial"/>
                <w:vertAlign w:val="superscript"/>
              </w:rPr>
              <w:t>9</w:t>
            </w:r>
          </w:p>
        </w:tc>
        <w:tc>
          <w:tcPr>
            <w:tcW w:w="7087" w:type="dxa"/>
            <w:tcBorders>
              <w:top w:val="single" w:sz="4" w:space="0" w:color="auto"/>
              <w:left w:val="single" w:sz="4" w:space="0" w:color="auto"/>
              <w:bottom w:val="single" w:sz="4" w:space="0" w:color="auto"/>
              <w:right w:val="single" w:sz="4" w:space="0" w:color="auto"/>
            </w:tcBorders>
            <w:vAlign w:val="center"/>
          </w:tcPr>
          <w:p w14:paraId="6248943F" w14:textId="77777777" w:rsidR="00572F25" w:rsidRPr="00FB392D" w:rsidRDefault="00572F25" w:rsidP="00140544">
            <w:pPr>
              <w:pStyle w:val="Default"/>
              <w:spacing w:before="80" w:after="80"/>
              <w:contextualSpacing/>
              <w:rPr>
                <w:sz w:val="22"/>
                <w:szCs w:val="22"/>
              </w:rPr>
            </w:pPr>
            <w:r w:rsidRPr="00FB392D">
              <w:rPr>
                <w:sz w:val="22"/>
                <w:szCs w:val="22"/>
              </w:rPr>
              <w:t xml:space="preserve">The Australian Standard Geographical Classification </w:t>
            </w:r>
            <w:r>
              <w:rPr>
                <w:sz w:val="22"/>
                <w:szCs w:val="22"/>
              </w:rPr>
              <w:t xml:space="preserve">– </w:t>
            </w:r>
            <w:r w:rsidRPr="00FB392D">
              <w:rPr>
                <w:sz w:val="22"/>
                <w:szCs w:val="22"/>
              </w:rPr>
              <w:t xml:space="preserve">Remoteness Area was developed in 2001 by the Australian Bureau of Statistics as a statistical geography that allows quantitative comparisons </w:t>
            </w:r>
            <w:r w:rsidRPr="00FB392D">
              <w:rPr>
                <w:color w:val="222222"/>
                <w:sz w:val="22"/>
                <w:szCs w:val="22"/>
                <w:shd w:val="clear" w:color="auto" w:fill="FFFFFF"/>
              </w:rPr>
              <w:t xml:space="preserve">based on remoteness of a point based on the physical road distance to the nearest </w:t>
            </w:r>
            <w:r>
              <w:rPr>
                <w:color w:val="222222"/>
                <w:sz w:val="22"/>
                <w:szCs w:val="22"/>
                <w:shd w:val="clear" w:color="auto" w:fill="FFFFFF"/>
              </w:rPr>
              <w:t>u</w:t>
            </w:r>
            <w:r w:rsidRPr="00FB392D">
              <w:rPr>
                <w:color w:val="222222"/>
                <w:sz w:val="22"/>
                <w:szCs w:val="22"/>
                <w:shd w:val="clear" w:color="auto" w:fill="FFFFFF"/>
              </w:rPr>
              <w:t xml:space="preserve">rban </w:t>
            </w:r>
            <w:r>
              <w:rPr>
                <w:color w:val="222222"/>
                <w:sz w:val="22"/>
                <w:szCs w:val="22"/>
                <w:shd w:val="clear" w:color="auto" w:fill="FFFFFF"/>
              </w:rPr>
              <w:t>c</w:t>
            </w:r>
            <w:r w:rsidRPr="00FB392D">
              <w:rPr>
                <w:color w:val="222222"/>
                <w:sz w:val="22"/>
                <w:szCs w:val="22"/>
                <w:shd w:val="clear" w:color="auto" w:fill="FFFFFF"/>
              </w:rPr>
              <w:t>entre.</w:t>
            </w:r>
          </w:p>
        </w:tc>
      </w:tr>
      <w:tr w:rsidR="00572F25" w:rsidRPr="00FB392D" w14:paraId="4B4F892E" w14:textId="77777777" w:rsidTr="004800B5">
        <w:tc>
          <w:tcPr>
            <w:tcW w:w="2552" w:type="dxa"/>
            <w:tcBorders>
              <w:top w:val="single" w:sz="4" w:space="0" w:color="auto"/>
              <w:left w:val="single" w:sz="4" w:space="0" w:color="auto"/>
              <w:bottom w:val="single" w:sz="4" w:space="0" w:color="auto"/>
              <w:right w:val="single" w:sz="4" w:space="0" w:color="auto"/>
            </w:tcBorders>
            <w:vAlign w:val="center"/>
          </w:tcPr>
          <w:p w14:paraId="6E977A91" w14:textId="77777777" w:rsidR="00572F25" w:rsidRPr="00FB392D" w:rsidRDefault="00572F25" w:rsidP="00140544">
            <w:pPr>
              <w:spacing w:before="80" w:after="80"/>
              <w:rPr>
                <w:rFonts w:cs="Arial"/>
              </w:rPr>
            </w:pPr>
            <w:r w:rsidRPr="00FB392D">
              <w:rPr>
                <w:rFonts w:cs="Arial"/>
              </w:rPr>
              <w:t>Repeat dose</w:t>
            </w:r>
          </w:p>
        </w:tc>
        <w:tc>
          <w:tcPr>
            <w:tcW w:w="7087" w:type="dxa"/>
            <w:tcBorders>
              <w:top w:val="single" w:sz="4" w:space="0" w:color="auto"/>
              <w:left w:val="single" w:sz="4" w:space="0" w:color="auto"/>
              <w:bottom w:val="single" w:sz="4" w:space="0" w:color="auto"/>
              <w:right w:val="single" w:sz="4" w:space="0" w:color="auto"/>
            </w:tcBorders>
            <w:vAlign w:val="center"/>
          </w:tcPr>
          <w:p w14:paraId="4445F833" w14:textId="77777777" w:rsidR="00572F25" w:rsidRPr="00FB392D" w:rsidRDefault="00572F25" w:rsidP="00140544">
            <w:pPr>
              <w:pStyle w:val="Default"/>
              <w:spacing w:before="80" w:after="80"/>
              <w:contextualSpacing/>
              <w:rPr>
                <w:sz w:val="22"/>
                <w:szCs w:val="22"/>
              </w:rPr>
            </w:pPr>
            <w:r w:rsidRPr="00FB392D">
              <w:rPr>
                <w:sz w:val="22"/>
                <w:szCs w:val="22"/>
              </w:rPr>
              <w:t>Any subsequent dose of an antimicrobial administered during the surgical procedure for the purpose of prophylaxis.</w:t>
            </w:r>
          </w:p>
        </w:tc>
      </w:tr>
      <w:tr w:rsidR="00572F25" w:rsidRPr="00FB392D" w14:paraId="0F3777C1" w14:textId="77777777" w:rsidTr="004800B5">
        <w:trPr>
          <w:cnfStyle w:val="000000100000" w:firstRow="0" w:lastRow="0" w:firstColumn="0" w:lastColumn="0" w:oddVBand="0" w:evenVBand="0" w:oddHBand="1" w:evenHBand="0" w:firstRowFirstColumn="0" w:firstRowLastColumn="0" w:lastRowFirstColumn="0" w:lastRowLastColumn="0"/>
        </w:trPr>
        <w:tc>
          <w:tcPr>
            <w:tcW w:w="2552" w:type="dxa"/>
            <w:tcBorders>
              <w:top w:val="single" w:sz="4" w:space="0" w:color="auto"/>
              <w:left w:val="single" w:sz="4" w:space="0" w:color="auto"/>
              <w:bottom w:val="single" w:sz="4" w:space="0" w:color="auto"/>
              <w:right w:val="single" w:sz="4" w:space="0" w:color="auto"/>
            </w:tcBorders>
            <w:vAlign w:val="center"/>
          </w:tcPr>
          <w:p w14:paraId="454E7C95" w14:textId="77777777" w:rsidR="00572F25" w:rsidRPr="00FB392D" w:rsidRDefault="00572F25" w:rsidP="00140544">
            <w:pPr>
              <w:spacing w:before="80" w:after="80"/>
              <w:rPr>
                <w:rFonts w:cs="Arial"/>
              </w:rPr>
            </w:pPr>
            <w:r w:rsidRPr="00FB392D">
              <w:rPr>
                <w:rFonts w:cs="Arial"/>
              </w:rPr>
              <w:t xml:space="preserve">Suboptimal prescribing </w:t>
            </w:r>
          </w:p>
        </w:tc>
        <w:tc>
          <w:tcPr>
            <w:tcW w:w="7087" w:type="dxa"/>
            <w:tcBorders>
              <w:top w:val="single" w:sz="4" w:space="0" w:color="auto"/>
              <w:left w:val="single" w:sz="4" w:space="0" w:color="auto"/>
              <w:bottom w:val="single" w:sz="4" w:space="0" w:color="auto"/>
              <w:right w:val="single" w:sz="4" w:space="0" w:color="auto"/>
            </w:tcBorders>
          </w:tcPr>
          <w:p w14:paraId="6F0E35EB" w14:textId="77777777" w:rsidR="00572F25" w:rsidRPr="00FB392D" w:rsidRDefault="00572F25" w:rsidP="00140544">
            <w:pPr>
              <w:spacing w:before="80" w:after="80"/>
              <w:rPr>
                <w:rFonts w:cs="Arial"/>
              </w:rPr>
            </w:pPr>
            <w:r w:rsidRPr="00FB392D">
              <w:rPr>
                <w:rFonts w:cs="Arial"/>
              </w:rPr>
              <w:t xml:space="preserve">A prescription that is deemed </w:t>
            </w:r>
            <w:r w:rsidRPr="00FB392D">
              <w:rPr>
                <w:rFonts w:cs="Arial"/>
                <w:b/>
              </w:rPr>
              <w:t>suboptimal</w:t>
            </w:r>
            <w:r w:rsidRPr="00FB392D">
              <w:rPr>
                <w:rFonts w:cs="Arial"/>
              </w:rPr>
              <w:t xml:space="preserve"> by the Surgical NAPS </w:t>
            </w:r>
            <w:r>
              <w:rPr>
                <w:rFonts w:cs="Arial"/>
              </w:rPr>
              <w:t>a</w:t>
            </w:r>
            <w:r w:rsidRPr="00FB392D">
              <w:rPr>
                <w:rFonts w:cs="Arial"/>
              </w:rPr>
              <w:t xml:space="preserve">ppropriateness </w:t>
            </w:r>
            <w:r>
              <w:rPr>
                <w:rFonts w:cs="Arial"/>
              </w:rPr>
              <w:t>d</w:t>
            </w:r>
            <w:r w:rsidRPr="00FB392D">
              <w:rPr>
                <w:rFonts w:cs="Arial"/>
              </w:rPr>
              <w:t xml:space="preserve">efinitions; see </w:t>
            </w:r>
            <w:hyperlink w:anchor="_Appendix_7:_Surgical" w:history="1">
              <w:r w:rsidRPr="00FB392D">
                <w:rPr>
                  <w:rStyle w:val="Hyperlink"/>
                  <w:rFonts w:cs="Arial"/>
                  <w:iCs/>
                </w:rPr>
                <w:t xml:space="preserve">Appendix </w:t>
              </w:r>
              <w:r>
                <w:rPr>
                  <w:rStyle w:val="Hyperlink"/>
                  <w:rFonts w:cs="Arial"/>
                  <w:iCs/>
                </w:rPr>
                <w:t>7</w:t>
              </w:r>
            </w:hyperlink>
            <w:r w:rsidRPr="00FB392D">
              <w:rPr>
                <w:rFonts w:cs="Arial"/>
              </w:rPr>
              <w:t>.</w:t>
            </w:r>
          </w:p>
        </w:tc>
      </w:tr>
      <w:tr w:rsidR="00572F25" w:rsidRPr="00FB392D" w14:paraId="1956FC3E" w14:textId="77777777" w:rsidTr="004800B5">
        <w:tc>
          <w:tcPr>
            <w:tcW w:w="2552" w:type="dxa"/>
            <w:tcBorders>
              <w:top w:val="single" w:sz="4" w:space="0" w:color="auto"/>
              <w:left w:val="single" w:sz="4" w:space="0" w:color="auto"/>
              <w:bottom w:val="single" w:sz="4" w:space="0" w:color="auto"/>
              <w:right w:val="single" w:sz="4" w:space="0" w:color="auto"/>
            </w:tcBorders>
            <w:vAlign w:val="center"/>
          </w:tcPr>
          <w:p w14:paraId="5DF9D27F" w14:textId="77777777" w:rsidR="00572F25" w:rsidRPr="00FB392D" w:rsidRDefault="00572F25" w:rsidP="00140544">
            <w:pPr>
              <w:spacing w:before="80" w:after="80"/>
              <w:rPr>
                <w:rFonts w:cs="Arial"/>
              </w:rPr>
            </w:pPr>
            <w:r w:rsidRPr="00FB392D">
              <w:rPr>
                <w:rFonts w:cs="Arial"/>
              </w:rPr>
              <w:lastRenderedPageBreak/>
              <w:t>Surgical episode</w:t>
            </w:r>
          </w:p>
        </w:tc>
        <w:tc>
          <w:tcPr>
            <w:tcW w:w="7087" w:type="dxa"/>
            <w:tcBorders>
              <w:top w:val="single" w:sz="4" w:space="0" w:color="auto"/>
              <w:left w:val="single" w:sz="4" w:space="0" w:color="auto"/>
              <w:bottom w:val="single" w:sz="4" w:space="0" w:color="auto"/>
              <w:right w:val="single" w:sz="4" w:space="0" w:color="auto"/>
            </w:tcBorders>
            <w:vAlign w:val="center"/>
          </w:tcPr>
          <w:p w14:paraId="540D327E" w14:textId="77777777" w:rsidR="00572F25" w:rsidRPr="00FB392D" w:rsidRDefault="00572F25" w:rsidP="00140544">
            <w:pPr>
              <w:spacing w:before="80" w:after="80"/>
              <w:rPr>
                <w:rFonts w:cs="Arial"/>
              </w:rPr>
            </w:pPr>
            <w:r w:rsidRPr="00FB392D">
              <w:rPr>
                <w:rFonts w:cs="Arial"/>
              </w:rPr>
              <w:t xml:space="preserve">Any individual </w:t>
            </w:r>
            <w:r w:rsidRPr="00FB392D">
              <w:rPr>
                <w:rFonts w:cs="Arial"/>
                <w:color w:val="000000"/>
              </w:rPr>
              <w:t>procedure or set of procedures performed together during one session and the subsequent post</w:t>
            </w:r>
            <w:r>
              <w:rPr>
                <w:rFonts w:cs="Arial"/>
                <w:color w:val="000000"/>
              </w:rPr>
              <w:t>-</w:t>
            </w:r>
            <w:r w:rsidRPr="00FB392D">
              <w:rPr>
                <w:rFonts w:cs="Arial"/>
                <w:color w:val="000000"/>
              </w:rPr>
              <w:t>procedural care associated with the procedure(s).</w:t>
            </w:r>
          </w:p>
        </w:tc>
      </w:tr>
      <w:tr w:rsidR="00572F25" w:rsidRPr="00FB392D" w14:paraId="38AFFCE7" w14:textId="77777777" w:rsidTr="004800B5">
        <w:trPr>
          <w:cnfStyle w:val="000000100000" w:firstRow="0" w:lastRow="0" w:firstColumn="0" w:lastColumn="0" w:oddVBand="0" w:evenVBand="0" w:oddHBand="1" w:evenHBand="0" w:firstRowFirstColumn="0" w:firstRowLastColumn="0" w:lastRowFirstColumn="0" w:lastRowLastColumn="0"/>
        </w:trPr>
        <w:tc>
          <w:tcPr>
            <w:tcW w:w="2552" w:type="dxa"/>
            <w:tcBorders>
              <w:top w:val="single" w:sz="4" w:space="0" w:color="auto"/>
              <w:left w:val="single" w:sz="4" w:space="0" w:color="auto"/>
              <w:bottom w:val="single" w:sz="4" w:space="0" w:color="auto"/>
              <w:right w:val="single" w:sz="4" w:space="0" w:color="auto"/>
            </w:tcBorders>
            <w:vAlign w:val="center"/>
          </w:tcPr>
          <w:p w14:paraId="3917A2A7" w14:textId="77777777" w:rsidR="00572F25" w:rsidRPr="00FB392D" w:rsidRDefault="00572F25" w:rsidP="00140544">
            <w:pPr>
              <w:spacing w:before="80" w:after="80"/>
              <w:rPr>
                <w:rFonts w:cs="Arial"/>
              </w:rPr>
            </w:pPr>
            <w:r w:rsidRPr="00FB392D">
              <w:rPr>
                <w:rFonts w:cs="Arial"/>
              </w:rPr>
              <w:t>Therapeutic Guidelines</w:t>
            </w:r>
            <w:r>
              <w:rPr>
                <w:rFonts w:cs="Arial"/>
                <w:vertAlign w:val="superscript"/>
              </w:rPr>
              <w:t>10</w:t>
            </w:r>
          </w:p>
        </w:tc>
        <w:tc>
          <w:tcPr>
            <w:tcW w:w="7087" w:type="dxa"/>
            <w:tcBorders>
              <w:top w:val="single" w:sz="4" w:space="0" w:color="auto"/>
              <w:left w:val="single" w:sz="4" w:space="0" w:color="auto"/>
              <w:bottom w:val="single" w:sz="4" w:space="0" w:color="auto"/>
              <w:right w:val="single" w:sz="4" w:space="0" w:color="auto"/>
            </w:tcBorders>
            <w:vAlign w:val="center"/>
          </w:tcPr>
          <w:p w14:paraId="5AC7A91F" w14:textId="77777777" w:rsidR="00572F25" w:rsidRPr="00FB392D" w:rsidRDefault="00572F25" w:rsidP="00140544">
            <w:pPr>
              <w:pStyle w:val="Default"/>
              <w:spacing w:before="80" w:after="80" w:line="276" w:lineRule="auto"/>
              <w:contextualSpacing/>
              <w:rPr>
                <w:sz w:val="22"/>
                <w:szCs w:val="22"/>
                <w:lang w:val="fr-FR"/>
              </w:rPr>
            </w:pPr>
            <w:r w:rsidRPr="00FB392D">
              <w:rPr>
                <w:sz w:val="22"/>
                <w:szCs w:val="22"/>
              </w:rPr>
              <w:t>Antibiotic Expert Group. Therapeutic Guidelines: Antibiotic. Version</w:t>
            </w:r>
            <w:r>
              <w:rPr>
                <w:sz w:val="22"/>
                <w:szCs w:val="22"/>
              </w:rPr>
              <w:t> </w:t>
            </w:r>
            <w:r w:rsidRPr="00FB392D">
              <w:rPr>
                <w:sz w:val="22"/>
                <w:szCs w:val="22"/>
              </w:rPr>
              <w:t xml:space="preserve">16. Melbourne: Therapeutic Guidelines Limited; 2019. </w:t>
            </w:r>
            <w:hyperlink r:id="rId65" w:history="1">
              <w:r w:rsidRPr="00FB392D">
                <w:rPr>
                  <w:rStyle w:val="Hyperlink"/>
                  <w:sz w:val="22"/>
                  <w:szCs w:val="22"/>
                </w:rPr>
                <w:t>https://www.tg.org.au/</w:t>
              </w:r>
            </w:hyperlink>
            <w:r w:rsidRPr="00FB392D">
              <w:rPr>
                <w:sz w:val="22"/>
                <w:szCs w:val="22"/>
              </w:rPr>
              <w:t xml:space="preserve"> </w:t>
            </w:r>
          </w:p>
        </w:tc>
      </w:tr>
      <w:tr w:rsidR="00572F25" w:rsidRPr="00FB392D" w14:paraId="58EAB339" w14:textId="77777777" w:rsidTr="004800B5">
        <w:tc>
          <w:tcPr>
            <w:tcW w:w="2552" w:type="dxa"/>
            <w:tcBorders>
              <w:top w:val="single" w:sz="4" w:space="0" w:color="auto"/>
              <w:left w:val="single" w:sz="4" w:space="0" w:color="auto"/>
              <w:bottom w:val="single" w:sz="4" w:space="0" w:color="auto"/>
              <w:right w:val="single" w:sz="4" w:space="0" w:color="auto"/>
            </w:tcBorders>
            <w:vAlign w:val="center"/>
          </w:tcPr>
          <w:p w14:paraId="5286004F" w14:textId="77777777" w:rsidR="00572F25" w:rsidRPr="00FB392D" w:rsidRDefault="00572F25" w:rsidP="00140544">
            <w:pPr>
              <w:spacing w:before="80" w:after="80"/>
              <w:rPr>
                <w:rFonts w:cs="Arial"/>
              </w:rPr>
            </w:pPr>
            <w:r w:rsidRPr="00FB392D">
              <w:rPr>
                <w:rFonts w:cs="Arial"/>
              </w:rPr>
              <w:t>Treatment</w:t>
            </w:r>
          </w:p>
        </w:tc>
        <w:tc>
          <w:tcPr>
            <w:tcW w:w="7087" w:type="dxa"/>
            <w:tcBorders>
              <w:top w:val="single" w:sz="4" w:space="0" w:color="auto"/>
              <w:left w:val="single" w:sz="4" w:space="0" w:color="auto"/>
              <w:bottom w:val="single" w:sz="4" w:space="0" w:color="auto"/>
              <w:right w:val="single" w:sz="4" w:space="0" w:color="auto"/>
            </w:tcBorders>
            <w:vAlign w:val="center"/>
          </w:tcPr>
          <w:p w14:paraId="79C6C118" w14:textId="77777777" w:rsidR="00572F25" w:rsidRPr="00FB392D" w:rsidRDefault="00572F25" w:rsidP="00140544">
            <w:pPr>
              <w:pStyle w:val="Default"/>
              <w:spacing w:before="80" w:after="80"/>
              <w:contextualSpacing/>
              <w:rPr>
                <w:sz w:val="22"/>
                <w:szCs w:val="22"/>
              </w:rPr>
            </w:pPr>
            <w:r w:rsidRPr="00FB392D">
              <w:rPr>
                <w:sz w:val="22"/>
                <w:szCs w:val="22"/>
              </w:rPr>
              <w:t>An antimicrobial prescribed for the treatment of infection related to the procedure.</w:t>
            </w:r>
          </w:p>
        </w:tc>
      </w:tr>
    </w:tbl>
    <w:p w14:paraId="439C9AFA" w14:textId="77777777" w:rsidR="004F4031" w:rsidRPr="00AA61F0" w:rsidRDefault="004F4031" w:rsidP="00AA61F0">
      <w:bookmarkStart w:id="185" w:name="_Toc126664225"/>
      <w:r w:rsidRPr="00AA61F0">
        <w:br w:type="page"/>
      </w:r>
    </w:p>
    <w:p w14:paraId="69F24BCC" w14:textId="77777777" w:rsidR="00572F25" w:rsidRDefault="00572F25" w:rsidP="00572F25">
      <w:pPr>
        <w:pStyle w:val="Heading1"/>
        <w:ind w:left="432" w:hanging="432"/>
      </w:pPr>
      <w:r>
        <w:lastRenderedPageBreak/>
        <w:t>Appendix 9: Abbreviations</w:t>
      </w:r>
      <w:bookmarkEnd w:id="185"/>
    </w:p>
    <w:p w14:paraId="0F52CF4B" w14:textId="77777777" w:rsidR="003F7B79" w:rsidRPr="003F7B79" w:rsidRDefault="003F7B79" w:rsidP="003F7B79"/>
    <w:tbl>
      <w:tblPr>
        <w:tblStyle w:val="PlainTable41"/>
        <w:tblW w:w="9497" w:type="dxa"/>
        <w:tblLayout w:type="fixed"/>
        <w:tblLook w:val="0620" w:firstRow="1" w:lastRow="0" w:firstColumn="0" w:lastColumn="0" w:noHBand="1" w:noVBand="1"/>
      </w:tblPr>
      <w:tblGrid>
        <w:gridCol w:w="3544"/>
        <w:gridCol w:w="5953"/>
      </w:tblGrid>
      <w:tr w:rsidR="000B5A43" w:rsidRPr="00B44272" w14:paraId="42355CD7" w14:textId="77777777" w:rsidTr="004F4031">
        <w:trPr>
          <w:cnfStyle w:val="100000000000" w:firstRow="1" w:lastRow="0" w:firstColumn="0" w:lastColumn="0" w:oddVBand="0" w:evenVBand="0" w:oddHBand="0" w:evenHBand="0" w:firstRowFirstColumn="0" w:firstRowLastColumn="0" w:lastRowFirstColumn="0" w:lastRowLastColumn="0"/>
        </w:trPr>
        <w:tc>
          <w:tcPr>
            <w:tcW w:w="3544" w:type="dxa"/>
            <w:shd w:val="clear" w:color="auto" w:fill="97A926" w:themeFill="accent6"/>
          </w:tcPr>
          <w:p w14:paraId="76E71F39" w14:textId="77777777" w:rsidR="000B5A43" w:rsidRPr="004F4031" w:rsidRDefault="004F4031" w:rsidP="00AD34AB">
            <w:pPr>
              <w:spacing w:before="80" w:after="80"/>
              <w:ind w:right="316"/>
              <w:jc w:val="center"/>
              <w:rPr>
                <w:rFonts w:cs="Arial"/>
              </w:rPr>
            </w:pPr>
            <w:r w:rsidRPr="004F4031">
              <w:rPr>
                <w:rFonts w:cs="Arial"/>
              </w:rPr>
              <w:t>Abbreviation</w:t>
            </w:r>
          </w:p>
        </w:tc>
        <w:tc>
          <w:tcPr>
            <w:tcW w:w="5953" w:type="dxa"/>
            <w:shd w:val="clear" w:color="auto" w:fill="97A926" w:themeFill="accent6"/>
          </w:tcPr>
          <w:p w14:paraId="1BA5C9A4" w14:textId="77777777" w:rsidR="000B5A43" w:rsidRPr="004F4031" w:rsidRDefault="004F4031" w:rsidP="00AD34AB">
            <w:pPr>
              <w:spacing w:before="80" w:after="80"/>
              <w:ind w:right="459"/>
              <w:rPr>
                <w:rFonts w:cs="Arial"/>
              </w:rPr>
            </w:pPr>
            <w:r w:rsidRPr="004F4031">
              <w:rPr>
                <w:rFonts w:cs="Arial"/>
              </w:rPr>
              <w:t xml:space="preserve">                              Meaning</w:t>
            </w:r>
          </w:p>
        </w:tc>
      </w:tr>
      <w:tr w:rsidR="00007764" w:rsidRPr="00B44272" w14:paraId="7EF2D54A" w14:textId="77777777" w:rsidTr="00AD34AB">
        <w:tc>
          <w:tcPr>
            <w:tcW w:w="3544" w:type="dxa"/>
          </w:tcPr>
          <w:p w14:paraId="143769CB" w14:textId="77777777" w:rsidR="00007764" w:rsidRPr="00405B7D" w:rsidRDefault="00007764" w:rsidP="00007764">
            <w:pPr>
              <w:spacing w:before="80" w:after="80"/>
              <w:ind w:right="316"/>
              <w:jc w:val="center"/>
              <w:rPr>
                <w:rFonts w:cs="Arial"/>
              </w:rPr>
            </w:pPr>
            <w:r w:rsidRPr="00405B7D">
              <w:rPr>
                <w:rFonts w:cs="Arial"/>
              </w:rPr>
              <w:t>ASCCS</w:t>
            </w:r>
          </w:p>
        </w:tc>
        <w:tc>
          <w:tcPr>
            <w:tcW w:w="5953" w:type="dxa"/>
          </w:tcPr>
          <w:p w14:paraId="2CE24160" w14:textId="77777777" w:rsidR="00007764" w:rsidRPr="00405B7D" w:rsidRDefault="00007764" w:rsidP="00007764">
            <w:pPr>
              <w:spacing w:before="80" w:after="80"/>
              <w:ind w:right="459"/>
              <w:rPr>
                <w:rFonts w:cs="Arial"/>
              </w:rPr>
            </w:pPr>
            <w:r w:rsidRPr="00405B7D">
              <w:rPr>
                <w:rFonts w:cs="Arial"/>
              </w:rPr>
              <w:t>Antimicrobial Stewardship Clinical Care Standard</w:t>
            </w:r>
          </w:p>
        </w:tc>
      </w:tr>
      <w:tr w:rsidR="00007764" w:rsidRPr="00B44272" w14:paraId="4E43D815" w14:textId="77777777" w:rsidTr="00AD34AB">
        <w:tc>
          <w:tcPr>
            <w:tcW w:w="3544" w:type="dxa"/>
          </w:tcPr>
          <w:p w14:paraId="44ED7AC8" w14:textId="77777777" w:rsidR="00007764" w:rsidRPr="00405B7D" w:rsidRDefault="00007764" w:rsidP="00007764">
            <w:pPr>
              <w:spacing w:before="80" w:after="80"/>
              <w:ind w:right="316"/>
              <w:jc w:val="center"/>
              <w:rPr>
                <w:rFonts w:cs="Arial"/>
              </w:rPr>
            </w:pPr>
            <w:r w:rsidRPr="00405B7D">
              <w:rPr>
                <w:rFonts w:cs="Arial"/>
              </w:rPr>
              <w:t>AURA</w:t>
            </w:r>
          </w:p>
        </w:tc>
        <w:tc>
          <w:tcPr>
            <w:tcW w:w="5953" w:type="dxa"/>
          </w:tcPr>
          <w:p w14:paraId="658C3115" w14:textId="77777777" w:rsidR="00007764" w:rsidRPr="00405B7D" w:rsidRDefault="00007764" w:rsidP="00007764">
            <w:pPr>
              <w:spacing w:before="80" w:after="80"/>
              <w:ind w:right="459"/>
              <w:rPr>
                <w:rFonts w:cs="Arial"/>
              </w:rPr>
            </w:pPr>
            <w:r w:rsidRPr="00405B7D">
              <w:rPr>
                <w:rFonts w:cs="Arial"/>
              </w:rPr>
              <w:t>Antimicrobial Use and Resistance in Australia</w:t>
            </w:r>
          </w:p>
        </w:tc>
      </w:tr>
      <w:tr w:rsidR="00007764" w:rsidRPr="00B44272" w14:paraId="7B5A895F" w14:textId="77777777" w:rsidTr="00AD34AB">
        <w:tc>
          <w:tcPr>
            <w:tcW w:w="3544" w:type="dxa"/>
          </w:tcPr>
          <w:p w14:paraId="1BC57539" w14:textId="77777777" w:rsidR="00007764" w:rsidRPr="00405B7D" w:rsidRDefault="00007764" w:rsidP="00007764">
            <w:pPr>
              <w:spacing w:before="80" w:after="80"/>
              <w:ind w:right="316"/>
              <w:jc w:val="center"/>
              <w:rPr>
                <w:rFonts w:cs="Arial"/>
              </w:rPr>
            </w:pPr>
            <w:r w:rsidRPr="00405B7D">
              <w:rPr>
                <w:rFonts w:cs="Arial"/>
              </w:rPr>
              <w:t>NAPS</w:t>
            </w:r>
          </w:p>
        </w:tc>
        <w:tc>
          <w:tcPr>
            <w:tcW w:w="5953" w:type="dxa"/>
          </w:tcPr>
          <w:p w14:paraId="012ECC26" w14:textId="77777777" w:rsidR="00007764" w:rsidRPr="00405B7D" w:rsidRDefault="00007764" w:rsidP="00007764">
            <w:pPr>
              <w:spacing w:before="80" w:after="80"/>
              <w:ind w:right="459"/>
              <w:rPr>
                <w:rFonts w:cs="Arial"/>
              </w:rPr>
            </w:pPr>
            <w:r w:rsidRPr="00405B7D">
              <w:rPr>
                <w:rFonts w:cs="Arial"/>
              </w:rPr>
              <w:t>National Antimicrobial Prescribing Survey</w:t>
            </w:r>
          </w:p>
        </w:tc>
      </w:tr>
      <w:tr w:rsidR="00007764" w:rsidRPr="00B44272" w14:paraId="483683FD" w14:textId="77777777" w:rsidTr="00AD34AB">
        <w:tc>
          <w:tcPr>
            <w:tcW w:w="3544" w:type="dxa"/>
          </w:tcPr>
          <w:p w14:paraId="5B54EADC" w14:textId="77777777" w:rsidR="00007764" w:rsidRPr="00405B7D" w:rsidRDefault="00007764" w:rsidP="00007764">
            <w:pPr>
              <w:spacing w:before="80" w:after="80"/>
              <w:ind w:right="316"/>
              <w:jc w:val="center"/>
              <w:rPr>
                <w:rFonts w:cs="Arial"/>
              </w:rPr>
            </w:pPr>
            <w:r w:rsidRPr="00405B7D">
              <w:rPr>
                <w:rFonts w:cs="Arial"/>
              </w:rPr>
              <w:t>NCAS</w:t>
            </w:r>
          </w:p>
        </w:tc>
        <w:tc>
          <w:tcPr>
            <w:tcW w:w="5953" w:type="dxa"/>
          </w:tcPr>
          <w:p w14:paraId="63C2EE22" w14:textId="77777777" w:rsidR="00007764" w:rsidRPr="00405B7D" w:rsidRDefault="00007764" w:rsidP="00007764">
            <w:pPr>
              <w:spacing w:before="80" w:after="80"/>
              <w:ind w:right="459"/>
              <w:rPr>
                <w:rFonts w:cs="Arial"/>
              </w:rPr>
            </w:pPr>
            <w:r w:rsidRPr="00405B7D">
              <w:rPr>
                <w:rFonts w:cs="Arial"/>
              </w:rPr>
              <w:t>National Centre for Antimicrobial Stewardship</w:t>
            </w:r>
          </w:p>
        </w:tc>
      </w:tr>
      <w:tr w:rsidR="00007764" w:rsidRPr="002A3F2F" w14:paraId="349EC7C9" w14:textId="77777777" w:rsidTr="00AD34AB">
        <w:tc>
          <w:tcPr>
            <w:tcW w:w="3544" w:type="dxa"/>
          </w:tcPr>
          <w:p w14:paraId="6E72617D" w14:textId="77777777" w:rsidR="00007764" w:rsidRPr="00405B7D" w:rsidRDefault="00007764" w:rsidP="00007764">
            <w:pPr>
              <w:spacing w:before="80" w:after="80"/>
              <w:ind w:right="316"/>
              <w:jc w:val="center"/>
              <w:rPr>
                <w:rFonts w:cs="Arial"/>
              </w:rPr>
            </w:pPr>
            <w:r w:rsidRPr="00405B7D">
              <w:rPr>
                <w:rFonts w:cs="Arial"/>
              </w:rPr>
              <w:t>Surgical NAPS</w:t>
            </w:r>
          </w:p>
        </w:tc>
        <w:tc>
          <w:tcPr>
            <w:tcW w:w="5953" w:type="dxa"/>
          </w:tcPr>
          <w:p w14:paraId="3512FDC9" w14:textId="77777777" w:rsidR="00007764" w:rsidRPr="00405B7D" w:rsidRDefault="00007764" w:rsidP="00007764">
            <w:pPr>
              <w:spacing w:before="80" w:after="80"/>
              <w:ind w:right="459"/>
              <w:rPr>
                <w:rFonts w:cs="Arial"/>
              </w:rPr>
            </w:pPr>
            <w:r w:rsidRPr="00405B7D">
              <w:rPr>
                <w:rFonts w:cs="Arial"/>
              </w:rPr>
              <w:t>Surgical National Antimicrobial Prescribing Survey</w:t>
            </w:r>
          </w:p>
        </w:tc>
      </w:tr>
    </w:tbl>
    <w:p w14:paraId="4A633399" w14:textId="77777777" w:rsidR="00572F25" w:rsidRPr="00C27AA2" w:rsidRDefault="00572F25" w:rsidP="00572F25">
      <w:pPr>
        <w:rPr>
          <w:highlight w:val="cyan"/>
        </w:rPr>
      </w:pPr>
    </w:p>
    <w:p w14:paraId="5ABF5CA8" w14:textId="77777777" w:rsidR="00572F25" w:rsidRPr="00C82B07" w:rsidRDefault="00572F25" w:rsidP="00572F25"/>
    <w:p w14:paraId="7A527E55" w14:textId="77777777" w:rsidR="00572F25" w:rsidRPr="007774B6" w:rsidRDefault="00572F25" w:rsidP="00572F25">
      <w:pPr>
        <w:pStyle w:val="Heading1"/>
        <w:sectPr w:rsidR="00572F25" w:rsidRPr="007774B6" w:rsidSect="00917C6F">
          <w:endnotePr>
            <w:numFmt w:val="decimal"/>
          </w:endnotePr>
          <w:pgSz w:w="11906" w:h="16838"/>
          <w:pgMar w:top="1440" w:right="1440" w:bottom="1440" w:left="1440" w:header="709" w:footer="0" w:gutter="0"/>
          <w:cols w:space="708"/>
          <w:docGrid w:linePitch="360"/>
        </w:sectPr>
      </w:pPr>
    </w:p>
    <w:p w14:paraId="49C572E5" w14:textId="77777777" w:rsidR="00572F25" w:rsidRPr="00D20528" w:rsidRDefault="00572F25" w:rsidP="00572F25">
      <w:pPr>
        <w:pStyle w:val="Heading1"/>
        <w:ind w:left="432" w:hanging="432"/>
      </w:pPr>
      <w:bookmarkStart w:id="186" w:name="_Toc126664226"/>
      <w:r w:rsidRPr="00D20528">
        <w:rPr>
          <w:sz w:val="36"/>
        </w:rPr>
        <w:lastRenderedPageBreak/>
        <w:t>References</w:t>
      </w:r>
      <w:bookmarkEnd w:id="186"/>
    </w:p>
    <w:p w14:paraId="36D5AA50" w14:textId="77777777" w:rsidR="00572F25" w:rsidRDefault="00572F25" w:rsidP="00572F25">
      <w:pPr>
        <w:pStyle w:val="ListParagraph"/>
        <w:numPr>
          <w:ilvl w:val="6"/>
          <w:numId w:val="33"/>
        </w:numPr>
        <w:tabs>
          <w:tab w:val="left" w:pos="0"/>
        </w:tabs>
        <w:spacing w:before="0" w:after="200" w:line="240" w:lineRule="auto"/>
        <w:ind w:left="425" w:hanging="425"/>
        <w:contextualSpacing w:val="0"/>
      </w:pPr>
      <w:r w:rsidRPr="00D20528">
        <w:t>Australian Government. Australia’s National Antimicrobial Resistance Strategy</w:t>
      </w:r>
      <w:r>
        <w:t>:</w:t>
      </w:r>
      <w:r w:rsidRPr="00D20528">
        <w:t xml:space="preserve"> 2020 and </w:t>
      </w:r>
      <w:r>
        <w:t>b</w:t>
      </w:r>
      <w:r w:rsidRPr="00D20528">
        <w:t>eyond.</w:t>
      </w:r>
      <w:r>
        <w:t xml:space="preserve"> Canberra:</w:t>
      </w:r>
      <w:r w:rsidRPr="00D20528">
        <w:t xml:space="preserve"> </w:t>
      </w:r>
      <w:r w:rsidRPr="0016630C">
        <w:t>Department of Health and Department of Agriculture</w:t>
      </w:r>
      <w:r w:rsidR="00A4589C">
        <w:t xml:space="preserve">, </w:t>
      </w:r>
      <w:proofErr w:type="gramStart"/>
      <w:r w:rsidR="00A4589C">
        <w:t>Water</w:t>
      </w:r>
      <w:proofErr w:type="gramEnd"/>
      <w:r w:rsidR="00A4589C">
        <w:t xml:space="preserve"> and the Environment</w:t>
      </w:r>
      <w:r>
        <w:t>;</w:t>
      </w:r>
      <w:r w:rsidRPr="00D20528">
        <w:t xml:space="preserve"> 2020.</w:t>
      </w:r>
    </w:p>
    <w:p w14:paraId="3DF380DA" w14:textId="28F671B4" w:rsidR="00572F25" w:rsidRDefault="00540F5D" w:rsidP="00572F25">
      <w:pPr>
        <w:pStyle w:val="ListParagraph"/>
        <w:numPr>
          <w:ilvl w:val="6"/>
          <w:numId w:val="33"/>
        </w:numPr>
        <w:tabs>
          <w:tab w:val="left" w:pos="0"/>
        </w:tabs>
        <w:spacing w:before="0" w:after="200" w:line="240" w:lineRule="auto"/>
        <w:ind w:left="425" w:hanging="425"/>
        <w:contextualSpacing w:val="0"/>
      </w:pPr>
      <w:r w:rsidRPr="00540F5D">
        <w:t xml:space="preserve">Australian Government. Surveillance of antimicrobial use and resistance in human health [Internet]. </w:t>
      </w:r>
      <w:hyperlink r:id="rId66" w:history="1">
        <w:r w:rsidRPr="00540F5D">
          <w:rPr>
            <w:rStyle w:val="Hyperlink"/>
          </w:rPr>
          <w:t>www.amr.gov.au</w:t>
        </w:r>
      </w:hyperlink>
      <w:r w:rsidRPr="00540F5D">
        <w:t xml:space="preserve">. Australian Government Department of Health and Aged Care; 2023 [cited 2023 Sep 29]. Available from: </w:t>
      </w:r>
      <w:hyperlink r:id="rId67" w:history="1">
        <w:r w:rsidRPr="00540F5D">
          <w:rPr>
            <w:rStyle w:val="Hyperlink"/>
          </w:rPr>
          <w:t>https://www.amr.gov.au/australias-response/objective-5-integrated-surveillance-and-response-resistance-and-usage/surveillance-antimicrobial-use-and-resistance-human-health</w:t>
        </w:r>
      </w:hyperlink>
    </w:p>
    <w:p w14:paraId="41A2F11B" w14:textId="77777777" w:rsidR="00572F25" w:rsidRDefault="00572F25" w:rsidP="00572F25">
      <w:pPr>
        <w:pStyle w:val="ListParagraph"/>
        <w:numPr>
          <w:ilvl w:val="6"/>
          <w:numId w:val="33"/>
        </w:numPr>
        <w:tabs>
          <w:tab w:val="left" w:pos="0"/>
        </w:tabs>
        <w:spacing w:before="0" w:after="200" w:line="240" w:lineRule="auto"/>
        <w:ind w:left="425" w:hanging="425"/>
        <w:contextualSpacing w:val="0"/>
      </w:pPr>
      <w:r w:rsidRPr="00D20528">
        <w:t xml:space="preserve">Australian Commission on Safety and Quality in Health Care. National Safety and Quality Health Service Standards. 2nd ed. </w:t>
      </w:r>
      <w:r>
        <w:t xml:space="preserve">Sydney: </w:t>
      </w:r>
      <w:r w:rsidRPr="00D20528">
        <w:t>ACSQHC</w:t>
      </w:r>
      <w:r>
        <w:t>;</w:t>
      </w:r>
      <w:r w:rsidRPr="00D20528">
        <w:t xml:space="preserve"> 2017.</w:t>
      </w:r>
    </w:p>
    <w:p w14:paraId="23085E58" w14:textId="77777777" w:rsidR="00572F25" w:rsidRDefault="00572F25" w:rsidP="00572F25">
      <w:pPr>
        <w:pStyle w:val="ListParagraph"/>
        <w:numPr>
          <w:ilvl w:val="6"/>
          <w:numId w:val="33"/>
        </w:numPr>
        <w:tabs>
          <w:tab w:val="left" w:pos="0"/>
        </w:tabs>
        <w:spacing w:before="0" w:after="200" w:line="240" w:lineRule="auto"/>
        <w:ind w:left="425" w:hanging="425"/>
        <w:contextualSpacing w:val="0"/>
      </w:pPr>
      <w:r w:rsidRPr="00D20528">
        <w:t xml:space="preserve">Australian Commission on Safety and Quality in Health Care. Advisory no: A18/08. Antimicrobial Stewardship. </w:t>
      </w:r>
      <w:r>
        <w:t xml:space="preserve">Sydney: </w:t>
      </w:r>
      <w:r w:rsidRPr="00D20528">
        <w:t>ACSQHC</w:t>
      </w:r>
      <w:r>
        <w:t>;</w:t>
      </w:r>
      <w:r w:rsidRPr="00D20528">
        <w:t xml:space="preserve"> 2021. </w:t>
      </w:r>
    </w:p>
    <w:p w14:paraId="13181F07" w14:textId="77777777" w:rsidR="00572F25" w:rsidRPr="00405B7D" w:rsidRDefault="00572F25" w:rsidP="00572F25">
      <w:pPr>
        <w:pStyle w:val="ListParagraph"/>
        <w:numPr>
          <w:ilvl w:val="6"/>
          <w:numId w:val="33"/>
        </w:numPr>
        <w:tabs>
          <w:tab w:val="left" w:pos="0"/>
        </w:tabs>
        <w:spacing w:before="0" w:after="200" w:line="240" w:lineRule="auto"/>
        <w:ind w:left="425" w:hanging="425"/>
        <w:contextualSpacing w:val="0"/>
      </w:pPr>
      <w:r w:rsidRPr="00D20528">
        <w:t>Australian</w:t>
      </w:r>
      <w:r w:rsidRPr="00405B7D">
        <w:t xml:space="preserve"> Commission on Safety and Quality in Health Care. Antimicrobial </w:t>
      </w:r>
      <w:r>
        <w:t>S</w:t>
      </w:r>
      <w:r w:rsidRPr="00405B7D">
        <w:t xml:space="preserve">tewardship </w:t>
      </w:r>
      <w:r>
        <w:t>C</w:t>
      </w:r>
      <w:r w:rsidRPr="00405B7D">
        <w:t xml:space="preserve">linical </w:t>
      </w:r>
      <w:r>
        <w:t>C</w:t>
      </w:r>
      <w:r w:rsidRPr="00405B7D">
        <w:t xml:space="preserve">are </w:t>
      </w:r>
      <w:r>
        <w:t>S</w:t>
      </w:r>
      <w:r w:rsidRPr="00405B7D">
        <w:t xml:space="preserve">tandard. </w:t>
      </w:r>
      <w:r>
        <w:t>2nd ed. Sydney: ACSQHC; 2020</w:t>
      </w:r>
      <w:r w:rsidRPr="00405B7D">
        <w:t>.</w:t>
      </w:r>
    </w:p>
    <w:p w14:paraId="1F6B06D8" w14:textId="77777777" w:rsidR="00572F25" w:rsidRPr="00D814E8" w:rsidRDefault="00572F25" w:rsidP="00572F25">
      <w:pPr>
        <w:pStyle w:val="ListParagraph"/>
        <w:numPr>
          <w:ilvl w:val="6"/>
          <w:numId w:val="33"/>
        </w:numPr>
        <w:tabs>
          <w:tab w:val="left" w:pos="0"/>
        </w:tabs>
        <w:spacing w:before="0" w:after="200" w:line="240" w:lineRule="auto"/>
        <w:ind w:left="425" w:hanging="425"/>
        <w:contextualSpacing w:val="0"/>
      </w:pPr>
      <w:r w:rsidRPr="00D814E8">
        <w:t xml:space="preserve">National Centre for Antimicrobial Stewardship and Australian Commission on Safety and Quality in Health Care. Surgical National Antimicrobial Prescribing Survey: </w:t>
      </w:r>
      <w:r>
        <w:t>R</w:t>
      </w:r>
      <w:r w:rsidRPr="00D814E8">
        <w:t xml:space="preserve">esults of the 2016 pilot. </w:t>
      </w:r>
      <w:r>
        <w:t xml:space="preserve">Sydney: </w:t>
      </w:r>
      <w:r w:rsidRPr="00D814E8">
        <w:t>ACSQHC</w:t>
      </w:r>
      <w:r>
        <w:t>;</w:t>
      </w:r>
      <w:r w:rsidRPr="00D814E8">
        <w:t xml:space="preserve"> 2017.</w:t>
      </w:r>
    </w:p>
    <w:p w14:paraId="67F241E4" w14:textId="77777777" w:rsidR="00572F25" w:rsidRPr="00CC6538" w:rsidRDefault="00572F25" w:rsidP="00572F25">
      <w:pPr>
        <w:pStyle w:val="ListParagraph"/>
        <w:numPr>
          <w:ilvl w:val="6"/>
          <w:numId w:val="33"/>
        </w:numPr>
        <w:tabs>
          <w:tab w:val="left" w:pos="0"/>
        </w:tabs>
        <w:spacing w:before="0" w:after="200" w:line="240" w:lineRule="auto"/>
        <w:ind w:left="425" w:hanging="425"/>
        <w:contextualSpacing w:val="0"/>
      </w:pPr>
      <w:r w:rsidRPr="00CC6538">
        <w:t xml:space="preserve">National Centre for Antimicrobial Stewardship. Surgical prophylaxis prescribing in Australian hospitals: </w:t>
      </w:r>
      <w:r>
        <w:t>R</w:t>
      </w:r>
      <w:r w:rsidRPr="00CC6538">
        <w:t>esults of the 2017 and 2018 Surgical National Antimicrobial Prescribing Surveys. Public report</w:t>
      </w:r>
      <w:r>
        <w:t>.</w:t>
      </w:r>
      <w:r w:rsidRPr="00CC6538">
        <w:t xml:space="preserve"> </w:t>
      </w:r>
      <w:r>
        <w:t xml:space="preserve">Melbourne: NCAS; </w:t>
      </w:r>
      <w:r w:rsidRPr="00CC6538">
        <w:t>2019.</w:t>
      </w:r>
    </w:p>
    <w:p w14:paraId="53D6B539" w14:textId="77777777" w:rsidR="00572F25" w:rsidRPr="00D814E8" w:rsidRDefault="00572F25" w:rsidP="00572F25">
      <w:pPr>
        <w:pStyle w:val="ListParagraph"/>
        <w:numPr>
          <w:ilvl w:val="6"/>
          <w:numId w:val="33"/>
        </w:numPr>
        <w:tabs>
          <w:tab w:val="left" w:pos="0"/>
        </w:tabs>
        <w:spacing w:before="0" w:after="200" w:line="240" w:lineRule="auto"/>
        <w:ind w:left="425" w:hanging="425"/>
        <w:contextualSpacing w:val="0"/>
      </w:pPr>
      <w:r w:rsidRPr="00D814E8">
        <w:t xml:space="preserve">Australian Institute of Health and Welfare. Australian hospital peer groups. Health services series no. 66. Cat. no. HSE 170. </w:t>
      </w:r>
      <w:r>
        <w:t xml:space="preserve">Canberra: </w:t>
      </w:r>
      <w:r w:rsidRPr="00D814E8">
        <w:t>AIHW</w:t>
      </w:r>
      <w:r>
        <w:t>;</w:t>
      </w:r>
      <w:r w:rsidRPr="00D814E8">
        <w:t xml:space="preserve"> 2015.</w:t>
      </w:r>
    </w:p>
    <w:p w14:paraId="6EF32D09" w14:textId="77777777" w:rsidR="00572F25" w:rsidRPr="00D814E8" w:rsidRDefault="00572F25" w:rsidP="00572F25">
      <w:pPr>
        <w:pStyle w:val="ListParagraph"/>
        <w:numPr>
          <w:ilvl w:val="6"/>
          <w:numId w:val="33"/>
        </w:numPr>
        <w:tabs>
          <w:tab w:val="left" w:pos="0"/>
        </w:tabs>
        <w:spacing w:before="0" w:after="200" w:line="240" w:lineRule="auto"/>
        <w:ind w:left="425" w:hanging="425"/>
        <w:contextualSpacing w:val="0"/>
      </w:pPr>
      <w:r w:rsidRPr="00D814E8">
        <w:t xml:space="preserve">Australian Bureau of Statistics. </w:t>
      </w:r>
      <w:r w:rsidRPr="007659FA">
        <w:t>1270.0.55.005</w:t>
      </w:r>
      <w:r>
        <w:t xml:space="preserve"> –</w:t>
      </w:r>
      <w:r w:rsidRPr="007659FA">
        <w:t xml:space="preserve"> </w:t>
      </w:r>
      <w:r w:rsidRPr="00D814E8">
        <w:t xml:space="preserve">Australian Statistical Geography Standard (ASGS): Volume 5 – </w:t>
      </w:r>
      <w:r w:rsidRPr="007659FA">
        <w:t>Remoteness Structure</w:t>
      </w:r>
      <w:r w:rsidRPr="00D814E8">
        <w:t>, July 2016.</w:t>
      </w:r>
      <w:r>
        <w:t xml:space="preserve"> Canberra: </w:t>
      </w:r>
      <w:r w:rsidRPr="00D77DA1">
        <w:t>A</w:t>
      </w:r>
      <w:r w:rsidRPr="00C27AA2">
        <w:t>B</w:t>
      </w:r>
      <w:r w:rsidRPr="00D77DA1">
        <w:t>S</w:t>
      </w:r>
      <w:r>
        <w:t>;</w:t>
      </w:r>
      <w:r w:rsidRPr="00D814E8">
        <w:t xml:space="preserve"> 2018.</w:t>
      </w:r>
    </w:p>
    <w:p w14:paraId="0213B09A" w14:textId="77777777" w:rsidR="00572F25" w:rsidRPr="00405B7D" w:rsidRDefault="00572F25" w:rsidP="00572F25">
      <w:pPr>
        <w:pStyle w:val="ListParagraph"/>
        <w:numPr>
          <w:ilvl w:val="6"/>
          <w:numId w:val="33"/>
        </w:numPr>
        <w:tabs>
          <w:tab w:val="left" w:pos="709"/>
        </w:tabs>
        <w:spacing w:before="0" w:after="200" w:line="240" w:lineRule="auto"/>
        <w:ind w:left="425" w:hanging="425"/>
        <w:contextualSpacing w:val="0"/>
        <w:rPr>
          <w:rFonts w:cs="Arial"/>
        </w:rPr>
      </w:pPr>
      <w:r w:rsidRPr="00405B7D">
        <w:rPr>
          <w:rFonts w:cs="Arial"/>
        </w:rPr>
        <w:t>Antibiotic Expert Group. Therapeutic Guidelines: Antibiotic. Version 16. Melbourne: Therapeutic Guidelines Limited</w:t>
      </w:r>
      <w:r>
        <w:rPr>
          <w:rFonts w:cs="Arial"/>
        </w:rPr>
        <w:t>;</w:t>
      </w:r>
      <w:r w:rsidRPr="00405B7D">
        <w:rPr>
          <w:rFonts w:cs="Arial"/>
        </w:rPr>
        <w:t xml:space="preserve"> 2019.</w:t>
      </w:r>
      <w:r>
        <w:rPr>
          <w:rFonts w:cs="Arial"/>
        </w:rPr>
        <w:t xml:space="preserve"> Available from:</w:t>
      </w:r>
      <w:r w:rsidRPr="00405B7D">
        <w:rPr>
          <w:rFonts w:cs="Arial"/>
        </w:rPr>
        <w:t xml:space="preserve"> </w:t>
      </w:r>
      <w:hyperlink r:id="rId68" w:history="1">
        <w:r w:rsidRPr="00405B7D">
          <w:rPr>
            <w:rStyle w:val="Hyperlink"/>
            <w:rFonts w:cs="Arial"/>
          </w:rPr>
          <w:t>https://www.tg.org.au/</w:t>
        </w:r>
      </w:hyperlink>
      <w:r w:rsidRPr="00405B7D">
        <w:rPr>
          <w:rFonts w:cs="Arial"/>
        </w:rPr>
        <w:t xml:space="preserve">   </w:t>
      </w:r>
    </w:p>
    <w:p w14:paraId="486AC103" w14:textId="77777777" w:rsidR="00572F25" w:rsidRPr="00D814E8" w:rsidRDefault="00572F25" w:rsidP="00572F25">
      <w:pPr>
        <w:pStyle w:val="ListParagraph"/>
        <w:numPr>
          <w:ilvl w:val="6"/>
          <w:numId w:val="33"/>
        </w:numPr>
        <w:tabs>
          <w:tab w:val="left" w:pos="0"/>
        </w:tabs>
        <w:spacing w:before="0" w:after="200" w:line="240" w:lineRule="auto"/>
        <w:ind w:left="425" w:hanging="425"/>
        <w:contextualSpacing w:val="0"/>
      </w:pPr>
      <w:r w:rsidRPr="00D814E8">
        <w:t>National Centre for Antimicrobial Stewardship. Timing and duration of surgical prophylaxis</w:t>
      </w:r>
      <w:r>
        <w:t>:</w:t>
      </w:r>
      <w:r w:rsidRPr="00D814E8">
        <w:t xml:space="preserve"> Recommendations 2020. Melbourne</w:t>
      </w:r>
      <w:r>
        <w:t>: NCAS;</w:t>
      </w:r>
      <w:r w:rsidRPr="00D814E8">
        <w:t xml:space="preserve"> 2020. Available from: </w:t>
      </w:r>
      <w:hyperlink r:id="rId69" w:history="1">
        <w:r w:rsidRPr="00A468CA">
          <w:rPr>
            <w:rStyle w:val="Hyperlink"/>
          </w:rPr>
          <w:t>https://www.ncas-australia.org/timing-and-duration-of-surgical-prophylaxis</w:t>
        </w:r>
      </w:hyperlink>
      <w:r>
        <w:t xml:space="preserve"> </w:t>
      </w:r>
      <w:r w:rsidRPr="00D814E8">
        <w:t xml:space="preserve"> </w:t>
      </w:r>
    </w:p>
    <w:p w14:paraId="427B6B5B" w14:textId="77777777" w:rsidR="00572F25" w:rsidRPr="00D814E8" w:rsidRDefault="00572F25" w:rsidP="00572F25">
      <w:pPr>
        <w:pStyle w:val="ListParagraph"/>
        <w:numPr>
          <w:ilvl w:val="6"/>
          <w:numId w:val="33"/>
        </w:numPr>
        <w:tabs>
          <w:tab w:val="left" w:pos="0"/>
        </w:tabs>
        <w:spacing w:before="0" w:after="200" w:line="240" w:lineRule="auto"/>
        <w:ind w:left="425" w:hanging="425"/>
        <w:contextualSpacing w:val="0"/>
      </w:pPr>
      <w:r w:rsidRPr="00D814E8">
        <w:t xml:space="preserve">de </w:t>
      </w:r>
      <w:proofErr w:type="spellStart"/>
      <w:r w:rsidRPr="00D814E8">
        <w:t>Jonge</w:t>
      </w:r>
      <w:proofErr w:type="spellEnd"/>
      <w:r w:rsidRPr="00D814E8">
        <w:t xml:space="preserve"> SW, </w:t>
      </w:r>
      <w:proofErr w:type="spellStart"/>
      <w:r w:rsidRPr="00D814E8">
        <w:t>Boldingh</w:t>
      </w:r>
      <w:proofErr w:type="spellEnd"/>
      <w:r w:rsidRPr="00D814E8">
        <w:t xml:space="preserve"> QJ, </w:t>
      </w:r>
      <w:proofErr w:type="spellStart"/>
      <w:r w:rsidRPr="00D814E8">
        <w:t>Solomkin</w:t>
      </w:r>
      <w:proofErr w:type="spellEnd"/>
      <w:r w:rsidRPr="00D814E8">
        <w:t xml:space="preserve"> JS, Dellinger EP, Egger M, </w:t>
      </w:r>
      <w:proofErr w:type="spellStart"/>
      <w:r w:rsidRPr="00D814E8">
        <w:t>Salanti</w:t>
      </w:r>
      <w:proofErr w:type="spellEnd"/>
      <w:r w:rsidRPr="00D814E8">
        <w:t xml:space="preserve"> G, </w:t>
      </w:r>
      <w:proofErr w:type="spellStart"/>
      <w:r w:rsidRPr="00D814E8">
        <w:t>Allegranzi</w:t>
      </w:r>
      <w:proofErr w:type="spellEnd"/>
      <w:r w:rsidRPr="00D814E8">
        <w:t xml:space="preserve"> B, </w:t>
      </w:r>
      <w:proofErr w:type="spellStart"/>
      <w:r w:rsidRPr="00D814E8">
        <w:t>Boermeester</w:t>
      </w:r>
      <w:proofErr w:type="spellEnd"/>
      <w:r w:rsidRPr="00D814E8">
        <w:t xml:space="preserve"> MA. Effect of postoperative continuation of antibiotic prophylaxis on the incidence of surgical site infection: a systematic review and meta-analysis. </w:t>
      </w:r>
      <w:r w:rsidRPr="00C27AA2">
        <w:rPr>
          <w:i/>
          <w:iCs/>
        </w:rPr>
        <w:t>The Lancet Infectious Diseases</w:t>
      </w:r>
      <w:r w:rsidRPr="00D814E8">
        <w:t xml:space="preserve"> 2020;</w:t>
      </w:r>
      <w:r>
        <w:t xml:space="preserve"> </w:t>
      </w:r>
      <w:r w:rsidRPr="00D814E8">
        <w:t>20(10):</w:t>
      </w:r>
      <w:r>
        <w:t xml:space="preserve"> </w:t>
      </w:r>
      <w:r w:rsidRPr="00D814E8">
        <w:t>1182</w:t>
      </w:r>
      <w:r>
        <w:t>–</w:t>
      </w:r>
      <w:r w:rsidRPr="00D814E8">
        <w:t>92.</w:t>
      </w:r>
    </w:p>
    <w:p w14:paraId="13D255AE" w14:textId="77777777" w:rsidR="00572F25" w:rsidRPr="00D814E8" w:rsidRDefault="00572F25" w:rsidP="00572F25">
      <w:pPr>
        <w:pStyle w:val="ListParagraph"/>
        <w:numPr>
          <w:ilvl w:val="6"/>
          <w:numId w:val="33"/>
        </w:numPr>
        <w:tabs>
          <w:tab w:val="left" w:pos="0"/>
        </w:tabs>
        <w:spacing w:before="0" w:after="200" w:line="240" w:lineRule="auto"/>
        <w:ind w:left="425" w:hanging="425"/>
        <w:contextualSpacing w:val="0"/>
      </w:pPr>
      <w:proofErr w:type="spellStart"/>
      <w:r w:rsidRPr="00D814E8">
        <w:t>Allegranzi</w:t>
      </w:r>
      <w:proofErr w:type="spellEnd"/>
      <w:r w:rsidRPr="00D814E8">
        <w:t xml:space="preserve"> B, Zayed B, Bischoff P, </w:t>
      </w:r>
      <w:proofErr w:type="spellStart"/>
      <w:r w:rsidRPr="00D814E8">
        <w:t>Kubilay</w:t>
      </w:r>
      <w:proofErr w:type="spellEnd"/>
      <w:r w:rsidRPr="00D814E8">
        <w:t xml:space="preserve"> NZ, de </w:t>
      </w:r>
      <w:proofErr w:type="spellStart"/>
      <w:r w:rsidRPr="00D814E8">
        <w:t>Jonge</w:t>
      </w:r>
      <w:proofErr w:type="spellEnd"/>
      <w:r w:rsidRPr="00D814E8">
        <w:t xml:space="preserve"> S, de Vries F</w:t>
      </w:r>
      <w:r w:rsidRPr="00CC6538">
        <w:t xml:space="preserve"> et al</w:t>
      </w:r>
      <w:r w:rsidRPr="00D814E8">
        <w:t xml:space="preserve">. New WHO recommendations on intraoperative and postoperative measures for surgical site infection prevention: an evidence-based global perspective. </w:t>
      </w:r>
      <w:r w:rsidRPr="00B10C66">
        <w:rPr>
          <w:i/>
          <w:iCs/>
        </w:rPr>
        <w:t>The Lancet Infectious Diseases</w:t>
      </w:r>
      <w:r w:rsidRPr="00D814E8">
        <w:t xml:space="preserve"> 2016;</w:t>
      </w:r>
      <w:r>
        <w:t xml:space="preserve"> </w:t>
      </w:r>
      <w:r w:rsidRPr="00D814E8">
        <w:t>16(12):</w:t>
      </w:r>
      <w:r>
        <w:t xml:space="preserve"> </w:t>
      </w:r>
      <w:r w:rsidRPr="00D814E8">
        <w:t>e288</w:t>
      </w:r>
      <w:r>
        <w:t>–</w:t>
      </w:r>
      <w:r w:rsidRPr="00D814E8">
        <w:t xml:space="preserve">e303. </w:t>
      </w:r>
    </w:p>
    <w:p w14:paraId="072DC2F7" w14:textId="77777777" w:rsidR="00572F25" w:rsidRPr="00405B7D" w:rsidRDefault="00572F25" w:rsidP="00572F25">
      <w:pPr>
        <w:pStyle w:val="Bulletlist"/>
        <w:numPr>
          <w:ilvl w:val="6"/>
          <w:numId w:val="33"/>
        </w:numPr>
        <w:tabs>
          <w:tab w:val="left" w:pos="709"/>
        </w:tabs>
        <w:ind w:left="425" w:hanging="425"/>
        <w:contextualSpacing w:val="0"/>
        <w:rPr>
          <w:rFonts w:cs="Arial"/>
          <w:szCs w:val="22"/>
        </w:rPr>
      </w:pPr>
      <w:proofErr w:type="spellStart"/>
      <w:r w:rsidRPr="00405B7D">
        <w:rPr>
          <w:rFonts w:cs="Arial"/>
          <w:szCs w:val="22"/>
        </w:rPr>
        <w:t>Berríos</w:t>
      </w:r>
      <w:proofErr w:type="spellEnd"/>
      <w:r w:rsidRPr="00405B7D">
        <w:rPr>
          <w:rFonts w:cs="Arial"/>
          <w:szCs w:val="22"/>
        </w:rPr>
        <w:t xml:space="preserve">-Torres SI, </w:t>
      </w:r>
      <w:proofErr w:type="spellStart"/>
      <w:r w:rsidRPr="00405B7D">
        <w:rPr>
          <w:rFonts w:cs="Arial"/>
          <w:szCs w:val="22"/>
        </w:rPr>
        <w:t>Umscheid</w:t>
      </w:r>
      <w:proofErr w:type="spellEnd"/>
      <w:r w:rsidRPr="00405B7D">
        <w:rPr>
          <w:rFonts w:cs="Arial"/>
          <w:szCs w:val="22"/>
        </w:rPr>
        <w:t xml:space="preserve"> CA, </w:t>
      </w:r>
      <w:proofErr w:type="spellStart"/>
      <w:r w:rsidRPr="00405B7D">
        <w:rPr>
          <w:rFonts w:cs="Arial"/>
          <w:szCs w:val="22"/>
        </w:rPr>
        <w:t>Bratzler</w:t>
      </w:r>
      <w:proofErr w:type="spellEnd"/>
      <w:r w:rsidRPr="00405B7D">
        <w:rPr>
          <w:rFonts w:cs="Arial"/>
          <w:szCs w:val="22"/>
        </w:rPr>
        <w:t xml:space="preserve"> DW, Leas B, Stone EC, </w:t>
      </w:r>
      <w:proofErr w:type="spellStart"/>
      <w:r w:rsidRPr="00405B7D">
        <w:rPr>
          <w:rFonts w:cs="Arial"/>
          <w:szCs w:val="22"/>
        </w:rPr>
        <w:t>Kelz</w:t>
      </w:r>
      <w:proofErr w:type="spellEnd"/>
      <w:r w:rsidRPr="00405B7D">
        <w:rPr>
          <w:rFonts w:cs="Arial"/>
          <w:szCs w:val="22"/>
        </w:rPr>
        <w:t xml:space="preserve"> RR et al. </w:t>
      </w:r>
      <w:proofErr w:type="spellStart"/>
      <w:r w:rsidRPr="00405B7D">
        <w:rPr>
          <w:rFonts w:cs="Arial"/>
          <w:szCs w:val="22"/>
        </w:rPr>
        <w:t>Centers</w:t>
      </w:r>
      <w:proofErr w:type="spellEnd"/>
      <w:r w:rsidRPr="00405B7D">
        <w:rPr>
          <w:rFonts w:cs="Arial"/>
          <w:szCs w:val="22"/>
        </w:rPr>
        <w:t xml:space="preserve"> for </w:t>
      </w:r>
      <w:r>
        <w:rPr>
          <w:rFonts w:cs="Arial"/>
          <w:szCs w:val="22"/>
        </w:rPr>
        <w:t>D</w:t>
      </w:r>
      <w:r w:rsidRPr="00405B7D">
        <w:rPr>
          <w:rFonts w:cs="Arial"/>
          <w:szCs w:val="22"/>
        </w:rPr>
        <w:t xml:space="preserve">isease </w:t>
      </w:r>
      <w:r>
        <w:rPr>
          <w:rFonts w:cs="Arial"/>
          <w:szCs w:val="22"/>
        </w:rPr>
        <w:t>C</w:t>
      </w:r>
      <w:r w:rsidRPr="00405B7D">
        <w:rPr>
          <w:rFonts w:cs="Arial"/>
          <w:szCs w:val="22"/>
        </w:rPr>
        <w:t xml:space="preserve">ontrol and </w:t>
      </w:r>
      <w:r>
        <w:rPr>
          <w:rFonts w:cs="Arial"/>
          <w:szCs w:val="22"/>
        </w:rPr>
        <w:t>P</w:t>
      </w:r>
      <w:r w:rsidRPr="00405B7D">
        <w:rPr>
          <w:rFonts w:cs="Arial"/>
          <w:szCs w:val="22"/>
        </w:rPr>
        <w:t xml:space="preserve">revention guideline for the prevention of surgical site infection, 2017. </w:t>
      </w:r>
      <w:r w:rsidRPr="00C27AA2">
        <w:rPr>
          <w:rFonts w:cs="Arial"/>
          <w:i/>
          <w:iCs/>
          <w:szCs w:val="22"/>
        </w:rPr>
        <w:t>JAMA Surgery</w:t>
      </w:r>
      <w:r w:rsidRPr="00405B7D">
        <w:rPr>
          <w:rFonts w:cs="Arial"/>
          <w:szCs w:val="22"/>
        </w:rPr>
        <w:t xml:space="preserve"> 2017;</w:t>
      </w:r>
      <w:r>
        <w:rPr>
          <w:rFonts w:cs="Arial"/>
          <w:szCs w:val="22"/>
        </w:rPr>
        <w:t xml:space="preserve"> </w:t>
      </w:r>
      <w:r w:rsidRPr="00405B7D">
        <w:rPr>
          <w:rFonts w:cs="Arial"/>
          <w:szCs w:val="22"/>
        </w:rPr>
        <w:t>152(8):</w:t>
      </w:r>
      <w:r>
        <w:rPr>
          <w:rFonts w:cs="Arial"/>
          <w:szCs w:val="22"/>
        </w:rPr>
        <w:t xml:space="preserve"> </w:t>
      </w:r>
      <w:r w:rsidRPr="00405B7D">
        <w:rPr>
          <w:rFonts w:cs="Arial"/>
          <w:szCs w:val="22"/>
        </w:rPr>
        <w:t>784</w:t>
      </w:r>
      <w:r>
        <w:rPr>
          <w:rFonts w:cs="Arial"/>
          <w:szCs w:val="22"/>
        </w:rPr>
        <w:t>–</w:t>
      </w:r>
      <w:r w:rsidRPr="00405B7D">
        <w:rPr>
          <w:rFonts w:cs="Arial"/>
          <w:szCs w:val="22"/>
        </w:rPr>
        <w:t>91</w:t>
      </w:r>
      <w:r>
        <w:rPr>
          <w:rFonts w:cs="Arial"/>
          <w:szCs w:val="22"/>
        </w:rPr>
        <w:t>.</w:t>
      </w:r>
    </w:p>
    <w:p w14:paraId="019D2D8A" w14:textId="77777777" w:rsidR="00572F25" w:rsidRPr="00405B7D" w:rsidRDefault="00572F25" w:rsidP="00572F25">
      <w:pPr>
        <w:pStyle w:val="Bulletlist"/>
        <w:numPr>
          <w:ilvl w:val="6"/>
          <w:numId w:val="33"/>
        </w:numPr>
        <w:tabs>
          <w:tab w:val="left" w:pos="709"/>
        </w:tabs>
        <w:ind w:left="425" w:hanging="425"/>
        <w:contextualSpacing w:val="0"/>
        <w:rPr>
          <w:rFonts w:cs="Arial"/>
          <w:szCs w:val="22"/>
        </w:rPr>
      </w:pPr>
      <w:r w:rsidRPr="00405B7D">
        <w:rPr>
          <w:rFonts w:cs="Arial"/>
          <w:szCs w:val="22"/>
          <w:shd w:val="clear" w:color="auto" w:fill="FFFFFF"/>
        </w:rPr>
        <w:lastRenderedPageBreak/>
        <w:t xml:space="preserve">Australian Institute of Health and Welfare. Public hospitals worked to clear elective surgery backlog during 2020–21 [media release]. </w:t>
      </w:r>
      <w:r>
        <w:rPr>
          <w:rFonts w:cs="Arial"/>
          <w:szCs w:val="22"/>
          <w:shd w:val="clear" w:color="auto" w:fill="FFFFFF"/>
        </w:rPr>
        <w:t xml:space="preserve">Canberra: </w:t>
      </w:r>
      <w:r w:rsidRPr="00405B7D">
        <w:rPr>
          <w:rFonts w:cs="Arial"/>
          <w:szCs w:val="22"/>
          <w:shd w:val="clear" w:color="auto" w:fill="FFFFFF"/>
        </w:rPr>
        <w:t xml:space="preserve">AIHW; </w:t>
      </w:r>
      <w:r>
        <w:rPr>
          <w:rFonts w:cs="Arial"/>
          <w:szCs w:val="22"/>
          <w:shd w:val="clear" w:color="auto" w:fill="FFFFFF"/>
        </w:rPr>
        <w:t>25 </w:t>
      </w:r>
      <w:r w:rsidRPr="00405B7D">
        <w:rPr>
          <w:rFonts w:cs="Arial"/>
          <w:szCs w:val="22"/>
          <w:shd w:val="clear" w:color="auto" w:fill="FFFFFF"/>
        </w:rPr>
        <w:t xml:space="preserve">January 2022. Available from: </w:t>
      </w:r>
      <w:r w:rsidRPr="00405B7D">
        <w:rPr>
          <w:rStyle w:val="Hyperlink"/>
          <w:rFonts w:cs="Arial"/>
          <w:szCs w:val="22"/>
          <w:shd w:val="clear" w:color="auto" w:fill="FFFFFF"/>
        </w:rPr>
        <w:t>https://www.aihw.gov.au/news-media/media-releases/2021/january-1/public-hospitals-worked-to-clear-elective-surgery</w:t>
      </w:r>
    </w:p>
    <w:p w14:paraId="05E8B644" w14:textId="77777777" w:rsidR="00572F25" w:rsidRPr="00405B7D" w:rsidRDefault="00572F25" w:rsidP="00572F25">
      <w:pPr>
        <w:pStyle w:val="Bulletlist"/>
        <w:numPr>
          <w:ilvl w:val="6"/>
          <w:numId w:val="33"/>
        </w:numPr>
        <w:tabs>
          <w:tab w:val="left" w:pos="709"/>
        </w:tabs>
        <w:ind w:left="425" w:hanging="425"/>
        <w:contextualSpacing w:val="0"/>
        <w:rPr>
          <w:rFonts w:cs="Arial"/>
          <w:szCs w:val="22"/>
        </w:rPr>
      </w:pPr>
      <w:r w:rsidRPr="00405B7D">
        <w:rPr>
          <w:rFonts w:cs="Arial"/>
          <w:szCs w:val="22"/>
          <w:shd w:val="clear" w:color="auto" w:fill="FFFFFF"/>
        </w:rPr>
        <w:t xml:space="preserve">National Centre for Antimicrobial Stewardship. Clinical </w:t>
      </w:r>
      <w:r>
        <w:rPr>
          <w:rFonts w:cs="Arial"/>
          <w:szCs w:val="22"/>
          <w:shd w:val="clear" w:color="auto" w:fill="FFFFFF"/>
        </w:rPr>
        <w:t>f</w:t>
      </w:r>
      <w:r w:rsidRPr="00405B7D">
        <w:rPr>
          <w:rFonts w:cs="Arial"/>
          <w:szCs w:val="22"/>
          <w:shd w:val="clear" w:color="auto" w:fill="FFFFFF"/>
        </w:rPr>
        <w:t xml:space="preserve">act </w:t>
      </w:r>
      <w:r>
        <w:rPr>
          <w:rFonts w:cs="Arial"/>
          <w:szCs w:val="22"/>
          <w:shd w:val="clear" w:color="auto" w:fill="FFFFFF"/>
        </w:rPr>
        <w:t>s</w:t>
      </w:r>
      <w:r w:rsidRPr="00405B7D">
        <w:rPr>
          <w:rFonts w:cs="Arial"/>
          <w:szCs w:val="22"/>
          <w:shd w:val="clear" w:color="auto" w:fill="FFFFFF"/>
        </w:rPr>
        <w:t xml:space="preserve">heets. </w:t>
      </w:r>
      <w:r>
        <w:rPr>
          <w:rFonts w:cs="Arial"/>
          <w:szCs w:val="22"/>
          <w:shd w:val="clear" w:color="auto" w:fill="FFFFFF"/>
        </w:rPr>
        <w:t xml:space="preserve">Melbourne: </w:t>
      </w:r>
      <w:r w:rsidRPr="00405B7D">
        <w:rPr>
          <w:rFonts w:cs="Arial"/>
          <w:szCs w:val="22"/>
          <w:shd w:val="clear" w:color="auto" w:fill="FFFFFF"/>
        </w:rPr>
        <w:t>NCAS</w:t>
      </w:r>
      <w:r>
        <w:rPr>
          <w:rFonts w:cs="Arial"/>
          <w:szCs w:val="22"/>
          <w:shd w:val="clear" w:color="auto" w:fill="FFFFFF"/>
        </w:rPr>
        <w:t>;</w:t>
      </w:r>
      <w:r w:rsidRPr="00405B7D">
        <w:rPr>
          <w:rFonts w:cs="Arial"/>
          <w:szCs w:val="22"/>
          <w:shd w:val="clear" w:color="auto" w:fill="FFFFFF"/>
        </w:rPr>
        <w:t xml:space="preserve"> 2020. Available from: </w:t>
      </w:r>
      <w:hyperlink r:id="rId70" w:history="1">
        <w:r w:rsidRPr="00405B7D">
          <w:rPr>
            <w:rStyle w:val="Hyperlink"/>
            <w:rFonts w:cs="Arial"/>
            <w:szCs w:val="22"/>
            <w:shd w:val="clear" w:color="auto" w:fill="FFFFFF"/>
          </w:rPr>
          <w:t>https://www.ncas-australia.org/Education</w:t>
        </w:r>
      </w:hyperlink>
    </w:p>
    <w:p w14:paraId="4BA50BD8" w14:textId="77777777" w:rsidR="00572F25" w:rsidRPr="00405B7D" w:rsidRDefault="00572F25" w:rsidP="00572F25">
      <w:pPr>
        <w:pStyle w:val="Bulletlist"/>
        <w:numPr>
          <w:ilvl w:val="6"/>
          <w:numId w:val="33"/>
        </w:numPr>
        <w:tabs>
          <w:tab w:val="left" w:pos="709"/>
        </w:tabs>
        <w:ind w:left="425" w:hanging="425"/>
        <w:contextualSpacing w:val="0"/>
        <w:rPr>
          <w:rFonts w:cs="Arial"/>
          <w:szCs w:val="22"/>
        </w:rPr>
      </w:pPr>
      <w:r w:rsidRPr="00405B7D">
        <w:rPr>
          <w:rFonts w:cs="Arial"/>
          <w:szCs w:val="22"/>
          <w:shd w:val="clear" w:color="auto" w:fill="FFFFFF"/>
        </w:rPr>
        <w:t xml:space="preserve">Australian Commission on Safety and Quality in Health Care. Cataract Clinical Care Standard. </w:t>
      </w:r>
      <w:r>
        <w:rPr>
          <w:rFonts w:cs="Arial"/>
          <w:szCs w:val="22"/>
          <w:shd w:val="clear" w:color="auto" w:fill="FFFFFF"/>
        </w:rPr>
        <w:t xml:space="preserve">Sydney: </w:t>
      </w:r>
      <w:r w:rsidRPr="00405B7D">
        <w:rPr>
          <w:rFonts w:cs="Arial"/>
          <w:szCs w:val="22"/>
          <w:shd w:val="clear" w:color="auto" w:fill="FFFFFF"/>
        </w:rPr>
        <w:t>ACSQHC</w:t>
      </w:r>
      <w:r>
        <w:rPr>
          <w:rFonts w:cs="Arial"/>
          <w:szCs w:val="22"/>
          <w:shd w:val="clear" w:color="auto" w:fill="FFFFFF"/>
        </w:rPr>
        <w:t>;</w:t>
      </w:r>
      <w:r w:rsidRPr="00405B7D">
        <w:rPr>
          <w:rFonts w:cs="Arial"/>
          <w:szCs w:val="22"/>
          <w:shd w:val="clear" w:color="auto" w:fill="FFFFFF"/>
        </w:rPr>
        <w:t xml:space="preserve"> 20</w:t>
      </w:r>
      <w:r w:rsidR="0066255B">
        <w:rPr>
          <w:rFonts w:cs="Arial"/>
          <w:szCs w:val="22"/>
          <w:shd w:val="clear" w:color="auto" w:fill="FFFFFF"/>
        </w:rPr>
        <w:t>21</w:t>
      </w:r>
      <w:r w:rsidRPr="00405B7D">
        <w:rPr>
          <w:rFonts w:cs="Arial"/>
          <w:szCs w:val="22"/>
          <w:shd w:val="clear" w:color="auto" w:fill="FFFFFF"/>
        </w:rPr>
        <w:t>.</w:t>
      </w:r>
    </w:p>
    <w:p w14:paraId="15C44B33" w14:textId="77777777" w:rsidR="00572F25" w:rsidRPr="00405B7D" w:rsidRDefault="00572F25" w:rsidP="00572F25">
      <w:pPr>
        <w:pStyle w:val="Bulletlist"/>
        <w:numPr>
          <w:ilvl w:val="6"/>
          <w:numId w:val="33"/>
        </w:numPr>
        <w:tabs>
          <w:tab w:val="left" w:pos="709"/>
        </w:tabs>
        <w:ind w:left="425" w:hanging="425"/>
        <w:contextualSpacing w:val="0"/>
      </w:pPr>
      <w:r w:rsidRPr="00405B7D">
        <w:rPr>
          <w:rFonts w:cs="Arial"/>
          <w:szCs w:val="22"/>
        </w:rPr>
        <w:t xml:space="preserve">Royal Australasian College of Surgeons. Morbidity Audit and Logbook </w:t>
      </w:r>
      <w:r>
        <w:rPr>
          <w:rFonts w:cs="Arial"/>
          <w:szCs w:val="22"/>
        </w:rPr>
        <w:t>t</w:t>
      </w:r>
      <w:r w:rsidRPr="00405B7D">
        <w:rPr>
          <w:rFonts w:cs="Arial"/>
          <w:szCs w:val="22"/>
        </w:rPr>
        <w:t xml:space="preserve">ool. </w:t>
      </w:r>
      <w:r>
        <w:rPr>
          <w:rFonts w:cs="Arial"/>
          <w:szCs w:val="22"/>
        </w:rPr>
        <w:t xml:space="preserve">Available at: </w:t>
      </w:r>
      <w:hyperlink r:id="rId71" w:history="1">
        <w:r>
          <w:rPr>
            <w:rStyle w:val="Hyperlink"/>
            <w:rFonts w:cs="Arial"/>
            <w:szCs w:val="22"/>
          </w:rPr>
          <w:t>https://www.surgeons.org/en/research-audit/morbidity-audits/morbidity-audit-and-logbook-tool</w:t>
        </w:r>
      </w:hyperlink>
      <w:r>
        <w:rPr>
          <w:rFonts w:cs="Arial"/>
          <w:szCs w:val="22"/>
        </w:rPr>
        <w:t xml:space="preserve"> [</w:t>
      </w:r>
      <w:r w:rsidRPr="00405B7D">
        <w:rPr>
          <w:rFonts w:cs="Arial"/>
          <w:szCs w:val="22"/>
        </w:rPr>
        <w:t>accessed 2015</w:t>
      </w:r>
      <w:r>
        <w:rPr>
          <w:rFonts w:cs="Arial"/>
          <w:szCs w:val="22"/>
        </w:rPr>
        <w:t xml:space="preserve">]. </w:t>
      </w:r>
      <w:bookmarkStart w:id="187" w:name="_Toc106731829"/>
    </w:p>
    <w:p w14:paraId="2685A312" w14:textId="77777777" w:rsidR="00540F5D" w:rsidRDefault="00540F5D" w:rsidP="00572F25">
      <w:pPr>
        <w:spacing w:after="0"/>
      </w:pPr>
    </w:p>
    <w:p w14:paraId="6FCD9E36" w14:textId="77777777" w:rsidR="00572F25" w:rsidRDefault="00572F25" w:rsidP="00572F25">
      <w:pPr>
        <w:spacing w:after="0"/>
        <w:rPr>
          <w:rFonts w:cs="Arial"/>
          <w:b/>
          <w:bCs/>
          <w:color w:val="2C5A6C"/>
          <w:kern w:val="28"/>
          <w:sz w:val="40"/>
          <w:szCs w:val="32"/>
        </w:rPr>
      </w:pPr>
      <w:r>
        <w:br w:type="page"/>
      </w:r>
    </w:p>
    <w:p w14:paraId="3E3B720E" w14:textId="77777777" w:rsidR="00572F25" w:rsidRPr="00B44272" w:rsidRDefault="00572F25" w:rsidP="00572F25">
      <w:pPr>
        <w:pStyle w:val="Heading1"/>
        <w:ind w:left="432" w:hanging="432"/>
      </w:pPr>
      <w:bookmarkStart w:id="188" w:name="_Toc126664227"/>
      <w:r w:rsidRPr="00492B18">
        <w:lastRenderedPageBreak/>
        <w:t>Acknowledgements</w:t>
      </w:r>
      <w:bookmarkEnd w:id="187"/>
      <w:bookmarkEnd w:id="188"/>
    </w:p>
    <w:p w14:paraId="0993676B" w14:textId="77777777" w:rsidR="00572F25" w:rsidRPr="00100A95" w:rsidRDefault="00572F25" w:rsidP="00572F25">
      <w:pPr>
        <w:rPr>
          <w:b/>
          <w:sz w:val="24"/>
        </w:rPr>
      </w:pPr>
      <w:bookmarkStart w:id="189" w:name="_Toc47422924"/>
      <w:bookmarkStart w:id="190" w:name="_Toc47422993"/>
      <w:bookmarkStart w:id="191" w:name="_Toc47423806"/>
      <w:bookmarkStart w:id="192" w:name="_Toc106731830"/>
      <w:r w:rsidRPr="00100A95">
        <w:rPr>
          <w:b/>
          <w:sz w:val="24"/>
        </w:rPr>
        <w:t>Contributing facilities</w:t>
      </w:r>
      <w:bookmarkEnd w:id="189"/>
      <w:bookmarkEnd w:id="190"/>
      <w:bookmarkEnd w:id="191"/>
      <w:bookmarkEnd w:id="192"/>
    </w:p>
    <w:p w14:paraId="76F32FA9" w14:textId="77777777" w:rsidR="00572F25" w:rsidRDefault="00572F25" w:rsidP="00572F25">
      <w:pPr>
        <w:rPr>
          <w:rFonts w:cs="Arial"/>
        </w:rPr>
      </w:pPr>
      <w:r w:rsidRPr="00B44272">
        <w:rPr>
          <w:rFonts w:cs="Arial"/>
        </w:rPr>
        <w:t xml:space="preserve">On behalf of the NCAS, we would like to thank all </w:t>
      </w:r>
      <w:r>
        <w:rPr>
          <w:rFonts w:cs="Arial"/>
        </w:rPr>
        <w:t>contributing</w:t>
      </w:r>
      <w:r w:rsidRPr="00B44272">
        <w:rPr>
          <w:rFonts w:cs="Arial"/>
        </w:rPr>
        <w:t xml:space="preserve"> facilities and auditors for their time and effort in collecting and entering the data</w:t>
      </w:r>
      <w:r>
        <w:rPr>
          <w:rFonts w:cs="Arial"/>
        </w:rPr>
        <w:t xml:space="preserve"> and </w:t>
      </w:r>
      <w:r w:rsidRPr="00B44272">
        <w:rPr>
          <w:rFonts w:cs="Arial"/>
        </w:rPr>
        <w:t>contributing to the AURA Surveillance System</w:t>
      </w:r>
      <w:r>
        <w:rPr>
          <w:rFonts w:cs="Arial"/>
        </w:rPr>
        <w:t>,</w:t>
      </w:r>
      <w:r w:rsidRPr="00B44272">
        <w:t xml:space="preserve"> </w:t>
      </w:r>
      <w:r w:rsidRPr="00B44272">
        <w:rPr>
          <w:rFonts w:cs="Arial"/>
        </w:rPr>
        <w:t xml:space="preserve">and </w:t>
      </w:r>
      <w:r>
        <w:rPr>
          <w:rFonts w:cs="Arial"/>
        </w:rPr>
        <w:t>for</w:t>
      </w:r>
      <w:r w:rsidRPr="00B44272">
        <w:rPr>
          <w:rFonts w:cs="Arial"/>
        </w:rPr>
        <w:t xml:space="preserve"> their continued commitment to improving safety and quality across the Australian healthcare system.</w:t>
      </w:r>
    </w:p>
    <w:p w14:paraId="6A7864A5" w14:textId="77777777" w:rsidR="00572F25" w:rsidRPr="00100A95" w:rsidRDefault="00572F25" w:rsidP="00572F25">
      <w:pPr>
        <w:spacing w:before="240"/>
        <w:rPr>
          <w:rFonts w:cs="Arial"/>
          <w:b/>
          <w:sz w:val="24"/>
        </w:rPr>
      </w:pPr>
      <w:r w:rsidRPr="00100A95">
        <w:rPr>
          <w:rFonts w:cs="Arial"/>
          <w:b/>
          <w:sz w:val="24"/>
        </w:rPr>
        <w:t>National Centre for Antimicrobial Stewardship and the Guidance Group</w:t>
      </w:r>
    </w:p>
    <w:p w14:paraId="27BA10B1" w14:textId="77777777" w:rsidR="00572F25" w:rsidRPr="00B44272" w:rsidRDefault="00572F25" w:rsidP="00572F25">
      <w:pPr>
        <w:spacing w:before="240"/>
        <w:rPr>
          <w:rFonts w:cs="Arial"/>
        </w:rPr>
      </w:pPr>
      <w:r w:rsidRPr="00B44272">
        <w:rPr>
          <w:rFonts w:cs="Arial"/>
        </w:rPr>
        <w:t xml:space="preserve">Professor Karin </w:t>
      </w:r>
      <w:proofErr w:type="spellStart"/>
      <w:r w:rsidRPr="00B44272">
        <w:rPr>
          <w:rFonts w:cs="Arial"/>
        </w:rPr>
        <w:t>Thursky</w:t>
      </w:r>
      <w:proofErr w:type="spellEnd"/>
      <w:r w:rsidRPr="00B44272">
        <w:rPr>
          <w:rFonts w:cs="Arial"/>
        </w:rPr>
        <w:t xml:space="preserve"> – Director</w:t>
      </w:r>
      <w:r>
        <w:rPr>
          <w:rFonts w:cs="Arial"/>
        </w:rPr>
        <w:t>,</w:t>
      </w:r>
      <w:r w:rsidRPr="00B44272">
        <w:rPr>
          <w:rFonts w:cs="Arial"/>
        </w:rPr>
        <w:t xml:space="preserve"> NCAS</w:t>
      </w:r>
    </w:p>
    <w:p w14:paraId="281F2EB8" w14:textId="77777777" w:rsidR="00572F25" w:rsidRPr="00B44272" w:rsidRDefault="00572F25" w:rsidP="00572F25">
      <w:pPr>
        <w:rPr>
          <w:rFonts w:cs="Arial"/>
        </w:rPr>
      </w:pPr>
      <w:r w:rsidRPr="00B44272">
        <w:rPr>
          <w:rFonts w:cs="Arial"/>
        </w:rPr>
        <w:t xml:space="preserve">Professor Kirsty </w:t>
      </w:r>
      <w:proofErr w:type="spellStart"/>
      <w:r w:rsidRPr="00B44272">
        <w:rPr>
          <w:rFonts w:cs="Arial"/>
        </w:rPr>
        <w:t>Buising</w:t>
      </w:r>
      <w:proofErr w:type="spellEnd"/>
      <w:r w:rsidRPr="00B44272">
        <w:rPr>
          <w:rFonts w:cs="Arial"/>
        </w:rPr>
        <w:t xml:space="preserve"> – Deputy Director</w:t>
      </w:r>
      <w:r>
        <w:rPr>
          <w:rFonts w:cs="Arial"/>
        </w:rPr>
        <w:t>,</w:t>
      </w:r>
      <w:r w:rsidRPr="00B44272">
        <w:rPr>
          <w:rFonts w:cs="Arial"/>
        </w:rPr>
        <w:t xml:space="preserve"> NCAS</w:t>
      </w:r>
    </w:p>
    <w:p w14:paraId="4F500935" w14:textId="77777777" w:rsidR="00572F25" w:rsidRPr="00B44272" w:rsidRDefault="00572F25" w:rsidP="00572F25">
      <w:pPr>
        <w:rPr>
          <w:rFonts w:cs="Arial"/>
        </w:rPr>
      </w:pPr>
      <w:r w:rsidRPr="00B44272">
        <w:rPr>
          <w:rFonts w:cs="Arial"/>
        </w:rPr>
        <w:t>Dr Rodney James –</w:t>
      </w:r>
      <w:r>
        <w:rPr>
          <w:rFonts w:cs="Arial"/>
        </w:rPr>
        <w:t xml:space="preserve"> </w:t>
      </w:r>
      <w:r w:rsidRPr="00B44272">
        <w:rPr>
          <w:rFonts w:cs="Arial"/>
        </w:rPr>
        <w:t>Director of Clinical Services</w:t>
      </w:r>
      <w:r>
        <w:rPr>
          <w:rFonts w:cs="Arial"/>
        </w:rPr>
        <w:t>,</w:t>
      </w:r>
      <w:r w:rsidRPr="00B44272">
        <w:rPr>
          <w:rFonts w:cs="Arial"/>
        </w:rPr>
        <w:t xml:space="preserve"> Guidance</w:t>
      </w:r>
      <w:r>
        <w:rPr>
          <w:rFonts w:cs="Arial"/>
        </w:rPr>
        <w:t xml:space="preserve"> Group</w:t>
      </w:r>
    </w:p>
    <w:p w14:paraId="4C7E1137" w14:textId="77777777" w:rsidR="00572F25" w:rsidRDefault="00572F25" w:rsidP="00572F25">
      <w:pPr>
        <w:rPr>
          <w:rFonts w:cs="Arial"/>
        </w:rPr>
      </w:pPr>
      <w:r>
        <w:rPr>
          <w:rFonts w:cs="Arial"/>
        </w:rPr>
        <w:t xml:space="preserve">Dr Courtney </w:t>
      </w:r>
      <w:proofErr w:type="spellStart"/>
      <w:r>
        <w:rPr>
          <w:rFonts w:cs="Arial"/>
        </w:rPr>
        <w:t>Ierano</w:t>
      </w:r>
      <w:proofErr w:type="spellEnd"/>
      <w:r>
        <w:rPr>
          <w:rFonts w:cs="Arial"/>
        </w:rPr>
        <w:t xml:space="preserve"> – </w:t>
      </w:r>
      <w:r w:rsidRPr="00B44272">
        <w:rPr>
          <w:rFonts w:cs="Arial"/>
        </w:rPr>
        <w:t xml:space="preserve">NAPS </w:t>
      </w:r>
      <w:r>
        <w:rPr>
          <w:rFonts w:cs="Arial"/>
        </w:rPr>
        <w:t>Program Manager</w:t>
      </w:r>
    </w:p>
    <w:p w14:paraId="1B675874" w14:textId="77777777" w:rsidR="00572F25" w:rsidRDefault="00572F25" w:rsidP="00572F25">
      <w:pPr>
        <w:rPr>
          <w:rFonts w:cs="Arial"/>
        </w:rPr>
      </w:pPr>
      <w:r>
        <w:rPr>
          <w:rFonts w:cs="Arial"/>
        </w:rPr>
        <w:t>Ms Caroline Chen – NAPS Project Officer</w:t>
      </w:r>
    </w:p>
    <w:p w14:paraId="66B91C13" w14:textId="77777777" w:rsidR="00572F25" w:rsidRPr="00B44272" w:rsidRDefault="00572F25" w:rsidP="00572F25">
      <w:pPr>
        <w:rPr>
          <w:rFonts w:cs="Arial"/>
        </w:rPr>
      </w:pPr>
      <w:r>
        <w:rPr>
          <w:rFonts w:cs="Arial"/>
        </w:rPr>
        <w:t xml:space="preserve">Associate Professor Noleen Bennett – </w:t>
      </w:r>
      <w:r w:rsidRPr="00C14B4D">
        <w:rPr>
          <w:rFonts w:cs="Arial"/>
        </w:rPr>
        <w:t>Senior Infection Control Consultant</w:t>
      </w:r>
    </w:p>
    <w:p w14:paraId="6676FF1C" w14:textId="77777777" w:rsidR="00572F25" w:rsidRPr="00B44272" w:rsidRDefault="00572F25" w:rsidP="00572F25">
      <w:pPr>
        <w:rPr>
          <w:rFonts w:cs="Arial"/>
        </w:rPr>
      </w:pPr>
      <w:r>
        <w:rPr>
          <w:rFonts w:cs="Arial"/>
        </w:rPr>
        <w:t xml:space="preserve">Mr </w:t>
      </w:r>
      <w:proofErr w:type="spellStart"/>
      <w:r>
        <w:rPr>
          <w:rFonts w:cs="Arial"/>
        </w:rPr>
        <w:t>Pramode</w:t>
      </w:r>
      <w:proofErr w:type="spellEnd"/>
      <w:r>
        <w:rPr>
          <w:rFonts w:cs="Arial"/>
        </w:rPr>
        <w:t xml:space="preserve"> Varghese </w:t>
      </w:r>
      <w:r w:rsidRPr="00B44272">
        <w:rPr>
          <w:rFonts w:cs="Arial"/>
        </w:rPr>
        <w:t>–</w:t>
      </w:r>
      <w:r>
        <w:rPr>
          <w:rFonts w:cs="Arial"/>
        </w:rPr>
        <w:t xml:space="preserve"> </w:t>
      </w:r>
      <w:r w:rsidRPr="00B44272">
        <w:rPr>
          <w:rFonts w:cs="Arial"/>
        </w:rPr>
        <w:t>Director of Technical Services</w:t>
      </w:r>
      <w:r>
        <w:rPr>
          <w:rFonts w:cs="Arial"/>
        </w:rPr>
        <w:t>,</w:t>
      </w:r>
      <w:r w:rsidRPr="00C10E65">
        <w:rPr>
          <w:rFonts w:cs="Arial"/>
        </w:rPr>
        <w:t xml:space="preserve"> </w:t>
      </w:r>
      <w:r w:rsidRPr="00B44272">
        <w:rPr>
          <w:rFonts w:cs="Arial"/>
        </w:rPr>
        <w:t>Guidance</w:t>
      </w:r>
      <w:r>
        <w:rPr>
          <w:rFonts w:cs="Arial"/>
        </w:rPr>
        <w:t xml:space="preserve"> Group</w:t>
      </w:r>
    </w:p>
    <w:p w14:paraId="7E25B8D3" w14:textId="77777777" w:rsidR="00572F25" w:rsidRDefault="00572F25" w:rsidP="00572F25">
      <w:pPr>
        <w:rPr>
          <w:rFonts w:cs="Arial"/>
        </w:rPr>
      </w:pPr>
      <w:r w:rsidRPr="00EC345A">
        <w:rPr>
          <w:rFonts w:cs="Arial"/>
          <w:bCs/>
        </w:rPr>
        <w:t xml:space="preserve">Mr Logesh Palani </w:t>
      </w:r>
      <w:r w:rsidRPr="00B44272">
        <w:rPr>
          <w:rFonts w:cs="Arial"/>
        </w:rPr>
        <w:t>–</w:t>
      </w:r>
      <w:r>
        <w:rPr>
          <w:rFonts w:cs="Arial"/>
        </w:rPr>
        <w:t xml:space="preserve"> S</w:t>
      </w:r>
      <w:r w:rsidRPr="00B44272">
        <w:rPr>
          <w:rFonts w:cs="Arial"/>
        </w:rPr>
        <w:t xml:space="preserve">oftware </w:t>
      </w:r>
      <w:r>
        <w:rPr>
          <w:rFonts w:cs="Arial"/>
        </w:rPr>
        <w:t>D</w:t>
      </w:r>
      <w:r w:rsidRPr="00B44272">
        <w:rPr>
          <w:rFonts w:cs="Arial"/>
        </w:rPr>
        <w:t>eveloper</w:t>
      </w:r>
      <w:r>
        <w:rPr>
          <w:rFonts w:cs="Arial"/>
        </w:rPr>
        <w:t>,</w:t>
      </w:r>
      <w:r w:rsidRPr="00C10E65">
        <w:rPr>
          <w:rFonts w:cs="Arial"/>
        </w:rPr>
        <w:t xml:space="preserve"> </w:t>
      </w:r>
      <w:r w:rsidRPr="00B44272">
        <w:rPr>
          <w:rFonts w:cs="Arial"/>
        </w:rPr>
        <w:t>Guidance</w:t>
      </w:r>
      <w:r>
        <w:rPr>
          <w:rFonts w:cs="Arial"/>
        </w:rPr>
        <w:t xml:space="preserve"> Group</w:t>
      </w:r>
    </w:p>
    <w:p w14:paraId="3D2BC1F0" w14:textId="77777777" w:rsidR="00C05F79" w:rsidRDefault="00C05F79" w:rsidP="00C05F79">
      <w:pPr>
        <w:rPr>
          <w:rFonts w:cs="Arial"/>
        </w:rPr>
      </w:pPr>
      <w:bookmarkStart w:id="193" w:name="_Hlk138925873"/>
    </w:p>
    <w:p w14:paraId="52BBEFE6" w14:textId="77777777" w:rsidR="00C05F79" w:rsidRDefault="00C05F79" w:rsidP="00C05F79">
      <w:pPr>
        <w:rPr>
          <w:rFonts w:cs="Arial"/>
        </w:rPr>
        <w:sectPr w:rsidR="00C05F79" w:rsidSect="00DE146F">
          <w:headerReference w:type="default" r:id="rId72"/>
          <w:footerReference w:type="default" r:id="rId73"/>
          <w:type w:val="evenPage"/>
          <w:pgSz w:w="11906" w:h="16838"/>
          <w:pgMar w:top="1701" w:right="1418" w:bottom="1418" w:left="1418" w:header="709" w:footer="709" w:gutter="0"/>
          <w:cols w:space="708"/>
          <w:docGrid w:linePitch="360"/>
        </w:sectPr>
      </w:pPr>
    </w:p>
    <w:p w14:paraId="0EEF30FC" w14:textId="77777777" w:rsidR="00C05F79" w:rsidRDefault="00C05F79" w:rsidP="00C05F79">
      <w:pPr>
        <w:pStyle w:val="URL"/>
        <w:spacing w:before="600"/>
      </w:pPr>
      <w:r>
        <w:rPr>
          <w:noProof/>
        </w:rPr>
        <w:lastRenderedPageBreak/>
        <w:drawing>
          <wp:anchor distT="0" distB="0" distL="114300" distR="114300" simplePos="0" relativeHeight="251658247" behindDoc="1" locked="0" layoutInCell="1" allowOverlap="1" wp14:anchorId="392A851F" wp14:editId="2F41D56C">
            <wp:simplePos x="0" y="0"/>
            <wp:positionH relativeFrom="column">
              <wp:posOffset>-650875</wp:posOffset>
            </wp:positionH>
            <wp:positionV relativeFrom="paragraph">
              <wp:posOffset>-525145</wp:posOffset>
            </wp:positionV>
            <wp:extent cx="7105015" cy="2588260"/>
            <wp:effectExtent l="0" t="0" r="0" b="0"/>
            <wp:wrapNone/>
            <wp:docPr id="624554962" name="Picture 6245549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a:extLst>
                        <a:ext uri="{C183D7F6-B498-43B3-948B-1728B52AA6E4}">
                          <adec:decorative xmlns:adec="http://schemas.microsoft.com/office/drawing/2017/decorative" val="1"/>
                        </a:ext>
                      </a:extLst>
                    </pic:cNvPr>
                    <pic:cNvPicPr>
                      <a:picLocks/>
                    </pic:cNvPicPr>
                  </pic:nvPicPr>
                  <pic:blipFill>
                    <a:blip r:embed="rId11">
                      <a:extLst>
                        <a:ext uri="{28A0092B-C50C-407E-A947-70E740481C1C}">
                          <a14:useLocalDpi xmlns:a14="http://schemas.microsoft.com/office/drawing/2010/main" val="0"/>
                        </a:ext>
                      </a:extLst>
                    </a:blip>
                    <a:srcRect t="27577" b="17725"/>
                    <a:stretch>
                      <a:fillRect/>
                    </a:stretch>
                  </pic:blipFill>
                  <pic:spPr bwMode="auto">
                    <a:xfrm>
                      <a:off x="0" y="0"/>
                      <a:ext cx="7105015" cy="25882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8" behindDoc="1" locked="0" layoutInCell="1" allowOverlap="1" wp14:anchorId="0BA55DF0" wp14:editId="54155A1B">
                <wp:simplePos x="0" y="0"/>
                <wp:positionH relativeFrom="column">
                  <wp:posOffset>-650875</wp:posOffset>
                </wp:positionH>
                <wp:positionV relativeFrom="page">
                  <wp:posOffset>551180</wp:posOffset>
                </wp:positionV>
                <wp:extent cx="7105015" cy="2591435"/>
                <wp:effectExtent l="0" t="0" r="0" b="0"/>
                <wp:wrapNone/>
                <wp:docPr id="701818554" name="Freeform: Shape 7018185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05015" cy="2591435"/>
                        </a:xfrm>
                        <a:custGeom>
                          <a:avLst/>
                          <a:gdLst/>
                          <a:ahLst/>
                          <a:cxnLst/>
                          <a:rect l="l" t="t" r="r" b="b"/>
                          <a:pathLst>
                            <a:path w="7128509" h="2844165">
                              <a:moveTo>
                                <a:pt x="7128002" y="0"/>
                              </a:moveTo>
                              <a:lnTo>
                                <a:pt x="0" y="0"/>
                              </a:lnTo>
                              <a:lnTo>
                                <a:pt x="0" y="2843999"/>
                              </a:lnTo>
                              <a:lnTo>
                                <a:pt x="7128002" y="2843999"/>
                              </a:lnTo>
                              <a:lnTo>
                                <a:pt x="7128002" y="0"/>
                              </a:lnTo>
                              <a:close/>
                            </a:path>
                          </a:pathLst>
                        </a:custGeom>
                        <a:solidFill>
                          <a:srgbClr val="3F4A75">
                            <a:alpha val="39999"/>
                          </a:srgbClr>
                        </a:solidFill>
                      </wps:spPr>
                      <wps:bodyPr vertOverflow="clip" horzOverflow="clip"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907B16B" id="Freeform: Shape 701818554" o:spid="_x0000_s1026" alt="&quot;&quot;" style="position:absolute;margin-left:-51.25pt;margin-top:43.4pt;width:559.45pt;height:204.05pt;z-index:-2516582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7128509,2844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" path="m7128002,l,,,2843999r7128002,l7128002,xe" fillcolor="#3f4a75" stroked="f">
                <v:fill opacity="26214f"/>
                <v:path arrowok="t"/>
                <w10:wrap anchory="page"/>
              </v:shape>
            </w:pict>
          </mc:Fallback>
        </mc:AlternateContent>
      </w:r>
    </w:p>
    <w:p w14:paraId="0936F2A4" w14:textId="77777777" w:rsidR="00C05F79" w:rsidRDefault="00C05F79" w:rsidP="00C05F79">
      <w:pPr>
        <w:pStyle w:val="URL"/>
        <w:spacing w:before="600"/>
      </w:pPr>
    </w:p>
    <w:p w14:paraId="1C072ECF" w14:textId="77777777" w:rsidR="00C05F79" w:rsidRDefault="00C05F79" w:rsidP="00C05F79">
      <w:pPr>
        <w:pStyle w:val="URL"/>
        <w:spacing w:before="600"/>
      </w:pPr>
    </w:p>
    <w:p w14:paraId="5A9B7BA3" w14:textId="77777777" w:rsidR="00C05F79" w:rsidRDefault="00C05F79" w:rsidP="00C05F79">
      <w:pPr>
        <w:pStyle w:val="URL"/>
        <w:spacing w:before="600"/>
      </w:pPr>
      <w:r>
        <w:rPr>
          <w:noProof/>
        </w:rPr>
        <w:drawing>
          <wp:anchor distT="0" distB="0" distL="114300" distR="114300" simplePos="0" relativeHeight="251658250" behindDoc="1" locked="0" layoutInCell="1" allowOverlap="1" wp14:anchorId="54A2DA81" wp14:editId="06A56520">
            <wp:simplePos x="0" y="0"/>
            <wp:positionH relativeFrom="column">
              <wp:posOffset>-669925</wp:posOffset>
            </wp:positionH>
            <wp:positionV relativeFrom="page">
              <wp:posOffset>3138805</wp:posOffset>
            </wp:positionV>
            <wp:extent cx="7127240" cy="7301865"/>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786">
                      <a:extLst>
                        <a:ext uri="{C183D7F6-B498-43B3-948B-1728B52AA6E4}">
                          <adec:decorative xmlns:adec="http://schemas.microsoft.com/office/drawing/2017/decorative" val="1"/>
                        </a:ext>
                      </a:extLst>
                    </pic:cNvPr>
                    <pic:cNvPicPr>
                      <a:picLocks/>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127240" cy="73018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9" behindDoc="1" locked="0" layoutInCell="1" allowOverlap="1" wp14:anchorId="1225436F" wp14:editId="3A98C5C0">
            <wp:simplePos x="0" y="0"/>
            <wp:positionH relativeFrom="page">
              <wp:posOffset>27940</wp:posOffset>
            </wp:positionH>
            <wp:positionV relativeFrom="page">
              <wp:posOffset>3025775</wp:posOffset>
            </wp:positionV>
            <wp:extent cx="7557135" cy="112395"/>
            <wp:effectExtent l="0" t="0" r="0" b="0"/>
            <wp:wrapNone/>
            <wp:docPr id="118766121" name="Picture 1187661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41800419">
                      <a:extLst>
                        <a:ext uri="{C183D7F6-B498-43B3-948B-1728B52AA6E4}">
                          <adec:decorative xmlns:adec="http://schemas.microsoft.com/office/drawing/2017/decorative" val="1"/>
                        </a:ext>
                      </a:extLst>
                    </pic:cNvPr>
                    <pic:cNvPicPr>
                      <a:picLocks/>
                    </pic:cNvPicPr>
                  </pic:nvPicPr>
                  <pic:blipFill>
                    <a:blip r:embed="rId14">
                      <a:extLst>
                        <a:ext uri="{28A0092B-C50C-407E-A947-70E740481C1C}">
                          <a14:useLocalDpi xmlns:a14="http://schemas.microsoft.com/office/drawing/2010/main" val="0"/>
                        </a:ext>
                      </a:extLst>
                    </a:blip>
                    <a:srcRect t="33290" b="65657"/>
                    <a:stretch>
                      <a:fillRect/>
                    </a:stretch>
                  </pic:blipFill>
                  <pic:spPr bwMode="auto">
                    <a:xfrm>
                      <a:off x="0" y="0"/>
                      <a:ext cx="7557135" cy="112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E2FE26" w14:textId="77777777" w:rsidR="00C05F79" w:rsidRDefault="00C05F79" w:rsidP="00C05F79">
      <w:pPr>
        <w:pStyle w:val="URL"/>
        <w:spacing w:before="600"/>
      </w:pPr>
    </w:p>
    <w:p w14:paraId="343CBACB" w14:textId="77777777" w:rsidR="00C05F79" w:rsidRDefault="00C05F79" w:rsidP="00C05F79">
      <w:pPr>
        <w:pStyle w:val="URL"/>
        <w:spacing w:before="600"/>
      </w:pPr>
    </w:p>
    <w:p w14:paraId="18D6C00F" w14:textId="77777777" w:rsidR="00C05F79" w:rsidRDefault="00C05F79" w:rsidP="00C05F79">
      <w:pPr>
        <w:pStyle w:val="URL"/>
        <w:spacing w:before="600"/>
      </w:pPr>
    </w:p>
    <w:p w14:paraId="0192CFC7" w14:textId="77777777" w:rsidR="00C05F79" w:rsidRDefault="00C05F79" w:rsidP="00C05F79">
      <w:pPr>
        <w:pStyle w:val="URL"/>
        <w:spacing w:before="600"/>
      </w:pPr>
    </w:p>
    <w:p w14:paraId="7839ADFA" w14:textId="77777777" w:rsidR="00C05F79" w:rsidRDefault="00C05F79" w:rsidP="00C05F79">
      <w:pPr>
        <w:pStyle w:val="URL"/>
        <w:spacing w:before="600"/>
      </w:pPr>
    </w:p>
    <w:p w14:paraId="57D441DC" w14:textId="77777777" w:rsidR="00C05F79" w:rsidRDefault="00C05F79" w:rsidP="00C05F79">
      <w:pPr>
        <w:pStyle w:val="URL"/>
        <w:spacing w:before="600"/>
      </w:pPr>
    </w:p>
    <w:p w14:paraId="04EF8BD6" w14:textId="77777777" w:rsidR="00C05F79" w:rsidRDefault="00C05F79" w:rsidP="00C05F79">
      <w:pPr>
        <w:pStyle w:val="URL"/>
        <w:spacing w:before="600"/>
      </w:pPr>
    </w:p>
    <w:p w14:paraId="74D44E55" w14:textId="77777777" w:rsidR="00C05F79" w:rsidRDefault="00C05F79" w:rsidP="00C05F79">
      <w:pPr>
        <w:pStyle w:val="URL"/>
        <w:spacing w:before="600"/>
      </w:pPr>
    </w:p>
    <w:p w14:paraId="0FCDF88F" w14:textId="77777777" w:rsidR="00C05F79" w:rsidRDefault="00C05F79" w:rsidP="00C05F79">
      <w:pPr>
        <w:pStyle w:val="URL"/>
        <w:spacing w:before="600"/>
      </w:pPr>
    </w:p>
    <w:p w14:paraId="6BC54C28" w14:textId="77777777" w:rsidR="00C05F79" w:rsidRPr="000C2240" w:rsidRDefault="00C05F79" w:rsidP="00C05F79">
      <w:pPr>
        <w:pStyle w:val="URL"/>
        <w:spacing w:before="600"/>
        <w:rPr>
          <w:color w:val="FFFFFF"/>
        </w:rPr>
      </w:pPr>
      <w:r w:rsidRPr="000C2240">
        <w:rPr>
          <w:color w:val="FFFFFF"/>
        </w:rPr>
        <w:t>amr.gov.au</w:t>
      </w:r>
    </w:p>
    <w:p w14:paraId="34DE720C" w14:textId="39049789" w:rsidR="00B05545" w:rsidRPr="00E05D3F" w:rsidRDefault="00C05F79" w:rsidP="00C05F79">
      <w:pPr>
        <w:jc w:val="center"/>
      </w:pPr>
      <w:r w:rsidRPr="000C2240">
        <w:rPr>
          <w:color w:val="FFFFFF"/>
        </w:rPr>
        <w:t xml:space="preserve">All information in this publication is correct as </w:t>
      </w:r>
      <w:proofErr w:type="gramStart"/>
      <w:r w:rsidRPr="000C2240">
        <w:rPr>
          <w:color w:val="FFFFFF"/>
        </w:rPr>
        <w:t>at</w:t>
      </w:r>
      <w:proofErr w:type="gramEnd"/>
      <w:r w:rsidRPr="000C2240">
        <w:rPr>
          <w:color w:val="FFFFFF"/>
        </w:rPr>
        <w:t xml:space="preserve"> June 2024</w:t>
      </w:r>
      <w:r w:rsidR="00B05545">
        <w:tab/>
      </w:r>
      <w:bookmarkEnd w:id="193"/>
    </w:p>
    <w:sectPr w:rsidR="00B05545" w:rsidRPr="00E05D3F" w:rsidSect="00DE146F">
      <w:headerReference w:type="default" r:id="rId75"/>
      <w:footerReference w:type="default" r:id="rId76"/>
      <w:type w:val="evenPage"/>
      <w:pgSz w:w="11906" w:h="16838"/>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A2AA4E" w14:textId="77777777" w:rsidR="0095503D" w:rsidRDefault="0095503D" w:rsidP="006B56BB">
      <w:r>
        <w:separator/>
      </w:r>
    </w:p>
    <w:p w14:paraId="416C71B7" w14:textId="77777777" w:rsidR="0095503D" w:rsidRDefault="0095503D"/>
  </w:endnote>
  <w:endnote w:type="continuationSeparator" w:id="0">
    <w:p w14:paraId="2E79D06E" w14:textId="77777777" w:rsidR="0095503D" w:rsidRDefault="0095503D" w:rsidP="006B56BB">
      <w:r>
        <w:continuationSeparator/>
      </w:r>
    </w:p>
    <w:p w14:paraId="123DD638" w14:textId="77777777" w:rsidR="0095503D" w:rsidRDefault="0095503D"/>
  </w:endnote>
  <w:endnote w:type="continuationNotice" w:id="1">
    <w:p w14:paraId="36D34A93" w14:textId="77777777" w:rsidR="0095503D" w:rsidRDefault="009550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 w:name="Arial Bold">
    <w:altName w:val="Arial"/>
    <w:panose1 w:val="00000000000000000000"/>
    <w:charset w:val="00"/>
    <w:family w:val="swiss"/>
    <w:notTrueType/>
    <w:pitch w:val="variable"/>
    <w:sig w:usb0="00000003" w:usb1="00000000" w:usb2="00000000" w:usb3="00000000" w:csb0="00000001" w:csb1="00000000"/>
  </w:font>
  <w:font w:name="HelveticaNeueLT Std Lt">
    <w:altName w:val="Arial"/>
    <w:panose1 w:val="00000000000000000000"/>
    <w:charset w:val="00"/>
    <w:family w:val="swiss"/>
    <w:notTrueType/>
    <w:pitch w:val="variable"/>
    <w:sig w:usb0="800000AF" w:usb1="4000204A" w:usb2="00000000" w:usb3="00000000" w:csb0="00000001" w:csb1="00000000"/>
  </w:font>
  <w:font w:name="HelveticaNeueLT Std">
    <w:altName w:val="Arial"/>
    <w:panose1 w:val="00000000000000000000"/>
    <w:charset w:val="00"/>
    <w:family w:val="swiss"/>
    <w:notTrueType/>
    <w:pitch w:val="variable"/>
    <w:sig w:usb0="800000AF" w:usb1="4000204A"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BAE0D" w14:textId="77777777" w:rsidR="00236073" w:rsidRDefault="00236073" w:rsidP="00841111">
    <w:pPr>
      <w:pStyle w:val="Footer"/>
    </w:pPr>
    <w:r>
      <w:fldChar w:fldCharType="begin"/>
    </w:r>
    <w:r>
      <w:instrText xml:space="preserve"> PAGE   \* MERGEFORMAT </w:instrText>
    </w:r>
    <w:r>
      <w:fldChar w:fldCharType="separate"/>
    </w:r>
    <w:r w:rsidR="00E560A5">
      <w:rPr>
        <w:noProof/>
      </w:rPr>
      <w:t>4</w:t>
    </w:r>
    <w:r>
      <w:rPr>
        <w:noProof/>
      </w:rPr>
      <w:fldChar w:fldCharType="end"/>
    </w:r>
    <w:r w:rsidRPr="000D56E4">
      <w:tab/>
      <w:t xml:space="preserve">Insert document </w:t>
    </w:r>
    <w:proofErr w:type="gramStart"/>
    <w:r w:rsidRPr="000D56E4">
      <w:t>title</w:t>
    </w:r>
    <w:proofErr w:type="gram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162288"/>
      <w:docPartObj>
        <w:docPartGallery w:val="Page Numbers (Bottom of Page)"/>
        <w:docPartUnique/>
      </w:docPartObj>
    </w:sdtPr>
    <w:sdtEndPr>
      <w:rPr>
        <w:noProof/>
      </w:rPr>
    </w:sdtEndPr>
    <w:sdtContent>
      <w:p w14:paraId="7936C5EA" w14:textId="77777777" w:rsidR="00236073" w:rsidRDefault="002F4DD5" w:rsidP="002F4DD5">
        <w:pPr>
          <w:pStyle w:val="Footer"/>
          <w:jc w:val="left"/>
        </w:pPr>
        <w:r>
          <w:t xml:space="preserve">Surgical prophylaxis prescribing in Australian hospitals 2021 </w:t>
        </w:r>
        <w:r w:rsidR="00236073">
          <w:tab/>
        </w:r>
        <w:r w:rsidR="00236073">
          <w:fldChar w:fldCharType="begin"/>
        </w:r>
        <w:r w:rsidR="00236073">
          <w:instrText xml:space="preserve"> PAGE   \* MERGEFORMAT </w:instrText>
        </w:r>
        <w:r w:rsidR="00236073">
          <w:fldChar w:fldCharType="separate"/>
        </w:r>
        <w:r w:rsidR="00E560A5">
          <w:rPr>
            <w:noProof/>
          </w:rPr>
          <w:t>3</w:t>
        </w:r>
        <w:r w:rsidR="00236073">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3169317"/>
      <w:docPartObj>
        <w:docPartGallery w:val="Page Numbers (Bottom of Page)"/>
        <w:docPartUnique/>
      </w:docPartObj>
    </w:sdtPr>
    <w:sdtEndPr>
      <w:rPr>
        <w:noProof/>
      </w:rPr>
    </w:sdtEndPr>
    <w:sdtContent>
      <w:p w14:paraId="02554118" w14:textId="77777777" w:rsidR="00236073" w:rsidRDefault="00236073" w:rsidP="000D56E4">
        <w:pPr>
          <w:pStyle w:val="Footer"/>
        </w:pPr>
        <w:r>
          <w:t>Insert document title</w:t>
        </w:r>
        <w:r w:rsidR="00CF14A6">
          <w:tab/>
        </w:r>
        <w:r w:rsidR="00CF14A6">
          <w:fldChar w:fldCharType="begin"/>
        </w:r>
        <w:r w:rsidR="00CF14A6">
          <w:instrText xml:space="preserve"> PAGE   \* MERGEFORMAT </w:instrText>
        </w:r>
        <w:r w:rsidR="00CF14A6">
          <w:fldChar w:fldCharType="separate"/>
        </w:r>
        <w:r w:rsidR="00CF14A6">
          <w:rPr>
            <w:noProof/>
          </w:rPr>
          <w:t>1</w:t>
        </w:r>
        <w:r w:rsidR="00CF14A6">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FAF0D" w14:textId="77777777" w:rsidR="0034738E" w:rsidRDefault="00DE146F">
    <w:pPr>
      <w:pStyle w:val="Footer"/>
    </w:pPr>
    <w:r>
      <w:t xml:space="preserve">      Surgical prophylaxis prescribing in Australian hospitals 2021                                                           </w:t>
    </w:r>
    <w:sdt>
      <w:sdtPr>
        <w:id w:val="-1553074340"/>
        <w:docPartObj>
          <w:docPartGallery w:val="Page Numbers (Bottom of Page)"/>
          <w:docPartUnique/>
        </w:docPartObj>
      </w:sdtPr>
      <w:sdtEndPr>
        <w:rPr>
          <w:noProof/>
        </w:rPr>
      </w:sdtEndPr>
      <w:sdtContent>
        <w:r w:rsidR="0034738E">
          <w:fldChar w:fldCharType="begin"/>
        </w:r>
        <w:r w:rsidR="0034738E">
          <w:instrText xml:space="preserve"> PAGE   \* MERGEFORMAT </w:instrText>
        </w:r>
        <w:r w:rsidR="0034738E">
          <w:fldChar w:fldCharType="separate"/>
        </w:r>
        <w:r w:rsidR="0034738E">
          <w:rPr>
            <w:noProof/>
          </w:rPr>
          <w:t>2</w:t>
        </w:r>
        <w:r w:rsidR="0034738E">
          <w:rPr>
            <w:noProof/>
          </w:rPr>
          <w:fldChar w:fldCharType="end"/>
        </w:r>
      </w:sdtContent>
    </w:sdt>
  </w:p>
  <w:p w14:paraId="767B79EF" w14:textId="77777777" w:rsidR="00572F25" w:rsidRDefault="00572F2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45E66" w14:textId="77777777" w:rsidR="00572F25" w:rsidRPr="006803BA" w:rsidRDefault="00572F25" w:rsidP="000B0274">
    <w:r w:rsidRPr="006803BA">
      <w:t>Insert title</w:t>
    </w:r>
    <w:r>
      <w:tab/>
    </w:r>
    <w:r>
      <w:tab/>
    </w:r>
    <w:r w:rsidRPr="006803BA">
      <w:fldChar w:fldCharType="begin"/>
    </w:r>
    <w:r w:rsidRPr="006803BA">
      <w:instrText xml:space="preserve"> PAGE   \* MERGEFORMAT </w:instrText>
    </w:r>
    <w:r w:rsidRPr="006803BA">
      <w:fldChar w:fldCharType="separate"/>
    </w:r>
    <w:r>
      <w:rPr>
        <w:noProof/>
      </w:rPr>
      <w:t>25</w:t>
    </w:r>
    <w:r w:rsidRPr="006803BA">
      <w:rPr>
        <w:noProof/>
      </w:rPr>
      <w:fldChar w:fldCharType="end"/>
    </w:r>
  </w:p>
  <w:p w14:paraId="04262AA0" w14:textId="77777777" w:rsidR="00572F25" w:rsidRDefault="00572F25" w:rsidP="000B0274"/>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0BDD9" w14:textId="77777777" w:rsidR="00DE146F" w:rsidRDefault="00DE146F" w:rsidP="00DE146F">
    <w:pPr>
      <w:pStyle w:val="Footer"/>
      <w:jc w:val="left"/>
    </w:pPr>
    <w:r>
      <w:t xml:space="preserve">Surgical prophylaxis prescribing in Australian hospitals 2021                                                             </w:t>
    </w:r>
    <w:sdt>
      <w:sdtPr>
        <w:id w:val="-114551432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702FFE27" w14:textId="77777777" w:rsidR="00572F25" w:rsidRDefault="00572F2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41721" w14:textId="77777777" w:rsidR="00C05F79" w:rsidRDefault="00C05F79" w:rsidP="00DE146F">
    <w:pPr>
      <w:pStyle w:val="Footer"/>
      <w:jc w:val="left"/>
    </w:pPr>
    <w:r>
      <w:t xml:space="preserve">Surgical prophylaxis prescribing in Australian hospitals 2021                                                             </w:t>
    </w:r>
    <w:r>
      <w:fldChar w:fldCharType="begin"/>
    </w:r>
    <w:r>
      <w:instrText xml:space="preserve"> PAGE   \* MERGEFORMAT </w:instrText>
    </w:r>
    <w:r>
      <w:fldChar w:fldCharType="separate"/>
    </w:r>
    <w:r>
      <w:t>59</w:t>
    </w:r>
    <w:r>
      <w:rPr>
        <w:noProof/>
      </w:rPr>
      <w:fldChar w:fldCharType="end"/>
    </w:r>
  </w:p>
  <w:p w14:paraId="3BD80303" w14:textId="77777777" w:rsidR="00C05F79" w:rsidRPr="00B05545" w:rsidRDefault="00C05F79" w:rsidP="00B05545">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F3805" w14:textId="77777777" w:rsidR="00DE146F" w:rsidRDefault="00DE146F" w:rsidP="00DE146F">
    <w:pPr>
      <w:pStyle w:val="Footer"/>
      <w:jc w:val="left"/>
    </w:pPr>
    <w:r>
      <w:t xml:space="preserve">Surgical prophylaxis prescribing in Australian hospitals 2021                                                             </w:t>
    </w:r>
    <w:sdt>
      <w:sdtPr>
        <w:id w:val="-193705607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59</w:t>
        </w:r>
        <w:r>
          <w:rPr>
            <w:noProof/>
          </w:rPr>
          <w:fldChar w:fldCharType="end"/>
        </w:r>
      </w:sdtContent>
    </w:sdt>
  </w:p>
  <w:p w14:paraId="6934E836" w14:textId="77777777" w:rsidR="00205A93" w:rsidRPr="00B05545" w:rsidRDefault="00205A93" w:rsidP="00B055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282D90" w14:textId="77777777" w:rsidR="0095503D" w:rsidRDefault="0095503D" w:rsidP="006B56BB">
      <w:r>
        <w:separator/>
      </w:r>
    </w:p>
    <w:p w14:paraId="2C68E0EE" w14:textId="77777777" w:rsidR="0095503D" w:rsidRDefault="0095503D"/>
  </w:footnote>
  <w:footnote w:type="continuationSeparator" w:id="0">
    <w:p w14:paraId="16DADFC2" w14:textId="77777777" w:rsidR="0095503D" w:rsidRDefault="0095503D" w:rsidP="006B56BB">
      <w:r>
        <w:continuationSeparator/>
      </w:r>
    </w:p>
    <w:p w14:paraId="65C6C701" w14:textId="77777777" w:rsidR="0095503D" w:rsidRDefault="0095503D"/>
  </w:footnote>
  <w:footnote w:type="continuationNotice" w:id="1">
    <w:p w14:paraId="0029B74D" w14:textId="77777777" w:rsidR="0095503D" w:rsidRDefault="0095503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F87D9" w14:textId="77777777" w:rsidR="00C05F79" w:rsidRDefault="00AA61F0" w:rsidP="008E0C77">
    <w:pPr>
      <w:pStyle w:val="Headertext"/>
      <w:spacing w:after="180"/>
      <w:jc w:val="left"/>
    </w:pPr>
    <w:r>
      <w:rPr>
        <w:noProof/>
      </w:rPr>
      <w:pict w14:anchorId="6778CB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2891318" o:spid="_x0000_s1025" type="#_x0000_t75" alt="" style="position:absolute;margin-left:0;margin-top:0;width:595.3pt;height:841.9pt;z-index:-251658752;visibility:visible;mso-wrap-style:square;mso-wrap-edited:f;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
          <v:imagedata r:id="rId1" o:title=""/>
          <o:lock v:ext="edit" cropping="t" verticies="t"/>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9194B" w14:textId="77777777" w:rsidR="00C05F79" w:rsidRDefault="00C05F79" w:rsidP="00205A93">
    <w:pPr>
      <w:pStyle w:val="Header"/>
      <w:tabs>
        <w:tab w:val="clear" w:pos="4513"/>
        <w:tab w:val="clear" w:pos="9026"/>
        <w:tab w:val="center" w:pos="4535"/>
      </w:tabs>
    </w:pPr>
    <w:r>
      <w:rPr>
        <w:noProof/>
        <w:lang w:eastAsia="en-AU"/>
      </w:rPr>
      <w:softHyphen/>
    </w:r>
    <w:r>
      <w:rPr>
        <w:noProof/>
        <w:lang w:eastAsia="en-AU"/>
      </w:rPr>
      <w:softHyphen/>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3D5C4" w14:textId="77777777" w:rsidR="000D56E4" w:rsidRDefault="000D56E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7ED3C" w14:textId="77777777" w:rsidR="000D56E4" w:rsidRDefault="000D56E4" w:rsidP="008E0C77">
    <w:pPr>
      <w:pStyle w:val="Headertext"/>
      <w:spacing w:after="18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B739B" w14:textId="77777777" w:rsidR="000D56E4" w:rsidRDefault="000D56E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FCC6F" w14:textId="77777777" w:rsidR="00572F25" w:rsidRDefault="00572F2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73B15" w14:textId="77777777" w:rsidR="00C05F79" w:rsidRDefault="00C05F79" w:rsidP="008E0C77">
    <w:pPr>
      <w:pStyle w:val="Headertext"/>
      <w:spacing w:after="180"/>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A06E2" w14:textId="77777777" w:rsidR="00205A93" w:rsidRDefault="00205A93" w:rsidP="008E0C77">
    <w:pPr>
      <w:pStyle w:val="Headertext"/>
      <w:spacing w:after="18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1F031A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01ECC26"/>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F1E210A8"/>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84A8A6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93E086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FEBE606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B04E3FE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D752FC2E"/>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39049FA"/>
    <w:multiLevelType w:val="multilevel"/>
    <w:tmpl w:val="EABE25FA"/>
    <w:styleLink w:val="Listbullets"/>
    <w:lvl w:ilvl="0">
      <w:start w:val="1"/>
      <w:numFmt w:val="bullet"/>
      <w:lvlText w:val=""/>
      <w:lvlJc w:val="left"/>
      <w:pPr>
        <w:ind w:left="360" w:hanging="360"/>
      </w:pPr>
      <w:rPr>
        <w:rFonts w:ascii="Symbol" w:hAnsi="Symbol" w:hint="default"/>
      </w:rPr>
    </w:lvl>
    <w:lvl w:ilvl="1">
      <w:start w:val="1"/>
      <w:numFmt w:val="bullet"/>
      <w:lvlText w:val="-"/>
      <w:lvlJc w:val="left"/>
      <w:pPr>
        <w:ind w:left="567" w:hanging="283"/>
      </w:pPr>
      <w:rPr>
        <w:rFonts w:ascii="Courier New" w:hAnsi="Courier New" w:hint="default"/>
      </w:rPr>
    </w:lvl>
    <w:lvl w:ilvl="2">
      <w:start w:val="1"/>
      <w:numFmt w:val="bullet"/>
      <w:lvlText w:val="-"/>
      <w:lvlJc w:val="left"/>
      <w:pPr>
        <w:ind w:left="1080" w:hanging="360"/>
      </w:pPr>
      <w:rPr>
        <w:rFonts w:ascii="Arial" w:hAnsi="Aria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A1D3ADF"/>
    <w:multiLevelType w:val="hybridMultilevel"/>
    <w:tmpl w:val="1AD4A19C"/>
    <w:lvl w:ilvl="0" w:tplc="6556FF00">
      <w:start w:val="1"/>
      <w:numFmt w:val="bullet"/>
      <w:lvlText w:val="•"/>
      <w:lvlJc w:val="left"/>
      <w:pPr>
        <w:tabs>
          <w:tab w:val="num" w:pos="720"/>
        </w:tabs>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DCB4511"/>
    <w:multiLevelType w:val="multilevel"/>
    <w:tmpl w:val="0C09001D"/>
    <w:styleLink w:val="Bullet"/>
    <w:lvl w:ilvl="0">
      <w:start w:val="1"/>
      <w:numFmt w:val="bullet"/>
      <w:lvlText w:val=""/>
      <w:lvlJc w:val="left"/>
      <w:pPr>
        <w:ind w:left="360" w:hanging="360"/>
      </w:pPr>
      <w:rPr>
        <w:rFonts w:ascii="Symbol" w:hAnsi="Symbol" w:hint="default"/>
        <w:sz w:val="22"/>
      </w:rPr>
    </w:lvl>
    <w:lvl w:ilvl="1">
      <w:start w:val="1"/>
      <w:numFmt w:val="bullet"/>
      <w:lvlText w:val="-"/>
      <w:lvlJc w:val="left"/>
      <w:pPr>
        <w:ind w:left="720" w:hanging="360"/>
      </w:pPr>
      <w:rPr>
        <w:rFonts w:ascii="Arial" w:hAnsi="Arial" w:hint="default"/>
        <w:sz w:val="22"/>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E9C32EB"/>
    <w:multiLevelType w:val="multilevel"/>
    <w:tmpl w:val="D1DCA2EC"/>
    <w:lvl w:ilvl="0">
      <w:start w:val="1"/>
      <w:numFmt w:val="bullet"/>
      <w:pStyle w:val="Bulletlist"/>
      <w:lvlText w:val=""/>
      <w:lvlJc w:val="left"/>
      <w:pPr>
        <w:ind w:left="567" w:hanging="283"/>
      </w:pPr>
      <w:rPr>
        <w:rFonts w:ascii="Symbol" w:hAnsi="Symbol" w:hint="default"/>
        <w:sz w:val="22"/>
      </w:rPr>
    </w:lvl>
    <w:lvl w:ilvl="1">
      <w:start w:val="1"/>
      <w:numFmt w:val="bullet"/>
      <w:lvlText w:val="-"/>
      <w:lvlJc w:val="left"/>
      <w:pPr>
        <w:ind w:left="851" w:hanging="284"/>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3"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6BB4224"/>
    <w:multiLevelType w:val="hybridMultilevel"/>
    <w:tmpl w:val="9A809E82"/>
    <w:lvl w:ilvl="0" w:tplc="288E36DA">
      <w:start w:val="1"/>
      <w:numFmt w:val="bullet"/>
      <w:pStyle w:val="BoxBullet"/>
      <w:lvlText w:val=""/>
      <w:lvlJc w:val="left"/>
      <w:pPr>
        <w:tabs>
          <w:tab w:val="num" w:pos="357"/>
        </w:tabs>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B23D3C"/>
    <w:multiLevelType w:val="hybridMultilevel"/>
    <w:tmpl w:val="D77C3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3F52A50"/>
    <w:multiLevelType w:val="multilevel"/>
    <w:tmpl w:val="A3CE8E94"/>
    <w:styleLink w:val="Bullets"/>
    <w:lvl w:ilvl="0">
      <w:start w:val="1"/>
      <w:numFmt w:val="bullet"/>
      <w:lvlText w:val=""/>
      <w:lvlJc w:val="left"/>
      <w:pPr>
        <w:ind w:left="1080" w:hanging="360"/>
      </w:pPr>
      <w:rPr>
        <w:rFonts w:ascii="Symbol" w:hAnsi="Symbol" w:hint="default"/>
        <w:sz w:val="22"/>
      </w:rPr>
    </w:lvl>
    <w:lvl w:ilvl="1">
      <w:start w:val="1"/>
      <w:numFmt w:val="bullet"/>
      <w:lvlText w:val="-"/>
      <w:lvlJc w:val="left"/>
      <w:pPr>
        <w:ind w:left="1440" w:hanging="360"/>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7" w15:restartNumberingAfterBreak="0">
    <w:nsid w:val="31B07A87"/>
    <w:multiLevelType w:val="hybridMultilevel"/>
    <w:tmpl w:val="AF06FF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9" w15:restartNumberingAfterBreak="0">
    <w:nsid w:val="4354390E"/>
    <w:multiLevelType w:val="hybridMultilevel"/>
    <w:tmpl w:val="221CF9CA"/>
    <w:lvl w:ilvl="0" w:tplc="6556FF00">
      <w:start w:val="1"/>
      <w:numFmt w:val="bullet"/>
      <w:lvlText w:val="•"/>
      <w:lvlJc w:val="left"/>
      <w:pPr>
        <w:tabs>
          <w:tab w:val="num" w:pos="720"/>
        </w:tabs>
        <w:ind w:left="720" w:hanging="360"/>
      </w:pPr>
      <w:rPr>
        <w:rFonts w:ascii="Calibri" w:hAnsi="Calibri" w:hint="default"/>
      </w:rPr>
    </w:lvl>
    <w:lvl w:ilvl="1" w:tplc="B770D50E">
      <w:start w:val="1"/>
      <w:numFmt w:val="bullet"/>
      <w:lvlText w:val="•"/>
      <w:lvlJc w:val="left"/>
      <w:pPr>
        <w:tabs>
          <w:tab w:val="num" w:pos="1440"/>
        </w:tabs>
        <w:ind w:left="1440" w:hanging="360"/>
      </w:pPr>
      <w:rPr>
        <w:rFonts w:ascii="Calibri" w:hAnsi="Calibri" w:hint="default"/>
      </w:rPr>
    </w:lvl>
    <w:lvl w:ilvl="2" w:tplc="D1AC3FE6">
      <w:start w:val="1"/>
      <w:numFmt w:val="bullet"/>
      <w:lvlText w:val=""/>
      <w:lvlJc w:val="left"/>
      <w:pPr>
        <w:tabs>
          <w:tab w:val="num" w:pos="2084"/>
        </w:tabs>
        <w:ind w:left="2084" w:hanging="284"/>
      </w:pPr>
      <w:rPr>
        <w:rFonts w:ascii="Symbol" w:hAnsi="Symbol" w:hint="default"/>
      </w:rPr>
    </w:lvl>
    <w:lvl w:ilvl="3" w:tplc="2E722BD4">
      <w:start w:val="1"/>
      <w:numFmt w:val="bullet"/>
      <w:lvlText w:val="•"/>
      <w:lvlJc w:val="left"/>
      <w:pPr>
        <w:tabs>
          <w:tab w:val="num" w:pos="2880"/>
        </w:tabs>
        <w:ind w:left="2880" w:hanging="360"/>
      </w:pPr>
      <w:rPr>
        <w:rFonts w:ascii="Calibri" w:hAnsi="Calibri" w:hint="default"/>
      </w:rPr>
    </w:lvl>
    <w:lvl w:ilvl="4" w:tplc="CDB2B8BC" w:tentative="1">
      <w:start w:val="1"/>
      <w:numFmt w:val="bullet"/>
      <w:lvlText w:val="•"/>
      <w:lvlJc w:val="left"/>
      <w:pPr>
        <w:tabs>
          <w:tab w:val="num" w:pos="3600"/>
        </w:tabs>
        <w:ind w:left="3600" w:hanging="360"/>
      </w:pPr>
      <w:rPr>
        <w:rFonts w:ascii="Calibri" w:hAnsi="Calibri" w:hint="default"/>
      </w:rPr>
    </w:lvl>
    <w:lvl w:ilvl="5" w:tplc="7D8CFA76" w:tentative="1">
      <w:start w:val="1"/>
      <w:numFmt w:val="bullet"/>
      <w:lvlText w:val="•"/>
      <w:lvlJc w:val="left"/>
      <w:pPr>
        <w:tabs>
          <w:tab w:val="num" w:pos="4320"/>
        </w:tabs>
        <w:ind w:left="4320" w:hanging="360"/>
      </w:pPr>
      <w:rPr>
        <w:rFonts w:ascii="Calibri" w:hAnsi="Calibri" w:hint="default"/>
      </w:rPr>
    </w:lvl>
    <w:lvl w:ilvl="6" w:tplc="349224D0" w:tentative="1">
      <w:start w:val="1"/>
      <w:numFmt w:val="bullet"/>
      <w:lvlText w:val="•"/>
      <w:lvlJc w:val="left"/>
      <w:pPr>
        <w:tabs>
          <w:tab w:val="num" w:pos="5040"/>
        </w:tabs>
        <w:ind w:left="5040" w:hanging="360"/>
      </w:pPr>
      <w:rPr>
        <w:rFonts w:ascii="Calibri" w:hAnsi="Calibri" w:hint="default"/>
      </w:rPr>
    </w:lvl>
    <w:lvl w:ilvl="7" w:tplc="AD2E393C" w:tentative="1">
      <w:start w:val="1"/>
      <w:numFmt w:val="bullet"/>
      <w:lvlText w:val="•"/>
      <w:lvlJc w:val="left"/>
      <w:pPr>
        <w:tabs>
          <w:tab w:val="num" w:pos="5760"/>
        </w:tabs>
        <w:ind w:left="5760" w:hanging="360"/>
      </w:pPr>
      <w:rPr>
        <w:rFonts w:ascii="Calibri" w:hAnsi="Calibri" w:hint="default"/>
      </w:rPr>
    </w:lvl>
    <w:lvl w:ilvl="8" w:tplc="22B27F60" w:tentative="1">
      <w:start w:val="1"/>
      <w:numFmt w:val="bullet"/>
      <w:lvlText w:val="•"/>
      <w:lvlJc w:val="left"/>
      <w:pPr>
        <w:tabs>
          <w:tab w:val="num" w:pos="6480"/>
        </w:tabs>
        <w:ind w:left="6480" w:hanging="360"/>
      </w:pPr>
      <w:rPr>
        <w:rFonts w:ascii="Calibri" w:hAnsi="Calibri" w:hint="default"/>
      </w:rPr>
    </w:lvl>
  </w:abstractNum>
  <w:abstractNum w:abstractNumId="20" w15:restartNumberingAfterBreak="0">
    <w:nsid w:val="46A452C3"/>
    <w:multiLevelType w:val="multilevel"/>
    <w:tmpl w:val="3FEA7ED4"/>
    <w:lvl w:ilvl="0">
      <w:start w:val="1"/>
      <w:numFmt w:val="decimal"/>
      <w:pStyle w:val="Numberedlists"/>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4BD975F5"/>
    <w:multiLevelType w:val="multilevel"/>
    <w:tmpl w:val="0C09001D"/>
    <w:styleLink w:val="BulletsLevel1"/>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500A4EAD"/>
    <w:multiLevelType w:val="hybridMultilevel"/>
    <w:tmpl w:val="2654DC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17838C4"/>
    <w:multiLevelType w:val="multilevel"/>
    <w:tmpl w:val="2350FCC0"/>
    <w:lvl w:ilvl="0">
      <w:start w:val="1"/>
      <w:numFmt w:val="decimal"/>
      <w:lvlText w:val="%1"/>
      <w:lvlJc w:val="left"/>
      <w:pPr>
        <w:ind w:left="432" w:hanging="432"/>
      </w:pPr>
    </w:lvl>
    <w:lvl w:ilvl="1">
      <w:start w:val="1"/>
      <w:numFmt w:val="decimal"/>
      <w:lvlText w:val="%1.%2"/>
      <w:lvlJc w:val="left"/>
      <w:pPr>
        <w:ind w:left="718" w:hanging="576"/>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2988"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52E85B94"/>
    <w:multiLevelType w:val="hybridMultilevel"/>
    <w:tmpl w:val="258A67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8F41A2F"/>
    <w:multiLevelType w:val="hybridMultilevel"/>
    <w:tmpl w:val="50320C1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69890C07"/>
    <w:multiLevelType w:val="hybridMultilevel"/>
    <w:tmpl w:val="39AAA7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9CD3E49"/>
    <w:multiLevelType w:val="hybridMultilevel"/>
    <w:tmpl w:val="0EBCB394"/>
    <w:lvl w:ilvl="0" w:tplc="AD0EA85A">
      <w:start w:val="2"/>
      <w:numFmt w:val="bullet"/>
      <w:lvlText w:val="-"/>
      <w:lvlJc w:val="left"/>
      <w:pPr>
        <w:ind w:left="720" w:hanging="360"/>
      </w:pPr>
      <w:rPr>
        <w:rFonts w:ascii="Arial" w:eastAsia="Times New Roman"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A394B00"/>
    <w:multiLevelType w:val="hybridMultilevel"/>
    <w:tmpl w:val="1AFA6B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FB65D52"/>
    <w:multiLevelType w:val="hybridMultilevel"/>
    <w:tmpl w:val="7BC235F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B4E405C"/>
    <w:multiLevelType w:val="hybridMultilevel"/>
    <w:tmpl w:val="74DC781A"/>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190098003">
    <w:abstractNumId w:val="7"/>
  </w:num>
  <w:num w:numId="2" w16cid:durableId="1746224716">
    <w:abstractNumId w:val="24"/>
  </w:num>
  <w:num w:numId="3" w16cid:durableId="272827614">
    <w:abstractNumId w:val="30"/>
  </w:num>
  <w:num w:numId="4" w16cid:durableId="1327198611">
    <w:abstractNumId w:val="8"/>
  </w:num>
  <w:num w:numId="5" w16cid:durableId="36977108">
    <w:abstractNumId w:val="8"/>
    <w:lvlOverride w:ilvl="0">
      <w:startOverride w:val="1"/>
    </w:lvlOverride>
  </w:num>
  <w:num w:numId="6" w16cid:durableId="677999486">
    <w:abstractNumId w:val="10"/>
  </w:num>
  <w:num w:numId="7" w16cid:durableId="904871991">
    <w:abstractNumId w:val="19"/>
  </w:num>
  <w:num w:numId="8" w16cid:durableId="2115861639">
    <w:abstractNumId w:val="26"/>
  </w:num>
  <w:num w:numId="9" w16cid:durableId="555508608">
    <w:abstractNumId w:val="5"/>
  </w:num>
  <w:num w:numId="10" w16cid:durableId="1194147639">
    <w:abstractNumId w:val="4"/>
  </w:num>
  <w:num w:numId="11" w16cid:durableId="557742241">
    <w:abstractNumId w:val="3"/>
  </w:num>
  <w:num w:numId="12" w16cid:durableId="1514568262">
    <w:abstractNumId w:val="2"/>
  </w:num>
  <w:num w:numId="13" w16cid:durableId="1127237082">
    <w:abstractNumId w:val="6"/>
  </w:num>
  <w:num w:numId="14" w16cid:durableId="1136601077">
    <w:abstractNumId w:val="1"/>
  </w:num>
  <w:num w:numId="15" w16cid:durableId="2111270250">
    <w:abstractNumId w:val="0"/>
  </w:num>
  <w:num w:numId="16" w16cid:durableId="454910554">
    <w:abstractNumId w:val="33"/>
  </w:num>
  <w:num w:numId="17" w16cid:durableId="1946573814">
    <w:abstractNumId w:val="13"/>
  </w:num>
  <w:num w:numId="18" w16cid:durableId="838350948">
    <w:abstractNumId w:val="15"/>
  </w:num>
  <w:num w:numId="19" w16cid:durableId="651370626">
    <w:abstractNumId w:val="18"/>
  </w:num>
  <w:num w:numId="20" w16cid:durableId="1653024311">
    <w:abstractNumId w:val="13"/>
  </w:num>
  <w:num w:numId="21" w16cid:durableId="1150096455">
    <w:abstractNumId w:val="18"/>
  </w:num>
  <w:num w:numId="22" w16cid:durableId="1138493469">
    <w:abstractNumId w:val="33"/>
  </w:num>
  <w:num w:numId="23" w16cid:durableId="1625304734">
    <w:abstractNumId w:val="24"/>
  </w:num>
  <w:num w:numId="24" w16cid:durableId="330564179">
    <w:abstractNumId w:val="30"/>
  </w:num>
  <w:num w:numId="25" w16cid:durableId="502009902">
    <w:abstractNumId w:val="8"/>
  </w:num>
  <w:num w:numId="26" w16cid:durableId="1279751427">
    <w:abstractNumId w:val="22"/>
  </w:num>
  <w:num w:numId="27" w16cid:durableId="664363804">
    <w:abstractNumId w:val="23"/>
  </w:num>
  <w:num w:numId="28" w16cid:durableId="1425344192">
    <w:abstractNumId w:val="9"/>
  </w:num>
  <w:num w:numId="29" w16cid:durableId="1709526048">
    <w:abstractNumId w:val="11"/>
  </w:num>
  <w:num w:numId="30" w16cid:durableId="1863854972">
    <w:abstractNumId w:val="16"/>
  </w:num>
  <w:num w:numId="31" w16cid:durableId="606545810">
    <w:abstractNumId w:val="21"/>
  </w:num>
  <w:num w:numId="32" w16cid:durableId="595409412">
    <w:abstractNumId w:val="20"/>
  </w:num>
  <w:num w:numId="33" w16cid:durableId="1938978602">
    <w:abstractNumId w:val="12"/>
  </w:num>
  <w:num w:numId="34" w16cid:durableId="821655680">
    <w:abstractNumId w:val="28"/>
  </w:num>
  <w:num w:numId="35" w16cid:durableId="35592397">
    <w:abstractNumId w:val="29"/>
  </w:num>
  <w:num w:numId="36" w16cid:durableId="1957254113">
    <w:abstractNumId w:val="32"/>
  </w:num>
  <w:num w:numId="37" w16cid:durableId="1233927965">
    <w:abstractNumId w:val="23"/>
    <w:lvlOverride w:ilvl="0">
      <w:startOverride w:val="3"/>
    </w:lvlOverride>
    <w:lvlOverride w:ilvl="1">
      <w:startOverride w:val="2"/>
    </w:lvlOverride>
  </w:num>
  <w:num w:numId="38" w16cid:durableId="491914557">
    <w:abstractNumId w:val="17"/>
  </w:num>
  <w:num w:numId="39" w16cid:durableId="1181049905">
    <w:abstractNumId w:val="27"/>
  </w:num>
  <w:num w:numId="40" w16cid:durableId="1349285967">
    <w:abstractNumId w:val="14"/>
  </w:num>
  <w:num w:numId="41" w16cid:durableId="385183408">
    <w:abstractNumId w:val="25"/>
  </w:num>
  <w:num w:numId="42" w16cid:durableId="132212588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94"/>
  <w:proofState w:spelling="clean" w:grammar="clean"/>
  <w:stylePaneFormatFilter w:val="7F24" w:allStyles="0" w:customStyles="0" w:latentStyles="1" w:stylesInUse="0" w:headingStyles="1" w:numberingStyles="0" w:tableStyles="0" w:directFormattingOnRuns="1" w:directFormattingOnParagraphs="1" w:directFormattingOnNumbering="1" w:directFormattingOnTables="1" w:clearFormatting="1" w:top3HeadingStyles="1" w:visibleStyles="1" w:alternateStyleNames="0"/>
  <w:stylePaneSortMethod w:val="000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0D7F"/>
    <w:rsid w:val="00003743"/>
    <w:rsid w:val="000047B4"/>
    <w:rsid w:val="00005712"/>
    <w:rsid w:val="00007764"/>
    <w:rsid w:val="00007FD8"/>
    <w:rsid w:val="000117F8"/>
    <w:rsid w:val="00026139"/>
    <w:rsid w:val="00027071"/>
    <w:rsid w:val="00027601"/>
    <w:rsid w:val="00033321"/>
    <w:rsid w:val="000338E5"/>
    <w:rsid w:val="00033ECC"/>
    <w:rsid w:val="0003422F"/>
    <w:rsid w:val="0004251B"/>
    <w:rsid w:val="00046FF0"/>
    <w:rsid w:val="00050176"/>
    <w:rsid w:val="00062B65"/>
    <w:rsid w:val="00067456"/>
    <w:rsid w:val="00071506"/>
    <w:rsid w:val="0007154F"/>
    <w:rsid w:val="00076410"/>
    <w:rsid w:val="00081AB1"/>
    <w:rsid w:val="00090316"/>
    <w:rsid w:val="000924B9"/>
    <w:rsid w:val="00093981"/>
    <w:rsid w:val="00093CD9"/>
    <w:rsid w:val="00096257"/>
    <w:rsid w:val="000A1584"/>
    <w:rsid w:val="000B067A"/>
    <w:rsid w:val="000B1540"/>
    <w:rsid w:val="000B33FD"/>
    <w:rsid w:val="000B4ABA"/>
    <w:rsid w:val="000B5A43"/>
    <w:rsid w:val="000C01C1"/>
    <w:rsid w:val="000C4B16"/>
    <w:rsid w:val="000C50C3"/>
    <w:rsid w:val="000D21F6"/>
    <w:rsid w:val="000D42C3"/>
    <w:rsid w:val="000D4500"/>
    <w:rsid w:val="000D4BB5"/>
    <w:rsid w:val="000D4D55"/>
    <w:rsid w:val="000D56E4"/>
    <w:rsid w:val="000D7AEA"/>
    <w:rsid w:val="000E01A9"/>
    <w:rsid w:val="000E2C66"/>
    <w:rsid w:val="000E4A8E"/>
    <w:rsid w:val="000E6E7D"/>
    <w:rsid w:val="000F123C"/>
    <w:rsid w:val="000F2FED"/>
    <w:rsid w:val="000F4644"/>
    <w:rsid w:val="00100F6D"/>
    <w:rsid w:val="0010616D"/>
    <w:rsid w:val="00110478"/>
    <w:rsid w:val="00112FC4"/>
    <w:rsid w:val="0011711B"/>
    <w:rsid w:val="00117F8A"/>
    <w:rsid w:val="00121B9B"/>
    <w:rsid w:val="001222F5"/>
    <w:rsid w:val="00122ADC"/>
    <w:rsid w:val="00130F59"/>
    <w:rsid w:val="00133EC0"/>
    <w:rsid w:val="00141CE5"/>
    <w:rsid w:val="00144908"/>
    <w:rsid w:val="00145CAD"/>
    <w:rsid w:val="001571C7"/>
    <w:rsid w:val="00161094"/>
    <w:rsid w:val="0016625E"/>
    <w:rsid w:val="00172A55"/>
    <w:rsid w:val="001758CD"/>
    <w:rsid w:val="00175CFF"/>
    <w:rsid w:val="0017665C"/>
    <w:rsid w:val="00177AD2"/>
    <w:rsid w:val="001815A8"/>
    <w:rsid w:val="001840FA"/>
    <w:rsid w:val="00185FDD"/>
    <w:rsid w:val="00190079"/>
    <w:rsid w:val="0019622E"/>
    <w:rsid w:val="001966A7"/>
    <w:rsid w:val="001A141D"/>
    <w:rsid w:val="001A4627"/>
    <w:rsid w:val="001A4979"/>
    <w:rsid w:val="001A77C0"/>
    <w:rsid w:val="001B15D3"/>
    <w:rsid w:val="001B32A9"/>
    <w:rsid w:val="001B3443"/>
    <w:rsid w:val="001C0326"/>
    <w:rsid w:val="001C192F"/>
    <w:rsid w:val="001C3C42"/>
    <w:rsid w:val="001D7869"/>
    <w:rsid w:val="001F2F78"/>
    <w:rsid w:val="002026CD"/>
    <w:rsid w:val="002033FC"/>
    <w:rsid w:val="002044BB"/>
    <w:rsid w:val="00205A93"/>
    <w:rsid w:val="00210B09"/>
    <w:rsid w:val="00210C9E"/>
    <w:rsid w:val="00211840"/>
    <w:rsid w:val="00220E5F"/>
    <w:rsid w:val="002212B5"/>
    <w:rsid w:val="00226668"/>
    <w:rsid w:val="00233809"/>
    <w:rsid w:val="00236073"/>
    <w:rsid w:val="00240046"/>
    <w:rsid w:val="0024797F"/>
    <w:rsid w:val="0025119E"/>
    <w:rsid w:val="00251269"/>
    <w:rsid w:val="002535C0"/>
    <w:rsid w:val="002579FE"/>
    <w:rsid w:val="0026311C"/>
    <w:rsid w:val="0026668C"/>
    <w:rsid w:val="00266AC1"/>
    <w:rsid w:val="0027128A"/>
    <w:rsid w:val="0027178C"/>
    <w:rsid w:val="002719FA"/>
    <w:rsid w:val="00272668"/>
    <w:rsid w:val="0027330B"/>
    <w:rsid w:val="002803AD"/>
    <w:rsid w:val="00282052"/>
    <w:rsid w:val="0028519E"/>
    <w:rsid w:val="002856A5"/>
    <w:rsid w:val="002872ED"/>
    <w:rsid w:val="002905C2"/>
    <w:rsid w:val="002907C2"/>
    <w:rsid w:val="00295AF2"/>
    <w:rsid w:val="00295C91"/>
    <w:rsid w:val="00297151"/>
    <w:rsid w:val="00297FD2"/>
    <w:rsid w:val="002A257D"/>
    <w:rsid w:val="002B20E6"/>
    <w:rsid w:val="002B42A3"/>
    <w:rsid w:val="002C0CDD"/>
    <w:rsid w:val="002C1F28"/>
    <w:rsid w:val="002D6E75"/>
    <w:rsid w:val="002E1A1D"/>
    <w:rsid w:val="002E4081"/>
    <w:rsid w:val="002E5B78"/>
    <w:rsid w:val="002E6ACB"/>
    <w:rsid w:val="002F3AE3"/>
    <w:rsid w:val="002F4DD5"/>
    <w:rsid w:val="0030464B"/>
    <w:rsid w:val="0030786C"/>
    <w:rsid w:val="00312892"/>
    <w:rsid w:val="0031688A"/>
    <w:rsid w:val="003233DE"/>
    <w:rsid w:val="0032466B"/>
    <w:rsid w:val="003258D3"/>
    <w:rsid w:val="00327B44"/>
    <w:rsid w:val="003330EB"/>
    <w:rsid w:val="00336605"/>
    <w:rsid w:val="003415FD"/>
    <w:rsid w:val="003429F0"/>
    <w:rsid w:val="0034738E"/>
    <w:rsid w:val="003473A8"/>
    <w:rsid w:val="0035097A"/>
    <w:rsid w:val="003540A4"/>
    <w:rsid w:val="0035770D"/>
    <w:rsid w:val="00360E4E"/>
    <w:rsid w:val="00360FEA"/>
    <w:rsid w:val="00365972"/>
    <w:rsid w:val="00370AAA"/>
    <w:rsid w:val="00375F77"/>
    <w:rsid w:val="00377A78"/>
    <w:rsid w:val="00381BBE"/>
    <w:rsid w:val="00382903"/>
    <w:rsid w:val="003846FF"/>
    <w:rsid w:val="00385AD4"/>
    <w:rsid w:val="00386766"/>
    <w:rsid w:val="00387924"/>
    <w:rsid w:val="0039384D"/>
    <w:rsid w:val="00395C23"/>
    <w:rsid w:val="003A2E4F"/>
    <w:rsid w:val="003A4438"/>
    <w:rsid w:val="003A5013"/>
    <w:rsid w:val="003A5078"/>
    <w:rsid w:val="003A62DD"/>
    <w:rsid w:val="003A775A"/>
    <w:rsid w:val="003B0DAB"/>
    <w:rsid w:val="003B213A"/>
    <w:rsid w:val="003B43AD"/>
    <w:rsid w:val="003C0FEC"/>
    <w:rsid w:val="003C15B8"/>
    <w:rsid w:val="003C2AC8"/>
    <w:rsid w:val="003D17F9"/>
    <w:rsid w:val="003D2D88"/>
    <w:rsid w:val="003D41EA"/>
    <w:rsid w:val="003D4850"/>
    <w:rsid w:val="003D51AC"/>
    <w:rsid w:val="003D535A"/>
    <w:rsid w:val="003E10B8"/>
    <w:rsid w:val="003E5265"/>
    <w:rsid w:val="003F0955"/>
    <w:rsid w:val="003F36A2"/>
    <w:rsid w:val="003F6FE1"/>
    <w:rsid w:val="003F7B79"/>
    <w:rsid w:val="00400F00"/>
    <w:rsid w:val="00404F8B"/>
    <w:rsid w:val="00405256"/>
    <w:rsid w:val="00410031"/>
    <w:rsid w:val="004115A2"/>
    <w:rsid w:val="00415C81"/>
    <w:rsid w:val="00416731"/>
    <w:rsid w:val="00432378"/>
    <w:rsid w:val="00440D0B"/>
    <w:rsid w:val="00440D65"/>
    <w:rsid w:val="004435E6"/>
    <w:rsid w:val="004446F6"/>
    <w:rsid w:val="00446E09"/>
    <w:rsid w:val="00447E31"/>
    <w:rsid w:val="00453923"/>
    <w:rsid w:val="00454B9B"/>
    <w:rsid w:val="00457858"/>
    <w:rsid w:val="00460B0B"/>
    <w:rsid w:val="00461023"/>
    <w:rsid w:val="00462FAC"/>
    <w:rsid w:val="00464631"/>
    <w:rsid w:val="00464B79"/>
    <w:rsid w:val="00467BBF"/>
    <w:rsid w:val="004740C3"/>
    <w:rsid w:val="004800B5"/>
    <w:rsid w:val="004867E2"/>
    <w:rsid w:val="004929A9"/>
    <w:rsid w:val="004C2FEC"/>
    <w:rsid w:val="004C6BCF"/>
    <w:rsid w:val="004C6D17"/>
    <w:rsid w:val="004D58BF"/>
    <w:rsid w:val="004E4335"/>
    <w:rsid w:val="004E5ACF"/>
    <w:rsid w:val="004F13EE"/>
    <w:rsid w:val="004F2022"/>
    <w:rsid w:val="004F4031"/>
    <w:rsid w:val="004F7C05"/>
    <w:rsid w:val="00501C94"/>
    <w:rsid w:val="00506432"/>
    <w:rsid w:val="00511324"/>
    <w:rsid w:val="0051242B"/>
    <w:rsid w:val="0052051D"/>
    <w:rsid w:val="00540F5D"/>
    <w:rsid w:val="00545EE6"/>
    <w:rsid w:val="00546A8D"/>
    <w:rsid w:val="005550E7"/>
    <w:rsid w:val="005564FB"/>
    <w:rsid w:val="005572C7"/>
    <w:rsid w:val="00557D5A"/>
    <w:rsid w:val="005612F3"/>
    <w:rsid w:val="0056335C"/>
    <w:rsid w:val="0056486D"/>
    <w:rsid w:val="005650ED"/>
    <w:rsid w:val="00572F25"/>
    <w:rsid w:val="00575754"/>
    <w:rsid w:val="00591E20"/>
    <w:rsid w:val="00595408"/>
    <w:rsid w:val="00595E84"/>
    <w:rsid w:val="005A0C59"/>
    <w:rsid w:val="005A48EB"/>
    <w:rsid w:val="005A6CFB"/>
    <w:rsid w:val="005C5AEB"/>
    <w:rsid w:val="005E0457"/>
    <w:rsid w:val="005E0A3F"/>
    <w:rsid w:val="005E6883"/>
    <w:rsid w:val="005E772F"/>
    <w:rsid w:val="005F4ECA"/>
    <w:rsid w:val="006041BE"/>
    <w:rsid w:val="006043C7"/>
    <w:rsid w:val="00606D46"/>
    <w:rsid w:val="00624B52"/>
    <w:rsid w:val="0063180E"/>
    <w:rsid w:val="00631DF4"/>
    <w:rsid w:val="00634175"/>
    <w:rsid w:val="0063637B"/>
    <w:rsid w:val="006408AC"/>
    <w:rsid w:val="0064219E"/>
    <w:rsid w:val="006511B6"/>
    <w:rsid w:val="00652742"/>
    <w:rsid w:val="00652AA9"/>
    <w:rsid w:val="00657FF8"/>
    <w:rsid w:val="0066079B"/>
    <w:rsid w:val="0066255B"/>
    <w:rsid w:val="00666DA5"/>
    <w:rsid w:val="00670D99"/>
    <w:rsid w:val="00670E2B"/>
    <w:rsid w:val="006734BB"/>
    <w:rsid w:val="00675249"/>
    <w:rsid w:val="00680B46"/>
    <w:rsid w:val="0068186C"/>
    <w:rsid w:val="00681A34"/>
    <w:rsid w:val="006821EB"/>
    <w:rsid w:val="006B2286"/>
    <w:rsid w:val="006B56BB"/>
    <w:rsid w:val="006C77A8"/>
    <w:rsid w:val="006D061D"/>
    <w:rsid w:val="006D4098"/>
    <w:rsid w:val="006D7681"/>
    <w:rsid w:val="006D7B2E"/>
    <w:rsid w:val="006E02EA"/>
    <w:rsid w:val="006E0968"/>
    <w:rsid w:val="006E2AF6"/>
    <w:rsid w:val="00701275"/>
    <w:rsid w:val="007014BA"/>
    <w:rsid w:val="00704076"/>
    <w:rsid w:val="00707F56"/>
    <w:rsid w:val="00712C1E"/>
    <w:rsid w:val="00713558"/>
    <w:rsid w:val="0071736C"/>
    <w:rsid w:val="00720D08"/>
    <w:rsid w:val="00721F00"/>
    <w:rsid w:val="00722D24"/>
    <w:rsid w:val="007244AC"/>
    <w:rsid w:val="007263B9"/>
    <w:rsid w:val="007334F8"/>
    <w:rsid w:val="007339CD"/>
    <w:rsid w:val="007359D8"/>
    <w:rsid w:val="007362D4"/>
    <w:rsid w:val="00740BD3"/>
    <w:rsid w:val="00751A23"/>
    <w:rsid w:val="0076339F"/>
    <w:rsid w:val="0076672A"/>
    <w:rsid w:val="00774C15"/>
    <w:rsid w:val="00775E45"/>
    <w:rsid w:val="00776E74"/>
    <w:rsid w:val="00785169"/>
    <w:rsid w:val="007954AB"/>
    <w:rsid w:val="007A14C5"/>
    <w:rsid w:val="007A3E38"/>
    <w:rsid w:val="007A4A10"/>
    <w:rsid w:val="007A53E2"/>
    <w:rsid w:val="007B1760"/>
    <w:rsid w:val="007C6D9C"/>
    <w:rsid w:val="007C7DDB"/>
    <w:rsid w:val="007D2C85"/>
    <w:rsid w:val="007D2CC7"/>
    <w:rsid w:val="007D673D"/>
    <w:rsid w:val="007F2220"/>
    <w:rsid w:val="007F4B3E"/>
    <w:rsid w:val="007F588A"/>
    <w:rsid w:val="008127AF"/>
    <w:rsid w:val="00812B46"/>
    <w:rsid w:val="00815700"/>
    <w:rsid w:val="00817B70"/>
    <w:rsid w:val="00824FA1"/>
    <w:rsid w:val="008264EB"/>
    <w:rsid w:val="00826B8F"/>
    <w:rsid w:val="00831E8A"/>
    <w:rsid w:val="00835C76"/>
    <w:rsid w:val="00841111"/>
    <w:rsid w:val="00843049"/>
    <w:rsid w:val="00851374"/>
    <w:rsid w:val="0085209B"/>
    <w:rsid w:val="00854D58"/>
    <w:rsid w:val="00856B66"/>
    <w:rsid w:val="00861A5F"/>
    <w:rsid w:val="008644AD"/>
    <w:rsid w:val="00865735"/>
    <w:rsid w:val="00865DDB"/>
    <w:rsid w:val="00867538"/>
    <w:rsid w:val="008715BA"/>
    <w:rsid w:val="00873D90"/>
    <w:rsid w:val="00873FC8"/>
    <w:rsid w:val="00884C63"/>
    <w:rsid w:val="00885908"/>
    <w:rsid w:val="008864B7"/>
    <w:rsid w:val="0089677E"/>
    <w:rsid w:val="00896E8C"/>
    <w:rsid w:val="008A735E"/>
    <w:rsid w:val="008A7438"/>
    <w:rsid w:val="008B1334"/>
    <w:rsid w:val="008B7381"/>
    <w:rsid w:val="008C0278"/>
    <w:rsid w:val="008C24E9"/>
    <w:rsid w:val="008C440F"/>
    <w:rsid w:val="008C78FE"/>
    <w:rsid w:val="008D0533"/>
    <w:rsid w:val="008D42CB"/>
    <w:rsid w:val="008D48C9"/>
    <w:rsid w:val="008D5B79"/>
    <w:rsid w:val="008D6381"/>
    <w:rsid w:val="008E0C77"/>
    <w:rsid w:val="008E625F"/>
    <w:rsid w:val="008F264D"/>
    <w:rsid w:val="009074E1"/>
    <w:rsid w:val="009112F7"/>
    <w:rsid w:val="009122AF"/>
    <w:rsid w:val="009127BC"/>
    <w:rsid w:val="00912D54"/>
    <w:rsid w:val="0091389F"/>
    <w:rsid w:val="009208F7"/>
    <w:rsid w:val="00922517"/>
    <w:rsid w:val="00922722"/>
    <w:rsid w:val="009261E6"/>
    <w:rsid w:val="009268E1"/>
    <w:rsid w:val="00945E7F"/>
    <w:rsid w:val="00953E43"/>
    <w:rsid w:val="00954E60"/>
    <w:rsid w:val="0095503D"/>
    <w:rsid w:val="009557C1"/>
    <w:rsid w:val="00960D6E"/>
    <w:rsid w:val="00972BC1"/>
    <w:rsid w:val="00974B59"/>
    <w:rsid w:val="00977AD6"/>
    <w:rsid w:val="0098340B"/>
    <w:rsid w:val="00986830"/>
    <w:rsid w:val="00990F43"/>
    <w:rsid w:val="009924C3"/>
    <w:rsid w:val="00993102"/>
    <w:rsid w:val="009A0A91"/>
    <w:rsid w:val="009B334A"/>
    <w:rsid w:val="009C4A39"/>
    <w:rsid w:val="009C6F10"/>
    <w:rsid w:val="009D148F"/>
    <w:rsid w:val="009D3D70"/>
    <w:rsid w:val="009E6F7E"/>
    <w:rsid w:val="009E7A57"/>
    <w:rsid w:val="009F4F6A"/>
    <w:rsid w:val="00A04084"/>
    <w:rsid w:val="00A113DD"/>
    <w:rsid w:val="00A16E36"/>
    <w:rsid w:val="00A24961"/>
    <w:rsid w:val="00A24B10"/>
    <w:rsid w:val="00A27C6C"/>
    <w:rsid w:val="00A30E9B"/>
    <w:rsid w:val="00A4512D"/>
    <w:rsid w:val="00A4589C"/>
    <w:rsid w:val="00A50244"/>
    <w:rsid w:val="00A56F17"/>
    <w:rsid w:val="00A61D77"/>
    <w:rsid w:val="00A627D7"/>
    <w:rsid w:val="00A656C7"/>
    <w:rsid w:val="00A705AF"/>
    <w:rsid w:val="00A72454"/>
    <w:rsid w:val="00A77696"/>
    <w:rsid w:val="00A80557"/>
    <w:rsid w:val="00A807C0"/>
    <w:rsid w:val="00A81D33"/>
    <w:rsid w:val="00A930AE"/>
    <w:rsid w:val="00AA1A95"/>
    <w:rsid w:val="00AA260F"/>
    <w:rsid w:val="00AA61F0"/>
    <w:rsid w:val="00AB1EE7"/>
    <w:rsid w:val="00AB4B37"/>
    <w:rsid w:val="00AB5762"/>
    <w:rsid w:val="00AC0C70"/>
    <w:rsid w:val="00AC2679"/>
    <w:rsid w:val="00AC4BE4"/>
    <w:rsid w:val="00AC6BF9"/>
    <w:rsid w:val="00AD05E6"/>
    <w:rsid w:val="00AD0D3F"/>
    <w:rsid w:val="00AD34AB"/>
    <w:rsid w:val="00AE1D7D"/>
    <w:rsid w:val="00AE2A8B"/>
    <w:rsid w:val="00AE3F64"/>
    <w:rsid w:val="00AE5A2F"/>
    <w:rsid w:val="00AF4D6A"/>
    <w:rsid w:val="00AF7386"/>
    <w:rsid w:val="00AF7934"/>
    <w:rsid w:val="00B00B81"/>
    <w:rsid w:val="00B04580"/>
    <w:rsid w:val="00B04B09"/>
    <w:rsid w:val="00B05545"/>
    <w:rsid w:val="00B16A51"/>
    <w:rsid w:val="00B25440"/>
    <w:rsid w:val="00B32222"/>
    <w:rsid w:val="00B3618D"/>
    <w:rsid w:val="00B36233"/>
    <w:rsid w:val="00B42851"/>
    <w:rsid w:val="00B42CC2"/>
    <w:rsid w:val="00B45AC7"/>
    <w:rsid w:val="00B5372F"/>
    <w:rsid w:val="00B61129"/>
    <w:rsid w:val="00B67E7F"/>
    <w:rsid w:val="00B75A04"/>
    <w:rsid w:val="00B839B2"/>
    <w:rsid w:val="00B94252"/>
    <w:rsid w:val="00B94828"/>
    <w:rsid w:val="00B9715A"/>
    <w:rsid w:val="00BA14BE"/>
    <w:rsid w:val="00BA2732"/>
    <w:rsid w:val="00BA293D"/>
    <w:rsid w:val="00BA49BC"/>
    <w:rsid w:val="00BA56B7"/>
    <w:rsid w:val="00BA7A1E"/>
    <w:rsid w:val="00BA7CA9"/>
    <w:rsid w:val="00BB2F6C"/>
    <w:rsid w:val="00BB3875"/>
    <w:rsid w:val="00BB5860"/>
    <w:rsid w:val="00BB6AAD"/>
    <w:rsid w:val="00BC413C"/>
    <w:rsid w:val="00BC4A19"/>
    <w:rsid w:val="00BC4E6D"/>
    <w:rsid w:val="00BD0617"/>
    <w:rsid w:val="00BD2E9B"/>
    <w:rsid w:val="00BF5D11"/>
    <w:rsid w:val="00C00930"/>
    <w:rsid w:val="00C05F79"/>
    <w:rsid w:val="00C060AD"/>
    <w:rsid w:val="00C0670D"/>
    <w:rsid w:val="00C113BF"/>
    <w:rsid w:val="00C2176E"/>
    <w:rsid w:val="00C23430"/>
    <w:rsid w:val="00C27D67"/>
    <w:rsid w:val="00C31783"/>
    <w:rsid w:val="00C4631F"/>
    <w:rsid w:val="00C50E16"/>
    <w:rsid w:val="00C55258"/>
    <w:rsid w:val="00C82EEB"/>
    <w:rsid w:val="00C971DC"/>
    <w:rsid w:val="00CA16B7"/>
    <w:rsid w:val="00CA4BE3"/>
    <w:rsid w:val="00CA62AE"/>
    <w:rsid w:val="00CA79CF"/>
    <w:rsid w:val="00CB5B1A"/>
    <w:rsid w:val="00CB6CCD"/>
    <w:rsid w:val="00CC220B"/>
    <w:rsid w:val="00CC5C43"/>
    <w:rsid w:val="00CD02AE"/>
    <w:rsid w:val="00CD2A4F"/>
    <w:rsid w:val="00CD4DD2"/>
    <w:rsid w:val="00CE03CA"/>
    <w:rsid w:val="00CE22F1"/>
    <w:rsid w:val="00CE34C8"/>
    <w:rsid w:val="00CE50F2"/>
    <w:rsid w:val="00CE6502"/>
    <w:rsid w:val="00CF14A6"/>
    <w:rsid w:val="00CF7D3C"/>
    <w:rsid w:val="00D147EB"/>
    <w:rsid w:val="00D34343"/>
    <w:rsid w:val="00D34667"/>
    <w:rsid w:val="00D401E1"/>
    <w:rsid w:val="00D408B4"/>
    <w:rsid w:val="00D43506"/>
    <w:rsid w:val="00D45D94"/>
    <w:rsid w:val="00D524C8"/>
    <w:rsid w:val="00D60E25"/>
    <w:rsid w:val="00D671E7"/>
    <w:rsid w:val="00D70E24"/>
    <w:rsid w:val="00D716B3"/>
    <w:rsid w:val="00D72B61"/>
    <w:rsid w:val="00D83CA1"/>
    <w:rsid w:val="00DA3D1D"/>
    <w:rsid w:val="00DB0138"/>
    <w:rsid w:val="00DB6286"/>
    <w:rsid w:val="00DB645F"/>
    <w:rsid w:val="00DB76E9"/>
    <w:rsid w:val="00DC0A67"/>
    <w:rsid w:val="00DC1D5E"/>
    <w:rsid w:val="00DC2313"/>
    <w:rsid w:val="00DC5220"/>
    <w:rsid w:val="00DC6E9C"/>
    <w:rsid w:val="00DC7910"/>
    <w:rsid w:val="00DD2061"/>
    <w:rsid w:val="00DD7DAB"/>
    <w:rsid w:val="00DE146F"/>
    <w:rsid w:val="00DE3355"/>
    <w:rsid w:val="00DF486F"/>
    <w:rsid w:val="00DF5B5B"/>
    <w:rsid w:val="00DF7619"/>
    <w:rsid w:val="00DF7D25"/>
    <w:rsid w:val="00E00D7F"/>
    <w:rsid w:val="00E042D8"/>
    <w:rsid w:val="00E07EE7"/>
    <w:rsid w:val="00E1103B"/>
    <w:rsid w:val="00E1658A"/>
    <w:rsid w:val="00E17B44"/>
    <w:rsid w:val="00E27FEA"/>
    <w:rsid w:val="00E4086F"/>
    <w:rsid w:val="00E43B3C"/>
    <w:rsid w:val="00E440ED"/>
    <w:rsid w:val="00E50188"/>
    <w:rsid w:val="00E515CB"/>
    <w:rsid w:val="00E51901"/>
    <w:rsid w:val="00E52260"/>
    <w:rsid w:val="00E560A5"/>
    <w:rsid w:val="00E639B6"/>
    <w:rsid w:val="00E6434B"/>
    <w:rsid w:val="00E6463D"/>
    <w:rsid w:val="00E72E9B"/>
    <w:rsid w:val="00E842CE"/>
    <w:rsid w:val="00E849DA"/>
    <w:rsid w:val="00E911F2"/>
    <w:rsid w:val="00E9363D"/>
    <w:rsid w:val="00E9462E"/>
    <w:rsid w:val="00EA470E"/>
    <w:rsid w:val="00EA47A7"/>
    <w:rsid w:val="00EA5020"/>
    <w:rsid w:val="00EA57EB"/>
    <w:rsid w:val="00EB3226"/>
    <w:rsid w:val="00EC213A"/>
    <w:rsid w:val="00EC6603"/>
    <w:rsid w:val="00EC7744"/>
    <w:rsid w:val="00ED0DAD"/>
    <w:rsid w:val="00ED0F46"/>
    <w:rsid w:val="00ED2373"/>
    <w:rsid w:val="00EE3E8A"/>
    <w:rsid w:val="00EF6ECA"/>
    <w:rsid w:val="00F024E1"/>
    <w:rsid w:val="00F06C10"/>
    <w:rsid w:val="00F1096F"/>
    <w:rsid w:val="00F12589"/>
    <w:rsid w:val="00F12595"/>
    <w:rsid w:val="00F134D9"/>
    <w:rsid w:val="00F1403D"/>
    <w:rsid w:val="00F1463F"/>
    <w:rsid w:val="00F21302"/>
    <w:rsid w:val="00F321DE"/>
    <w:rsid w:val="00F33777"/>
    <w:rsid w:val="00F37E5E"/>
    <w:rsid w:val="00F40648"/>
    <w:rsid w:val="00F47DA2"/>
    <w:rsid w:val="00F519FC"/>
    <w:rsid w:val="00F555C8"/>
    <w:rsid w:val="00F6239D"/>
    <w:rsid w:val="00F715D2"/>
    <w:rsid w:val="00F7274F"/>
    <w:rsid w:val="00F76FA8"/>
    <w:rsid w:val="00F902DD"/>
    <w:rsid w:val="00F93B60"/>
    <w:rsid w:val="00F93F08"/>
    <w:rsid w:val="00F94CED"/>
    <w:rsid w:val="00FA2CEE"/>
    <w:rsid w:val="00FA318C"/>
    <w:rsid w:val="00FB6F92"/>
    <w:rsid w:val="00FC026E"/>
    <w:rsid w:val="00FC15D6"/>
    <w:rsid w:val="00FC5124"/>
    <w:rsid w:val="00FD3388"/>
    <w:rsid w:val="00FD4731"/>
    <w:rsid w:val="00FD626F"/>
    <w:rsid w:val="00FE3695"/>
    <w:rsid w:val="00FF0AB0"/>
    <w:rsid w:val="00FF28AC"/>
    <w:rsid w:val="00FF7F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2D075C"/>
  <w15:docId w15:val="{E72543B4-DADF-414D-9B31-F1D3E1F498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6" w:uiPriority="98"/>
    <w:lsdException w:name="heading 7" w:semiHidden="1" w:uiPriority="98" w:unhideWhenUsed="1" w:qFormat="1"/>
    <w:lsdException w:name="heading 8" w:semiHidden="1" w:uiPriority="98" w:unhideWhenUsed="1" w:qFormat="1"/>
    <w:lsdException w:name="heading 9" w:semiHidden="1" w:uiPriority="98"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8" w:unhideWhenUsed="1"/>
    <w:lsdException w:name="header" w:semiHidden="1" w:uiPriority="98"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8" w:unhideWhenUsed="1"/>
    <w:lsdException w:name="endnote text" w:semiHidden="1" w:uiPriority="98"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8"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8"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8"/>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E842CE"/>
    <w:pPr>
      <w:spacing w:before="120" w:after="120" w:line="276" w:lineRule="auto"/>
    </w:pPr>
    <w:rPr>
      <w:rFonts w:ascii="Arial" w:hAnsi="Arial"/>
      <w:color w:val="000000" w:themeColor="text1"/>
      <w:sz w:val="22"/>
      <w:szCs w:val="24"/>
      <w:lang w:eastAsia="en-US"/>
    </w:rPr>
  </w:style>
  <w:style w:type="paragraph" w:styleId="Heading1">
    <w:name w:val="heading 1"/>
    <w:next w:val="Normal"/>
    <w:qFormat/>
    <w:rsid w:val="00E842CE"/>
    <w:pPr>
      <w:keepNext/>
      <w:spacing w:before="240" w:after="60"/>
      <w:outlineLvl w:val="0"/>
    </w:pPr>
    <w:rPr>
      <w:rFonts w:ascii="Arial" w:hAnsi="Arial" w:cs="Arial"/>
      <w:b/>
      <w:bCs/>
      <w:color w:val="3F4A75"/>
      <w:kern w:val="28"/>
      <w:sz w:val="44"/>
      <w:szCs w:val="36"/>
      <w:lang w:eastAsia="en-US"/>
    </w:rPr>
  </w:style>
  <w:style w:type="paragraph" w:styleId="Heading2">
    <w:name w:val="heading 2"/>
    <w:next w:val="Normal"/>
    <w:qFormat/>
    <w:rsid w:val="00E842CE"/>
    <w:pPr>
      <w:keepNext/>
      <w:spacing w:before="240" w:after="60"/>
      <w:outlineLvl w:val="1"/>
    </w:pPr>
    <w:rPr>
      <w:rFonts w:ascii="Arial" w:hAnsi="Arial" w:cs="Arial"/>
      <w:b/>
      <w:bCs/>
      <w:iCs/>
      <w:color w:val="358189"/>
      <w:sz w:val="36"/>
      <w:szCs w:val="28"/>
      <w:lang w:eastAsia="en-US"/>
    </w:rPr>
  </w:style>
  <w:style w:type="paragraph" w:styleId="Heading3">
    <w:name w:val="heading 3"/>
    <w:next w:val="Normal"/>
    <w:qFormat/>
    <w:rsid w:val="00E842CE"/>
    <w:pPr>
      <w:keepNext/>
      <w:spacing w:before="180" w:after="60"/>
      <w:outlineLvl w:val="2"/>
    </w:pPr>
    <w:rPr>
      <w:rFonts w:ascii="Arial" w:hAnsi="Arial" w:cs="Arial"/>
      <w:b/>
      <w:bCs/>
      <w:color w:val="358189"/>
      <w:sz w:val="32"/>
      <w:szCs w:val="26"/>
      <w:lang w:eastAsia="en-US"/>
    </w:rPr>
  </w:style>
  <w:style w:type="paragraph" w:styleId="Heading4">
    <w:name w:val="heading 4"/>
    <w:next w:val="Normal"/>
    <w:link w:val="Heading4Char"/>
    <w:qFormat/>
    <w:rsid w:val="00E842CE"/>
    <w:pPr>
      <w:keepNext/>
      <w:spacing w:before="240" w:after="60"/>
      <w:outlineLvl w:val="3"/>
    </w:pPr>
    <w:rPr>
      <w:rFonts w:ascii="Arial" w:hAnsi="Arial"/>
      <w:b/>
      <w:bCs/>
      <w:i/>
      <w:color w:val="358189" w:themeColor="accent2"/>
      <w:sz w:val="28"/>
      <w:szCs w:val="28"/>
      <w:lang w:eastAsia="en-US"/>
    </w:rPr>
  </w:style>
  <w:style w:type="paragraph" w:styleId="Heading5">
    <w:name w:val="heading 5"/>
    <w:next w:val="Normal"/>
    <w:rsid w:val="00E842CE"/>
    <w:pPr>
      <w:keepNext/>
      <w:spacing w:before="240" w:after="60"/>
      <w:outlineLvl w:val="4"/>
    </w:pPr>
    <w:rPr>
      <w:rFonts w:ascii="Arial" w:hAnsi="Arial"/>
      <w:b/>
      <w:bCs/>
      <w:iCs/>
      <w:color w:val="358189" w:themeColor="accent2"/>
      <w:sz w:val="24"/>
      <w:szCs w:val="26"/>
      <w:lang w:eastAsia="en-US"/>
    </w:rPr>
  </w:style>
  <w:style w:type="paragraph" w:styleId="Heading6">
    <w:name w:val="heading 6"/>
    <w:next w:val="Normal"/>
    <w:uiPriority w:val="98"/>
    <w:rsid w:val="00E842CE"/>
    <w:pPr>
      <w:keepNext/>
      <w:spacing w:before="240" w:after="60"/>
      <w:outlineLvl w:val="5"/>
    </w:pPr>
    <w:rPr>
      <w:rFonts w:ascii="Arial" w:hAnsi="Arial"/>
      <w:b/>
      <w:bCs/>
      <w:sz w:val="22"/>
      <w:szCs w:val="22"/>
      <w:lang w:eastAsia="en-US"/>
    </w:rPr>
  </w:style>
  <w:style w:type="paragraph" w:styleId="Heading7">
    <w:name w:val="heading 7"/>
    <w:next w:val="Normal"/>
    <w:link w:val="Heading7Char"/>
    <w:uiPriority w:val="98"/>
    <w:semiHidden/>
    <w:unhideWhenUsed/>
    <w:qFormat/>
    <w:rsid w:val="00E842CE"/>
    <w:pPr>
      <w:keepNext/>
      <w:keepLines/>
      <w:spacing w:before="40"/>
      <w:outlineLvl w:val="6"/>
    </w:pPr>
    <w:rPr>
      <w:rFonts w:ascii="Arial" w:eastAsiaTheme="majorEastAsia" w:hAnsi="Arial" w:cstheme="majorBidi"/>
      <w:b/>
      <w:i/>
      <w:iCs/>
      <w:color w:val="1F243A" w:themeColor="accent1" w:themeShade="7F"/>
      <w:sz w:val="22"/>
      <w:szCs w:val="24"/>
      <w:lang w:eastAsia="en-US"/>
    </w:rPr>
  </w:style>
  <w:style w:type="paragraph" w:styleId="Heading8">
    <w:name w:val="heading 8"/>
    <w:basedOn w:val="Normal"/>
    <w:next w:val="Normal"/>
    <w:link w:val="Heading8Char"/>
    <w:uiPriority w:val="98"/>
    <w:semiHidden/>
    <w:unhideWhenUsed/>
    <w:qFormat/>
    <w:rsid w:val="00572F25"/>
    <w:pPr>
      <w:spacing w:before="240" w:after="60" w:line="240" w:lineRule="auto"/>
      <w:ind w:left="1440" w:hanging="1440"/>
      <w:outlineLvl w:val="7"/>
    </w:pPr>
    <w:rPr>
      <w:rFonts w:ascii="Calibri" w:hAnsi="Calibri"/>
      <w:i/>
      <w:iCs/>
      <w:color w:val="auto"/>
      <w:sz w:val="24"/>
      <w:lang w:eastAsia="en-AU"/>
    </w:rPr>
  </w:style>
  <w:style w:type="paragraph" w:styleId="Heading9">
    <w:name w:val="heading 9"/>
    <w:basedOn w:val="Normal"/>
    <w:next w:val="Normal"/>
    <w:link w:val="Heading9Char"/>
    <w:uiPriority w:val="98"/>
    <w:semiHidden/>
    <w:unhideWhenUsed/>
    <w:qFormat/>
    <w:rsid w:val="00572F25"/>
    <w:pPr>
      <w:spacing w:before="240" w:after="60" w:line="240" w:lineRule="auto"/>
      <w:ind w:left="1584" w:hanging="1584"/>
      <w:outlineLvl w:val="8"/>
    </w:pPr>
    <w:rPr>
      <w:rFonts w:ascii="Calibri Light" w:hAnsi="Calibri Light"/>
      <w:color w:val="auto"/>
      <w:szCs w:val="22"/>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E842CE"/>
    <w:rPr>
      <w:i/>
      <w:iCs/>
    </w:rPr>
  </w:style>
  <w:style w:type="character" w:styleId="Strong">
    <w:name w:val="Strong"/>
    <w:basedOn w:val="DefaultParagraphFont"/>
    <w:qFormat/>
    <w:rsid w:val="00E842CE"/>
    <w:rPr>
      <w:b/>
      <w:bCs/>
    </w:rPr>
  </w:style>
  <w:style w:type="paragraph" w:styleId="Subtitle">
    <w:name w:val="Subtitle"/>
    <w:next w:val="Normal"/>
    <w:link w:val="SubtitleChar"/>
    <w:uiPriority w:val="98"/>
    <w:qFormat/>
    <w:rsid w:val="00E842CE"/>
    <w:pPr>
      <w:numPr>
        <w:ilvl w:val="1"/>
      </w:numPr>
      <w:spacing w:before="120" w:after="60"/>
    </w:pPr>
    <w:rPr>
      <w:rFonts w:ascii="Arial" w:eastAsiaTheme="majorEastAsia" w:hAnsi="Arial" w:cstheme="majorBidi"/>
      <w:iCs/>
      <w:color w:val="3F4A75"/>
      <w:spacing w:val="15"/>
      <w:sz w:val="40"/>
      <w:szCs w:val="24"/>
      <w:lang w:eastAsia="en-US"/>
    </w:rPr>
  </w:style>
  <w:style w:type="character" w:customStyle="1" w:styleId="SubtitleChar">
    <w:name w:val="Subtitle Char"/>
    <w:basedOn w:val="DefaultParagraphFont"/>
    <w:link w:val="Subtitle"/>
    <w:uiPriority w:val="98"/>
    <w:rsid w:val="00E842CE"/>
    <w:rPr>
      <w:rFonts w:ascii="Arial" w:eastAsiaTheme="majorEastAsia" w:hAnsi="Arial" w:cstheme="majorBidi"/>
      <w:iCs/>
      <w:color w:val="3F4A75"/>
      <w:spacing w:val="15"/>
      <w:sz w:val="40"/>
      <w:szCs w:val="24"/>
      <w:lang w:eastAsia="en-US"/>
    </w:rPr>
  </w:style>
  <w:style w:type="paragraph" w:styleId="Title">
    <w:name w:val="Title"/>
    <w:basedOn w:val="Normal"/>
    <w:next w:val="Normal"/>
    <w:link w:val="TitleChar"/>
    <w:qFormat/>
    <w:rsid w:val="00751A23"/>
    <w:pPr>
      <w:spacing w:before="2160"/>
      <w:contextualSpacing/>
    </w:pPr>
    <w:rPr>
      <w:rFonts w:eastAsiaTheme="majorEastAsia" w:cstheme="majorBidi"/>
      <w:b/>
      <w:color w:val="3F4A75"/>
      <w:kern w:val="28"/>
      <w:sz w:val="48"/>
      <w:szCs w:val="52"/>
    </w:rPr>
  </w:style>
  <w:style w:type="character" w:customStyle="1" w:styleId="TitleChar">
    <w:name w:val="Title Char"/>
    <w:basedOn w:val="DefaultParagraphFont"/>
    <w:link w:val="Title"/>
    <w:rsid w:val="00751A23"/>
    <w:rPr>
      <w:rFonts w:ascii="Arial" w:eastAsiaTheme="majorEastAsia" w:hAnsi="Arial" w:cstheme="majorBidi"/>
      <w:b/>
      <w:color w:val="3F4A75"/>
      <w:kern w:val="28"/>
      <w:sz w:val="48"/>
      <w:szCs w:val="52"/>
      <w:lang w:eastAsia="en-US"/>
    </w:rPr>
  </w:style>
  <w:style w:type="paragraph" w:styleId="NoSpacing">
    <w:name w:val="No Spacing"/>
    <w:uiPriority w:val="1"/>
    <w:rsid w:val="00E842CE"/>
    <w:rPr>
      <w:sz w:val="24"/>
      <w:szCs w:val="24"/>
      <w:lang w:eastAsia="en-US"/>
    </w:rPr>
  </w:style>
  <w:style w:type="character" w:styleId="SubtleEmphasis">
    <w:name w:val="Subtle Emphasis"/>
    <w:basedOn w:val="DefaultParagraphFont"/>
    <w:uiPriority w:val="19"/>
    <w:rsid w:val="00E842CE"/>
    <w:rPr>
      <w:i/>
      <w:iCs/>
      <w:color w:val="808080" w:themeColor="text1" w:themeTint="7F"/>
    </w:rPr>
  </w:style>
  <w:style w:type="character" w:styleId="IntenseEmphasis">
    <w:name w:val="Intense Emphasis"/>
    <w:basedOn w:val="DefaultParagraphFont"/>
    <w:uiPriority w:val="21"/>
    <w:rsid w:val="00E842CE"/>
    <w:rPr>
      <w:b/>
      <w:bCs/>
      <w:i/>
      <w:iCs/>
      <w:color w:val="3F4A75" w:themeColor="accent1"/>
    </w:rPr>
  </w:style>
  <w:style w:type="paragraph" w:styleId="Quote">
    <w:name w:val="Quote"/>
    <w:next w:val="Normal"/>
    <w:link w:val="QuoteChar"/>
    <w:qFormat/>
    <w:rsid w:val="00E842CE"/>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rsid w:val="00E842CE"/>
    <w:rPr>
      <w:rFonts w:ascii="Arial" w:hAnsi="Arial"/>
      <w:i/>
      <w:iCs/>
      <w:color w:val="000000" w:themeColor="text1"/>
      <w:sz w:val="22"/>
      <w:szCs w:val="24"/>
      <w:lang w:eastAsia="en-US"/>
    </w:rPr>
  </w:style>
  <w:style w:type="paragraph" w:styleId="IntenseQuote">
    <w:name w:val="Intense Quote"/>
    <w:next w:val="Normal"/>
    <w:link w:val="IntenseQuoteChar"/>
    <w:uiPriority w:val="30"/>
    <w:rsid w:val="00E842CE"/>
    <w:pPr>
      <w:pBdr>
        <w:bottom w:val="single" w:sz="4" w:space="4" w:color="3F4A75" w:themeColor="accent1"/>
      </w:pBdr>
      <w:spacing w:before="200" w:after="280"/>
      <w:ind w:left="936" w:right="936"/>
    </w:pPr>
    <w:rPr>
      <w:rFonts w:ascii="Arial" w:hAnsi="Arial"/>
      <w:b/>
      <w:bCs/>
      <w:i/>
      <w:iCs/>
      <w:color w:val="3F4A75" w:themeColor="accent1"/>
      <w:sz w:val="22"/>
      <w:szCs w:val="24"/>
      <w:lang w:eastAsia="en-US"/>
    </w:rPr>
  </w:style>
  <w:style w:type="character" w:customStyle="1" w:styleId="IntenseQuoteChar">
    <w:name w:val="Intense Quote Char"/>
    <w:basedOn w:val="DefaultParagraphFont"/>
    <w:link w:val="IntenseQuote"/>
    <w:uiPriority w:val="30"/>
    <w:rsid w:val="00E842CE"/>
    <w:rPr>
      <w:rFonts w:ascii="Arial" w:hAnsi="Arial"/>
      <w:b/>
      <w:bCs/>
      <w:i/>
      <w:iCs/>
      <w:color w:val="3F4A75" w:themeColor="accent1"/>
      <w:sz w:val="22"/>
      <w:szCs w:val="24"/>
      <w:lang w:eastAsia="en-US"/>
    </w:rPr>
  </w:style>
  <w:style w:type="character" w:styleId="SubtleReference">
    <w:name w:val="Subtle Reference"/>
    <w:basedOn w:val="DefaultParagraphFont"/>
    <w:uiPriority w:val="31"/>
    <w:rsid w:val="00E842CE"/>
    <w:rPr>
      <w:smallCaps/>
      <w:color w:val="358189" w:themeColor="accent2"/>
      <w:u w:val="single"/>
    </w:rPr>
  </w:style>
  <w:style w:type="character" w:styleId="IntenseReference">
    <w:name w:val="Intense Reference"/>
    <w:basedOn w:val="DefaultParagraphFont"/>
    <w:uiPriority w:val="32"/>
    <w:rsid w:val="00E842CE"/>
    <w:rPr>
      <w:b/>
      <w:bCs/>
      <w:i/>
      <w:smallCaps/>
      <w:color w:val="358189" w:themeColor="accent2"/>
      <w:spacing w:val="5"/>
      <w:u w:val="none"/>
    </w:rPr>
  </w:style>
  <w:style w:type="paragraph" w:styleId="ListBullet2">
    <w:name w:val="List Bullet 2"/>
    <w:basedOn w:val="ListNumber2"/>
    <w:rsid w:val="00E842CE"/>
    <w:pPr>
      <w:numPr>
        <w:numId w:val="22"/>
      </w:numPr>
    </w:pPr>
  </w:style>
  <w:style w:type="paragraph" w:styleId="ListNumber2">
    <w:name w:val="List Number 2"/>
    <w:basedOn w:val="ListBullet"/>
    <w:qFormat/>
    <w:rsid w:val="00E842CE"/>
    <w:pPr>
      <w:numPr>
        <w:numId w:val="21"/>
      </w:numPr>
    </w:pPr>
  </w:style>
  <w:style w:type="paragraph" w:styleId="ListBullet">
    <w:name w:val="List Bullet"/>
    <w:basedOn w:val="Normal"/>
    <w:qFormat/>
    <w:rsid w:val="00E842CE"/>
    <w:pPr>
      <w:numPr>
        <w:numId w:val="20"/>
      </w:numPr>
      <w:tabs>
        <w:tab w:val="left" w:pos="340"/>
        <w:tab w:val="left" w:pos="680"/>
      </w:tabs>
      <w:spacing w:before="60" w:after="60"/>
    </w:pPr>
  </w:style>
  <w:style w:type="paragraph" w:styleId="ListParagraph">
    <w:name w:val="List Paragraph"/>
    <w:basedOn w:val="Normal"/>
    <w:uiPriority w:val="34"/>
    <w:qFormat/>
    <w:rsid w:val="00E842CE"/>
    <w:pPr>
      <w:ind w:left="720"/>
      <w:contextualSpacing/>
    </w:pPr>
  </w:style>
  <w:style w:type="paragraph" w:styleId="ListNumber3">
    <w:name w:val="List Number 3"/>
    <w:aliases w:val="List Third Level"/>
    <w:basedOn w:val="ListNumber2"/>
    <w:rsid w:val="00E842CE"/>
    <w:pPr>
      <w:numPr>
        <w:numId w:val="23"/>
      </w:numPr>
      <w:tabs>
        <w:tab w:val="num" w:pos="1440"/>
      </w:tabs>
    </w:pPr>
    <w:rPr>
      <w:rFonts w:eastAsia="Cambria"/>
      <w:color w:val="auto"/>
      <w:szCs w:val="22"/>
      <w:lang w:val="en-US"/>
    </w:rPr>
  </w:style>
  <w:style w:type="paragraph" w:customStyle="1" w:styleId="ImageTitle">
    <w:name w:val="Image Title"/>
    <w:locked/>
    <w:rsid w:val="00E842CE"/>
    <w:pPr>
      <w:tabs>
        <w:tab w:val="num" w:pos="1080"/>
      </w:tabs>
      <w:spacing w:before="120" w:line="240" w:lineRule="exact"/>
    </w:pPr>
    <w:rPr>
      <w:rFonts w:ascii="Arial" w:hAnsi="Arial"/>
      <w:color w:val="000000" w:themeColor="text1"/>
      <w:sz w:val="22"/>
      <w:szCs w:val="24"/>
      <w:lang w:eastAsia="en-US"/>
    </w:rPr>
  </w:style>
  <w:style w:type="paragraph" w:styleId="BalloonText">
    <w:name w:val="Balloon Text"/>
    <w:basedOn w:val="Normal"/>
    <w:link w:val="BalloonTextChar"/>
    <w:rsid w:val="00E842CE"/>
    <w:rPr>
      <w:rFonts w:ascii="Tahoma" w:hAnsi="Tahoma" w:cs="Tahoma"/>
      <w:sz w:val="16"/>
      <w:szCs w:val="16"/>
    </w:rPr>
  </w:style>
  <w:style w:type="character" w:customStyle="1" w:styleId="BalloonTextChar">
    <w:name w:val="Balloon Text Char"/>
    <w:basedOn w:val="DefaultParagraphFont"/>
    <w:link w:val="BalloonText"/>
    <w:rsid w:val="00E842CE"/>
    <w:rPr>
      <w:rFonts w:ascii="Tahoma" w:hAnsi="Tahoma" w:cs="Tahoma"/>
      <w:color w:val="000000" w:themeColor="text1"/>
      <w:sz w:val="16"/>
      <w:szCs w:val="16"/>
      <w:lang w:eastAsia="en-US"/>
    </w:rPr>
  </w:style>
  <w:style w:type="table" w:styleId="TableGrid">
    <w:name w:val="Table Grid"/>
    <w:aliases w:val="Commission"/>
    <w:basedOn w:val="TableNormal"/>
    <w:locked/>
    <w:rsid w:val="00E842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E842C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E842CE"/>
    <w:pPr>
      <w:spacing w:before="60" w:after="60"/>
    </w:pPr>
    <w:rPr>
      <w:rFonts w:ascii="Arial" w:hAnsi="Arial"/>
      <w:color w:val="000000" w:themeColor="text1"/>
      <w:sz w:val="21"/>
      <w:szCs w:val="24"/>
      <w:lang w:eastAsia="en-US"/>
    </w:rPr>
  </w:style>
  <w:style w:type="table" w:styleId="TableColumns2">
    <w:name w:val="Table Columns 2"/>
    <w:basedOn w:val="TableNormal"/>
    <w:locked/>
    <w:rsid w:val="00E842CE"/>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E842CE"/>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E842C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E842C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E842C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E842CE"/>
    <w:pPr>
      <w:spacing w:before="120" w:after="120"/>
    </w:pPr>
    <w:rPr>
      <w:rFonts w:ascii="Arial" w:hAnsi="Arial"/>
      <w:b/>
      <w:color w:val="000000" w:themeColor="text1"/>
      <w:sz w:val="22"/>
      <w:szCs w:val="24"/>
      <w:lang w:val="en-US" w:eastAsia="en-US"/>
    </w:rPr>
  </w:style>
  <w:style w:type="paragraph" w:styleId="Header">
    <w:name w:val="header"/>
    <w:link w:val="HeaderChar"/>
    <w:uiPriority w:val="98"/>
    <w:qFormat/>
    <w:rsid w:val="00E842CE"/>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uiPriority w:val="98"/>
    <w:rsid w:val="00E842CE"/>
    <w:rPr>
      <w:rFonts w:ascii="Arial" w:hAnsi="Arial"/>
      <w:sz w:val="22"/>
      <w:szCs w:val="24"/>
      <w:lang w:eastAsia="en-US"/>
    </w:rPr>
  </w:style>
  <w:style w:type="paragraph" w:styleId="Footer">
    <w:name w:val="footer"/>
    <w:link w:val="FooterChar"/>
    <w:uiPriority w:val="99"/>
    <w:qFormat/>
    <w:rsid w:val="00E842CE"/>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E842CE"/>
    <w:rPr>
      <w:rFonts w:ascii="Arial" w:hAnsi="Arial"/>
      <w:szCs w:val="24"/>
      <w:lang w:eastAsia="en-US"/>
    </w:rPr>
  </w:style>
  <w:style w:type="paragraph" w:customStyle="1" w:styleId="TableHeaderWhite">
    <w:name w:val="Table Header White"/>
    <w:basedOn w:val="Normal"/>
    <w:next w:val="Tabletextleft"/>
    <w:qFormat/>
    <w:rsid w:val="00E842CE"/>
    <w:pPr>
      <w:spacing w:before="80" w:after="80"/>
    </w:pPr>
    <w:rPr>
      <w:rFonts w:eastAsia="Cambria"/>
      <w:b/>
      <w:color w:val="FFFFFF" w:themeColor="background1"/>
      <w:szCs w:val="22"/>
      <w:lang w:val="en-US"/>
    </w:rPr>
  </w:style>
  <w:style w:type="table" w:styleId="TableGrid7">
    <w:name w:val="Table Grid 7"/>
    <w:basedOn w:val="TableNormal"/>
    <w:locked/>
    <w:rsid w:val="00E842C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E842CE"/>
    <w:pPr>
      <w:spacing w:before="60"/>
    </w:pPr>
    <w:rPr>
      <w:rFonts w:cs="Arial"/>
      <w:b/>
      <w:sz w:val="20"/>
    </w:rPr>
  </w:style>
  <w:style w:type="paragraph" w:customStyle="1" w:styleId="FigureTitle">
    <w:name w:val="Figure Title"/>
    <w:next w:val="Normal"/>
    <w:qFormat/>
    <w:rsid w:val="00E842CE"/>
    <w:pPr>
      <w:spacing w:before="120" w:after="120"/>
    </w:pPr>
    <w:rPr>
      <w:rFonts w:ascii="Arial" w:hAnsi="Arial" w:cs="Arial"/>
      <w:b/>
      <w:bCs/>
      <w:iCs/>
      <w:color w:val="000000" w:themeColor="text1"/>
      <w:sz w:val="22"/>
      <w:szCs w:val="22"/>
      <w:lang w:eastAsia="en-US"/>
    </w:rPr>
  </w:style>
  <w:style w:type="paragraph" w:styleId="NormalWeb">
    <w:name w:val="Normal (Web)"/>
    <w:basedOn w:val="Normal"/>
    <w:uiPriority w:val="99"/>
    <w:unhideWhenUsed/>
    <w:rsid w:val="00E842CE"/>
    <w:pPr>
      <w:spacing w:before="100" w:beforeAutospacing="1" w:after="100" w:afterAutospacing="1"/>
    </w:pPr>
    <w:rPr>
      <w:rFonts w:ascii="Times New Roman" w:hAnsi="Times New Roman"/>
      <w:sz w:val="24"/>
      <w:lang w:eastAsia="en-AU"/>
    </w:rPr>
  </w:style>
  <w:style w:type="paragraph" w:customStyle="1" w:styleId="Headertext">
    <w:name w:val="Header text"/>
    <w:rsid w:val="00E842CE"/>
    <w:pPr>
      <w:jc w:val="right"/>
    </w:pPr>
    <w:rPr>
      <w:rFonts w:ascii="Arial" w:hAnsi="Arial"/>
      <w:szCs w:val="24"/>
      <w:lang w:eastAsia="en-US"/>
    </w:rPr>
  </w:style>
  <w:style w:type="character" w:styleId="Hyperlink">
    <w:name w:val="Hyperlink"/>
    <w:basedOn w:val="DefaultParagraphFont"/>
    <w:uiPriority w:val="99"/>
    <w:qFormat/>
    <w:rsid w:val="00E842CE"/>
    <w:rPr>
      <w:color w:val="0000FF" w:themeColor="hyperlink"/>
      <w:u w:val="single"/>
    </w:rPr>
  </w:style>
  <w:style w:type="table" w:customStyle="1" w:styleId="PHNGreyTable">
    <w:name w:val="PHN Grey Table"/>
    <w:basedOn w:val="TableNormal"/>
    <w:uiPriority w:val="99"/>
    <w:rsid w:val="00E842CE"/>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Tablelistbullet">
    <w:name w:val="Table list bullet"/>
    <w:basedOn w:val="Tabletextleft"/>
    <w:qFormat/>
    <w:rsid w:val="00E842CE"/>
    <w:pPr>
      <w:numPr>
        <w:numId w:val="24"/>
      </w:numPr>
    </w:pPr>
    <w:rPr>
      <w:szCs w:val="20"/>
    </w:rPr>
  </w:style>
  <w:style w:type="paragraph" w:customStyle="1" w:styleId="Tablelistnumber">
    <w:name w:val="Table list number"/>
    <w:basedOn w:val="Tabletextleft"/>
    <w:qFormat/>
    <w:rsid w:val="00E842CE"/>
    <w:pPr>
      <w:numPr>
        <w:numId w:val="25"/>
      </w:numPr>
    </w:pPr>
    <w:rPr>
      <w:bCs/>
      <w14:numSpacing w14:val="proportional"/>
    </w:rPr>
  </w:style>
  <w:style w:type="paragraph" w:customStyle="1" w:styleId="TableHeader">
    <w:name w:val="Table Header"/>
    <w:basedOn w:val="Normal"/>
    <w:next w:val="Tabletextleft"/>
    <w:qFormat/>
    <w:rsid w:val="00E842CE"/>
    <w:pPr>
      <w:spacing w:before="80" w:after="80"/>
    </w:pPr>
    <w:rPr>
      <w:rFonts w:eastAsia="Cambria"/>
      <w:b/>
      <w:color w:val="FFFFFF" w:themeColor="background1"/>
      <w:szCs w:val="22"/>
      <w:lang w:val="en-US"/>
    </w:rPr>
  </w:style>
  <w:style w:type="paragraph" w:customStyle="1" w:styleId="SectionHeading">
    <w:name w:val="Section Heading"/>
    <w:basedOn w:val="Heading1"/>
    <w:next w:val="Normal"/>
    <w:rsid w:val="00E842CE"/>
    <w:rPr>
      <w:szCs w:val="32"/>
    </w:rPr>
  </w:style>
  <w:style w:type="paragraph" w:styleId="FootnoteText">
    <w:name w:val="footnote text"/>
    <w:link w:val="FootnoteTextChar"/>
    <w:uiPriority w:val="99"/>
    <w:rsid w:val="00E842CE"/>
    <w:rPr>
      <w:rFonts w:ascii="Arial" w:hAnsi="Arial"/>
      <w:lang w:eastAsia="en-US"/>
    </w:rPr>
  </w:style>
  <w:style w:type="character" w:customStyle="1" w:styleId="FootnoteTextChar">
    <w:name w:val="Footnote Text Char"/>
    <w:basedOn w:val="DefaultParagraphFont"/>
    <w:link w:val="FootnoteText"/>
    <w:uiPriority w:val="99"/>
    <w:rsid w:val="00E842CE"/>
    <w:rPr>
      <w:rFonts w:ascii="Arial" w:hAnsi="Arial"/>
      <w:lang w:eastAsia="en-US"/>
    </w:rPr>
  </w:style>
  <w:style w:type="paragraph" w:styleId="Caption">
    <w:name w:val="caption"/>
    <w:basedOn w:val="Normal"/>
    <w:next w:val="Normal"/>
    <w:unhideWhenUsed/>
    <w:rsid w:val="00E842CE"/>
    <w:pPr>
      <w:spacing w:after="200"/>
    </w:pPr>
    <w:rPr>
      <w:b/>
      <w:bCs/>
      <w:color w:val="3F4A75" w:themeColor="accent1"/>
      <w:sz w:val="18"/>
      <w:szCs w:val="18"/>
    </w:rPr>
  </w:style>
  <w:style w:type="paragraph" w:customStyle="1" w:styleId="VisionBox">
    <w:name w:val="VisionBox"/>
    <w:basedOn w:val="Normal"/>
    <w:qFormat/>
    <w:rsid w:val="00E842CE"/>
    <w:pPr>
      <w:pBdr>
        <w:top w:val="single" w:sz="4" w:space="15" w:color="358189"/>
        <w:bottom w:val="single" w:sz="4" w:space="10" w:color="358189"/>
      </w:pBdr>
      <w:spacing w:before="240" w:after="240" w:line="340" w:lineRule="exact"/>
    </w:pPr>
    <w:rPr>
      <w:rFonts w:eastAsiaTheme="minorHAnsi"/>
      <w:color w:val="358189"/>
    </w:rPr>
  </w:style>
  <w:style w:type="paragraph" w:customStyle="1" w:styleId="Style1">
    <w:name w:val="Style1"/>
    <w:next w:val="Normal"/>
    <w:rsid w:val="00E842CE"/>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paragraph" w:customStyle="1" w:styleId="PolicyStatement">
    <w:name w:val="PolicyStatement"/>
    <w:basedOn w:val="Normal"/>
    <w:qFormat/>
    <w:rsid w:val="00E842CE"/>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style>
  <w:style w:type="table" w:customStyle="1" w:styleId="DepartmentofHealthtable">
    <w:name w:val="Department of Health table"/>
    <w:basedOn w:val="TableNormal"/>
    <w:uiPriority w:val="99"/>
    <w:rsid w:val="00E842CE"/>
    <w:rPr>
      <w:rFonts w:ascii="Arial" w:hAnsi="Arial"/>
      <w:color w:val="000000" w:themeColor="text1"/>
      <w:sz w:val="2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character" w:customStyle="1" w:styleId="TableTitleChar">
    <w:name w:val="Table Title Char"/>
    <w:basedOn w:val="DefaultParagraphFont"/>
    <w:link w:val="TableTitle"/>
    <w:rsid w:val="00E842CE"/>
    <w:rPr>
      <w:rFonts w:ascii="Arial" w:hAnsi="Arial"/>
      <w:b/>
      <w:color w:val="000000" w:themeColor="text1"/>
      <w:sz w:val="22"/>
      <w:szCs w:val="24"/>
      <w:lang w:val="en-US" w:eastAsia="en-US"/>
    </w:rPr>
  </w:style>
  <w:style w:type="paragraph" w:customStyle="1" w:styleId="IntroPara">
    <w:name w:val="Intro Para"/>
    <w:basedOn w:val="Normal"/>
    <w:next w:val="Normal"/>
    <w:qFormat/>
    <w:rsid w:val="00E842CE"/>
    <w:pPr>
      <w:spacing w:before="480" w:line="400" w:lineRule="exact"/>
    </w:pPr>
    <w:rPr>
      <w:color w:val="358189"/>
      <w:sz w:val="28"/>
    </w:rPr>
  </w:style>
  <w:style w:type="paragraph" w:customStyle="1" w:styleId="TableTextright">
    <w:name w:val="Table Text right"/>
    <w:basedOn w:val="Tabletextleft"/>
    <w:rsid w:val="00E842CE"/>
    <w:pPr>
      <w:jc w:val="right"/>
    </w:pPr>
  </w:style>
  <w:style w:type="paragraph" w:customStyle="1" w:styleId="Tabletextright0">
    <w:name w:val="Table text right"/>
    <w:basedOn w:val="Tabletextleft"/>
    <w:rsid w:val="00E842CE"/>
    <w:pPr>
      <w:jc w:val="right"/>
    </w:pPr>
  </w:style>
  <w:style w:type="paragraph" w:customStyle="1" w:styleId="Tabletextcentre">
    <w:name w:val="Table text centre"/>
    <w:basedOn w:val="Tabletextleft"/>
    <w:rsid w:val="00E842CE"/>
    <w:pPr>
      <w:jc w:val="center"/>
    </w:pPr>
  </w:style>
  <w:style w:type="paragraph" w:customStyle="1" w:styleId="Boxheading">
    <w:name w:val="Box heading"/>
    <w:basedOn w:val="Boxtype"/>
    <w:qFormat/>
    <w:rsid w:val="00E842CE"/>
    <w:pPr>
      <w:spacing w:before="240"/>
    </w:pPr>
    <w:rPr>
      <w:rFonts w:cs="Times New Roman"/>
      <w:b/>
      <w:bCs/>
      <w:caps/>
      <w:color w:val="358189"/>
      <w:szCs w:val="20"/>
    </w:rPr>
  </w:style>
  <w:style w:type="paragraph" w:customStyle="1" w:styleId="Boxtype">
    <w:name w:val="Box type"/>
    <w:next w:val="Normal"/>
    <w:qFormat/>
    <w:rsid w:val="00E842CE"/>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000000" w:themeColor="text1"/>
      <w:sz w:val="22"/>
      <w:szCs w:val="24"/>
      <w:lang w:val="en" w:eastAsia="en-US"/>
    </w:rPr>
  </w:style>
  <w:style w:type="paragraph" w:customStyle="1" w:styleId="Footerrightpage">
    <w:name w:val="Footer right page"/>
    <w:basedOn w:val="Footer"/>
    <w:rsid w:val="00E842CE"/>
  </w:style>
  <w:style w:type="paragraph" w:customStyle="1" w:styleId="URL">
    <w:name w:val="URL"/>
    <w:basedOn w:val="Normal"/>
    <w:rsid w:val="00E842CE"/>
    <w:pPr>
      <w:spacing w:before="3120"/>
      <w:jc w:val="center"/>
    </w:pPr>
    <w:rPr>
      <w:b/>
      <w:bCs/>
      <w:sz w:val="24"/>
      <w:szCs w:val="20"/>
    </w:rPr>
  </w:style>
  <w:style w:type="paragraph" w:styleId="BodyText">
    <w:name w:val="Body Text"/>
    <w:basedOn w:val="Normal"/>
    <w:link w:val="BodyTextChar"/>
    <w:semiHidden/>
    <w:unhideWhenUsed/>
    <w:rsid w:val="00E842CE"/>
  </w:style>
  <w:style w:type="character" w:customStyle="1" w:styleId="BodyTextChar">
    <w:name w:val="Body Text Char"/>
    <w:basedOn w:val="DefaultParagraphFont"/>
    <w:link w:val="BodyText"/>
    <w:semiHidden/>
    <w:rsid w:val="00E842CE"/>
    <w:rPr>
      <w:rFonts w:ascii="Arial" w:hAnsi="Arial"/>
      <w:color w:val="000000" w:themeColor="text1"/>
      <w:sz w:val="22"/>
      <w:szCs w:val="24"/>
      <w:lang w:eastAsia="en-US"/>
    </w:rPr>
  </w:style>
  <w:style w:type="character" w:customStyle="1" w:styleId="Heading7Char">
    <w:name w:val="Heading 7 Char"/>
    <w:basedOn w:val="DefaultParagraphFont"/>
    <w:link w:val="Heading7"/>
    <w:uiPriority w:val="98"/>
    <w:semiHidden/>
    <w:rsid w:val="00E842CE"/>
    <w:rPr>
      <w:rFonts w:ascii="Arial" w:eastAsiaTheme="majorEastAsia" w:hAnsi="Arial" w:cstheme="majorBidi"/>
      <w:b/>
      <w:i/>
      <w:iCs/>
      <w:color w:val="1F243A" w:themeColor="accent1" w:themeShade="7F"/>
      <w:sz w:val="22"/>
      <w:szCs w:val="24"/>
      <w:lang w:eastAsia="en-US"/>
    </w:rPr>
  </w:style>
  <w:style w:type="paragraph" w:customStyle="1" w:styleId="Subheading">
    <w:name w:val="Subheading"/>
    <w:basedOn w:val="Normal"/>
    <w:next w:val="Normal"/>
    <w:qFormat/>
    <w:rsid w:val="00572F25"/>
    <w:pPr>
      <w:spacing w:before="240" w:after="200" w:line="240" w:lineRule="auto"/>
    </w:pPr>
    <w:rPr>
      <w:b/>
      <w:color w:val="00A9E5"/>
      <w:sz w:val="36"/>
      <w:szCs w:val="36"/>
      <w:lang w:eastAsia="en-AU"/>
    </w:rPr>
  </w:style>
  <w:style w:type="character" w:customStyle="1" w:styleId="Heading8Char">
    <w:name w:val="Heading 8 Char"/>
    <w:basedOn w:val="DefaultParagraphFont"/>
    <w:link w:val="Heading8"/>
    <w:uiPriority w:val="98"/>
    <w:semiHidden/>
    <w:rsid w:val="00572F25"/>
    <w:rPr>
      <w:rFonts w:ascii="Calibri" w:hAnsi="Calibri"/>
      <w:i/>
      <w:iCs/>
      <w:sz w:val="24"/>
      <w:szCs w:val="24"/>
    </w:rPr>
  </w:style>
  <w:style w:type="character" w:customStyle="1" w:styleId="Heading9Char">
    <w:name w:val="Heading 9 Char"/>
    <w:basedOn w:val="DefaultParagraphFont"/>
    <w:link w:val="Heading9"/>
    <w:uiPriority w:val="98"/>
    <w:semiHidden/>
    <w:rsid w:val="00572F25"/>
    <w:rPr>
      <w:rFonts w:ascii="Calibri Light" w:hAnsi="Calibri Light"/>
      <w:sz w:val="22"/>
      <w:szCs w:val="22"/>
    </w:rPr>
  </w:style>
  <w:style w:type="paragraph" w:styleId="TOC1">
    <w:name w:val="toc 1"/>
    <w:basedOn w:val="Normal"/>
    <w:next w:val="Normal"/>
    <w:autoRedefine/>
    <w:uiPriority w:val="39"/>
    <w:qFormat/>
    <w:rsid w:val="00572F25"/>
    <w:pPr>
      <w:tabs>
        <w:tab w:val="right" w:leader="dot" w:pos="9016"/>
      </w:tabs>
      <w:spacing w:line="240" w:lineRule="auto"/>
    </w:pPr>
    <w:rPr>
      <w:rFonts w:cs="Arial"/>
      <w:b/>
      <w:bCs/>
      <w:noProof/>
      <w:color w:val="00598F" w:themeColor="accent3" w:themeShade="BF"/>
      <w:sz w:val="24"/>
      <w:szCs w:val="20"/>
      <w:lang w:eastAsia="en-AU"/>
    </w:rPr>
  </w:style>
  <w:style w:type="paragraph" w:styleId="TOC2">
    <w:name w:val="toc 2"/>
    <w:basedOn w:val="Normal"/>
    <w:next w:val="Normal"/>
    <w:autoRedefine/>
    <w:uiPriority w:val="39"/>
    <w:qFormat/>
    <w:rsid w:val="00572F25"/>
    <w:pPr>
      <w:tabs>
        <w:tab w:val="left" w:pos="880"/>
        <w:tab w:val="right" w:pos="9016"/>
      </w:tabs>
      <w:spacing w:line="240" w:lineRule="auto"/>
      <w:ind w:left="221"/>
    </w:pPr>
    <w:rPr>
      <w:rFonts w:cs="Arial"/>
      <w:color w:val="auto"/>
      <w:szCs w:val="20"/>
      <w:lang w:eastAsia="en-AU"/>
    </w:rPr>
  </w:style>
  <w:style w:type="paragraph" w:styleId="TOCHeading">
    <w:name w:val="TOC Heading"/>
    <w:basedOn w:val="Heading1"/>
    <w:next w:val="Normal"/>
    <w:uiPriority w:val="39"/>
    <w:unhideWhenUsed/>
    <w:qFormat/>
    <w:rsid w:val="00572F25"/>
    <w:pPr>
      <w:keepLines/>
      <w:spacing w:before="480" w:after="0" w:line="276" w:lineRule="auto"/>
      <w:ind w:left="432" w:hanging="432"/>
      <w:outlineLvl w:val="9"/>
    </w:pPr>
    <w:rPr>
      <w:rFonts w:eastAsia="SimHei" w:cs="Times New Roman"/>
      <w:color w:val="8A8E91"/>
      <w:kern w:val="0"/>
      <w:sz w:val="40"/>
      <w:szCs w:val="28"/>
      <w:lang w:val="en-US" w:eastAsia="ja-JP"/>
    </w:rPr>
  </w:style>
  <w:style w:type="paragraph" w:customStyle="1" w:styleId="Bulletlist">
    <w:name w:val="Bullet list"/>
    <w:qFormat/>
    <w:rsid w:val="00572F25"/>
    <w:pPr>
      <w:numPr>
        <w:numId w:val="33"/>
      </w:numPr>
      <w:spacing w:after="200"/>
      <w:contextualSpacing/>
    </w:pPr>
    <w:rPr>
      <w:rFonts w:ascii="Arial" w:hAnsi="Arial"/>
      <w:color w:val="000000"/>
      <w:sz w:val="22"/>
      <w:szCs w:val="24"/>
      <w:lang w:eastAsia="en-US"/>
    </w:rPr>
  </w:style>
  <w:style w:type="paragraph" w:customStyle="1" w:styleId="Chaptertitle">
    <w:name w:val="Chapter title"/>
    <w:basedOn w:val="Title"/>
    <w:qFormat/>
    <w:rsid w:val="00572F25"/>
    <w:pPr>
      <w:spacing w:before="240" w:after="240" w:line="240" w:lineRule="auto"/>
      <w:contextualSpacing w:val="0"/>
    </w:pPr>
    <w:rPr>
      <w:rFonts w:ascii="Arial Bold" w:eastAsia="SimHei" w:hAnsi="Arial Bold" w:cs="Times New Roman"/>
      <w:color w:val="2C5A6C"/>
      <w:szCs w:val="48"/>
      <w:lang w:eastAsia="en-AU"/>
    </w:rPr>
  </w:style>
  <w:style w:type="paragraph" w:styleId="TOC3">
    <w:name w:val="toc 3"/>
    <w:basedOn w:val="Normal"/>
    <w:next w:val="Normal"/>
    <w:autoRedefine/>
    <w:uiPriority w:val="39"/>
    <w:qFormat/>
    <w:rsid w:val="00572F25"/>
    <w:pPr>
      <w:tabs>
        <w:tab w:val="left" w:pos="8902"/>
      </w:tabs>
      <w:spacing w:before="0" w:after="0" w:line="240" w:lineRule="auto"/>
      <w:ind w:left="442"/>
    </w:pPr>
    <w:rPr>
      <w:rFonts w:cs="Arial"/>
      <w:iCs/>
      <w:noProof/>
      <w:color w:val="auto"/>
      <w:szCs w:val="20"/>
      <w:lang w:eastAsia="en-AU"/>
    </w:rPr>
  </w:style>
  <w:style w:type="character" w:styleId="FootnoteReference">
    <w:name w:val="footnote reference"/>
    <w:rsid w:val="00572F25"/>
    <w:rPr>
      <w:rFonts w:ascii="Arial" w:hAnsi="Arial"/>
      <w:vertAlign w:val="superscript"/>
    </w:rPr>
  </w:style>
  <w:style w:type="character" w:customStyle="1" w:styleId="Underline">
    <w:name w:val="Underline"/>
    <w:qFormat/>
    <w:rsid w:val="00572F25"/>
    <w:rPr>
      <w:u w:val="single"/>
    </w:rPr>
  </w:style>
  <w:style w:type="character" w:styleId="PlaceholderText">
    <w:name w:val="Placeholder Text"/>
    <w:uiPriority w:val="98"/>
    <w:semiHidden/>
    <w:rsid w:val="00572F25"/>
    <w:rPr>
      <w:color w:val="808080"/>
    </w:rPr>
  </w:style>
  <w:style w:type="character" w:styleId="FollowedHyperlink">
    <w:name w:val="FollowedHyperlink"/>
    <w:rsid w:val="00572F25"/>
    <w:rPr>
      <w:color w:val="D4602C"/>
      <w:u w:val="single"/>
    </w:rPr>
  </w:style>
  <w:style w:type="paragraph" w:customStyle="1" w:styleId="Captions">
    <w:name w:val="Captions"/>
    <w:basedOn w:val="Normal"/>
    <w:link w:val="CaptionsChar"/>
    <w:qFormat/>
    <w:rsid w:val="00572F25"/>
    <w:pPr>
      <w:keepNext/>
      <w:spacing w:before="0" w:after="200" w:line="240" w:lineRule="auto"/>
      <w:ind w:left="1418" w:hanging="1418"/>
    </w:pPr>
    <w:rPr>
      <w:b/>
      <w:bCs/>
      <w:color w:val="auto"/>
      <w:szCs w:val="22"/>
      <w:lang w:eastAsia="en-AU"/>
    </w:rPr>
  </w:style>
  <w:style w:type="character" w:customStyle="1" w:styleId="CaptionsChar">
    <w:name w:val="Captions Char"/>
    <w:link w:val="Captions"/>
    <w:rsid w:val="00572F25"/>
    <w:rPr>
      <w:rFonts w:ascii="Arial" w:hAnsi="Arial"/>
      <w:b/>
      <w:bCs/>
      <w:sz w:val="22"/>
      <w:szCs w:val="22"/>
    </w:rPr>
  </w:style>
  <w:style w:type="numbering" w:customStyle="1" w:styleId="Listbullets">
    <w:name w:val="List bullets"/>
    <w:uiPriority w:val="99"/>
    <w:rsid w:val="00572F25"/>
    <w:pPr>
      <w:numPr>
        <w:numId w:val="28"/>
      </w:numPr>
    </w:pPr>
  </w:style>
  <w:style w:type="paragraph" w:customStyle="1" w:styleId="Numberedlists">
    <w:name w:val="Numbered lists"/>
    <w:basedOn w:val="Normal"/>
    <w:link w:val="NumberedlistsChar"/>
    <w:qFormat/>
    <w:rsid w:val="00572F25"/>
    <w:pPr>
      <w:numPr>
        <w:numId w:val="32"/>
      </w:numPr>
      <w:spacing w:after="200" w:line="240" w:lineRule="auto"/>
      <w:contextualSpacing/>
    </w:pPr>
    <w:rPr>
      <w:color w:val="auto"/>
      <w:szCs w:val="22"/>
      <w:lang w:eastAsia="en-AU"/>
    </w:rPr>
  </w:style>
  <w:style w:type="character" w:customStyle="1" w:styleId="NumberedlistsChar">
    <w:name w:val="Numbered lists Char"/>
    <w:basedOn w:val="DefaultParagraphFont"/>
    <w:link w:val="Numberedlists"/>
    <w:rsid w:val="00572F25"/>
    <w:rPr>
      <w:rFonts w:ascii="Arial" w:hAnsi="Arial"/>
      <w:sz w:val="22"/>
      <w:szCs w:val="22"/>
    </w:rPr>
  </w:style>
  <w:style w:type="numbering" w:customStyle="1" w:styleId="Bullet">
    <w:name w:val="Bullet"/>
    <w:uiPriority w:val="99"/>
    <w:locked/>
    <w:rsid w:val="00572F25"/>
    <w:pPr>
      <w:numPr>
        <w:numId w:val="29"/>
      </w:numPr>
    </w:pPr>
  </w:style>
  <w:style w:type="numbering" w:customStyle="1" w:styleId="Bullets">
    <w:name w:val="Bullets"/>
    <w:uiPriority w:val="99"/>
    <w:locked/>
    <w:rsid w:val="00572F25"/>
    <w:pPr>
      <w:numPr>
        <w:numId w:val="30"/>
      </w:numPr>
    </w:pPr>
  </w:style>
  <w:style w:type="numbering" w:customStyle="1" w:styleId="BulletsLevel1">
    <w:name w:val="Bullets Level 1"/>
    <w:uiPriority w:val="99"/>
    <w:locked/>
    <w:rsid w:val="00572F25"/>
    <w:pPr>
      <w:numPr>
        <w:numId w:val="31"/>
      </w:numPr>
    </w:pPr>
  </w:style>
  <w:style w:type="paragraph" w:customStyle="1" w:styleId="PublicationDate">
    <w:name w:val="Publication Date"/>
    <w:basedOn w:val="Normal"/>
    <w:link w:val="PublicationDateChar"/>
    <w:qFormat/>
    <w:rsid w:val="00572F25"/>
    <w:pPr>
      <w:spacing w:before="240" w:after="240" w:line="240" w:lineRule="auto"/>
    </w:pPr>
    <w:rPr>
      <w:color w:val="0A4A63"/>
      <w:sz w:val="32"/>
      <w:szCs w:val="40"/>
      <w:lang w:eastAsia="en-AU"/>
    </w:rPr>
  </w:style>
  <w:style w:type="character" w:customStyle="1" w:styleId="PublicationDateChar">
    <w:name w:val="Publication Date Char"/>
    <w:link w:val="PublicationDate"/>
    <w:rsid w:val="00572F25"/>
    <w:rPr>
      <w:rFonts w:ascii="Arial" w:hAnsi="Arial"/>
      <w:color w:val="0A4A63"/>
      <w:sz w:val="32"/>
      <w:szCs w:val="40"/>
    </w:rPr>
  </w:style>
  <w:style w:type="paragraph" w:customStyle="1" w:styleId="Redtext">
    <w:name w:val="Red text"/>
    <w:basedOn w:val="Normal"/>
    <w:qFormat/>
    <w:rsid w:val="00572F25"/>
    <w:pPr>
      <w:spacing w:before="0" w:after="80" w:line="240" w:lineRule="auto"/>
    </w:pPr>
    <w:rPr>
      <w:color w:val="FF0000"/>
      <w:szCs w:val="22"/>
      <w:lang w:eastAsia="en-AU"/>
    </w:rPr>
  </w:style>
  <w:style w:type="paragraph" w:customStyle="1" w:styleId="Normal-beforebullets">
    <w:name w:val="Normal - before bullets"/>
    <w:basedOn w:val="Normal"/>
    <w:qFormat/>
    <w:rsid w:val="00572F25"/>
    <w:pPr>
      <w:spacing w:before="0" w:after="0" w:line="240" w:lineRule="auto"/>
    </w:pPr>
    <w:rPr>
      <w:color w:val="auto"/>
      <w:szCs w:val="22"/>
      <w:lang w:eastAsia="en-AU"/>
    </w:rPr>
  </w:style>
  <w:style w:type="paragraph" w:styleId="TOC4">
    <w:name w:val="toc 4"/>
    <w:basedOn w:val="Normal"/>
    <w:next w:val="Normal"/>
    <w:autoRedefine/>
    <w:uiPriority w:val="39"/>
    <w:rsid w:val="00572F25"/>
    <w:pPr>
      <w:tabs>
        <w:tab w:val="right" w:pos="9016"/>
      </w:tabs>
      <w:spacing w:after="0" w:line="240" w:lineRule="auto"/>
      <w:ind w:left="658"/>
    </w:pPr>
    <w:rPr>
      <w:color w:val="auto"/>
      <w:szCs w:val="22"/>
      <w:lang w:eastAsia="en-AU"/>
    </w:rPr>
  </w:style>
  <w:style w:type="table" w:customStyle="1" w:styleId="GridTable4-Accent21">
    <w:name w:val="Grid Table 4 - Accent 21"/>
    <w:basedOn w:val="TableNormal"/>
    <w:uiPriority w:val="49"/>
    <w:rsid w:val="00572F25"/>
    <w:pPr>
      <w:jc w:val="center"/>
    </w:pPr>
    <w:rPr>
      <w:rFonts w:ascii="Arial" w:hAnsi="Arial"/>
    </w:rPr>
    <w:tblPr>
      <w:tblStyleRowBandSize w:val="1"/>
      <w:tblStyleColBandSize w:val="1"/>
      <w:tblBorders>
        <w:top w:val="single" w:sz="4" w:space="0" w:color="CDE5E3"/>
        <w:left w:val="single" w:sz="4" w:space="0" w:color="CDE5E3"/>
        <w:bottom w:val="single" w:sz="4" w:space="0" w:color="CDE5E3"/>
        <w:right w:val="single" w:sz="4" w:space="0" w:color="CDE5E3"/>
        <w:insideH w:val="single" w:sz="4" w:space="0" w:color="CDE5E3"/>
        <w:insideV w:val="single" w:sz="4" w:space="0" w:color="CDE5E3"/>
      </w:tblBorders>
    </w:tblPr>
    <w:tcPr>
      <w:vAlign w:val="bottom"/>
    </w:tcPr>
    <w:tblStylePr w:type="firstRow">
      <w:rPr>
        <w:b/>
        <w:bCs/>
        <w:color w:val="FFFFFF"/>
      </w:rPr>
      <w:tblPr/>
      <w:tcPr>
        <w:tcBorders>
          <w:top w:val="single" w:sz="4" w:space="0" w:color="ADD4D1"/>
          <w:left w:val="single" w:sz="4" w:space="0" w:color="ADD4D1"/>
          <w:bottom w:val="single" w:sz="4" w:space="0" w:color="ADD4D1"/>
          <w:right w:val="single" w:sz="4" w:space="0" w:color="ADD4D1"/>
          <w:insideH w:val="nil"/>
          <w:insideV w:val="nil"/>
        </w:tcBorders>
        <w:shd w:val="clear" w:color="auto" w:fill="ADD4D1"/>
      </w:tcPr>
    </w:tblStylePr>
    <w:tblStylePr w:type="lastRow">
      <w:rPr>
        <w:b/>
        <w:bCs/>
      </w:rPr>
      <w:tblPr/>
      <w:tcPr>
        <w:tcBorders>
          <w:top w:val="double" w:sz="4" w:space="0" w:color="ADD4D1"/>
        </w:tcBorders>
      </w:tcPr>
    </w:tblStylePr>
    <w:tblStylePr w:type="firstCol">
      <w:rPr>
        <w:b/>
        <w:bCs/>
      </w:rPr>
    </w:tblStylePr>
    <w:tblStylePr w:type="lastCol">
      <w:pPr>
        <w:jc w:val="center"/>
      </w:pPr>
      <w:rPr>
        <w:b/>
        <w:bCs/>
      </w:rPr>
    </w:tblStylePr>
    <w:tblStylePr w:type="band1Vert">
      <w:tblPr/>
      <w:tcPr>
        <w:shd w:val="clear" w:color="auto" w:fill="EEF6F5"/>
      </w:tcPr>
    </w:tblStylePr>
    <w:tblStylePr w:type="band1Horz">
      <w:tblPr/>
      <w:tcPr>
        <w:shd w:val="clear" w:color="auto" w:fill="EEF6F5"/>
      </w:tcPr>
    </w:tblStylePr>
  </w:style>
  <w:style w:type="table" w:customStyle="1" w:styleId="GridTable4-Accent211">
    <w:name w:val="Grid Table 4 - Accent 211"/>
    <w:basedOn w:val="TableNormal"/>
    <w:uiPriority w:val="49"/>
    <w:rsid w:val="00572F25"/>
    <w:pPr>
      <w:jc w:val="center"/>
    </w:pPr>
    <w:rPr>
      <w:rFonts w:ascii="Arial" w:hAnsi="Arial"/>
    </w:rPr>
    <w:tblPr>
      <w:tblStyleRowBandSize w:val="1"/>
      <w:tblStyleColBandSize w:val="1"/>
      <w:tblBorders>
        <w:top w:val="single" w:sz="4" w:space="0" w:color="CDE5E3"/>
        <w:left w:val="single" w:sz="4" w:space="0" w:color="CDE5E3"/>
        <w:bottom w:val="single" w:sz="4" w:space="0" w:color="CDE5E3"/>
        <w:right w:val="single" w:sz="4" w:space="0" w:color="CDE5E3"/>
        <w:insideH w:val="single" w:sz="4" w:space="0" w:color="CDE5E3"/>
        <w:insideV w:val="single" w:sz="4" w:space="0" w:color="CDE5E3"/>
      </w:tblBorders>
    </w:tblPr>
    <w:tcPr>
      <w:vAlign w:val="bottom"/>
    </w:tcPr>
    <w:tblStylePr w:type="firstRow">
      <w:rPr>
        <w:b/>
        <w:bCs/>
        <w:color w:val="FFFFFF"/>
      </w:rPr>
      <w:tblPr/>
      <w:tcPr>
        <w:tcBorders>
          <w:top w:val="single" w:sz="4" w:space="0" w:color="ADD4D1"/>
          <w:left w:val="single" w:sz="4" w:space="0" w:color="ADD4D1"/>
          <w:bottom w:val="single" w:sz="4" w:space="0" w:color="ADD4D1"/>
          <w:right w:val="single" w:sz="4" w:space="0" w:color="ADD4D1"/>
          <w:insideH w:val="nil"/>
          <w:insideV w:val="nil"/>
        </w:tcBorders>
        <w:shd w:val="clear" w:color="auto" w:fill="ADD4D1"/>
      </w:tcPr>
    </w:tblStylePr>
    <w:tblStylePr w:type="lastRow">
      <w:rPr>
        <w:b/>
        <w:bCs/>
      </w:rPr>
      <w:tblPr/>
      <w:tcPr>
        <w:tcBorders>
          <w:top w:val="double" w:sz="4" w:space="0" w:color="ADD4D1"/>
        </w:tcBorders>
      </w:tcPr>
    </w:tblStylePr>
    <w:tblStylePr w:type="firstCol">
      <w:rPr>
        <w:b/>
        <w:bCs/>
      </w:rPr>
    </w:tblStylePr>
    <w:tblStylePr w:type="lastCol">
      <w:pPr>
        <w:jc w:val="center"/>
      </w:pPr>
      <w:rPr>
        <w:b/>
        <w:bCs/>
      </w:rPr>
    </w:tblStylePr>
    <w:tblStylePr w:type="band1Vert">
      <w:tblPr/>
      <w:tcPr>
        <w:shd w:val="clear" w:color="auto" w:fill="EEF6F5"/>
      </w:tcPr>
    </w:tblStylePr>
    <w:tblStylePr w:type="band1Horz">
      <w:tblPr/>
      <w:tcPr>
        <w:shd w:val="clear" w:color="auto" w:fill="EEF6F5"/>
      </w:tcPr>
    </w:tblStylePr>
  </w:style>
  <w:style w:type="character" w:styleId="CommentReference">
    <w:name w:val="annotation reference"/>
    <w:uiPriority w:val="99"/>
    <w:semiHidden/>
    <w:unhideWhenUsed/>
    <w:rsid w:val="00572F25"/>
    <w:rPr>
      <w:sz w:val="16"/>
      <w:szCs w:val="16"/>
    </w:rPr>
  </w:style>
  <w:style w:type="paragraph" w:customStyle="1" w:styleId="CommentText1">
    <w:name w:val="Comment Text1"/>
    <w:basedOn w:val="Normal"/>
    <w:next w:val="CommentText"/>
    <w:link w:val="CommentTextChar"/>
    <w:uiPriority w:val="99"/>
    <w:unhideWhenUsed/>
    <w:locked/>
    <w:rsid w:val="00572F25"/>
    <w:pPr>
      <w:spacing w:before="0" w:after="200" w:line="240" w:lineRule="auto"/>
    </w:pPr>
    <w:rPr>
      <w:rFonts w:eastAsia="Arial"/>
      <w:color w:val="auto"/>
      <w:sz w:val="20"/>
      <w:szCs w:val="20"/>
    </w:rPr>
  </w:style>
  <w:style w:type="character" w:customStyle="1" w:styleId="CommentTextChar">
    <w:name w:val="Comment Text Char"/>
    <w:link w:val="CommentText1"/>
    <w:uiPriority w:val="99"/>
    <w:rsid w:val="00572F25"/>
    <w:rPr>
      <w:rFonts w:ascii="Arial" w:eastAsia="Arial" w:hAnsi="Arial"/>
      <w:lang w:eastAsia="en-US"/>
    </w:rPr>
  </w:style>
  <w:style w:type="table" w:customStyle="1" w:styleId="GridTable4-Accent11">
    <w:name w:val="Grid Table 4 - Accent 11"/>
    <w:basedOn w:val="TableNormal"/>
    <w:uiPriority w:val="49"/>
    <w:rsid w:val="00572F25"/>
    <w:rPr>
      <w:rFonts w:ascii="Arial" w:eastAsia="Arial" w:hAnsi="Arial"/>
      <w:lang w:eastAsia="en-US"/>
    </w:rPr>
    <w:tblPr>
      <w:tblStyleRowBandSize w:val="1"/>
      <w:tblStyleColBandSize w:val="1"/>
    </w:tblPr>
    <w:tcPr>
      <w:vAlign w:val="center"/>
    </w:tcPr>
    <w:tblStylePr w:type="firstRow">
      <w:rPr>
        <w:b/>
        <w:bCs/>
        <w:color w:val="FFFFFF"/>
      </w:rPr>
      <w:tblPr/>
      <w:tcPr>
        <w:tcBorders>
          <w:top w:val="single" w:sz="4" w:space="0" w:color="BCBEC0"/>
          <w:left w:val="single" w:sz="4" w:space="0" w:color="BCBEC0"/>
          <w:bottom w:val="single" w:sz="4" w:space="0" w:color="BCBEC0"/>
          <w:right w:val="single" w:sz="4" w:space="0" w:color="BCBEC0"/>
          <w:insideH w:val="nil"/>
          <w:insideV w:val="nil"/>
        </w:tcBorders>
        <w:shd w:val="clear" w:color="auto" w:fill="BCBEC0"/>
      </w:tcPr>
    </w:tblStylePr>
    <w:tblStylePr w:type="lastRow">
      <w:rPr>
        <w:b/>
        <w:bCs/>
      </w:rPr>
      <w:tblPr/>
      <w:tcPr>
        <w:tcBorders>
          <w:top w:val="double" w:sz="4" w:space="0" w:color="BCBEC0"/>
        </w:tcBorders>
      </w:tcPr>
    </w:tblStylePr>
    <w:tblStylePr w:type="firstCol">
      <w:rPr>
        <w:b/>
        <w:bCs/>
      </w:rPr>
    </w:tblStylePr>
    <w:tblStylePr w:type="lastCol">
      <w:rPr>
        <w:b/>
        <w:bCs/>
      </w:rPr>
    </w:tblStylePr>
    <w:tblStylePr w:type="band1Vert">
      <w:tblPr/>
      <w:tcPr>
        <w:shd w:val="clear" w:color="auto" w:fill="F1F1F2"/>
      </w:tcPr>
    </w:tblStylePr>
    <w:tblStylePr w:type="band1Horz">
      <w:tblPr/>
      <w:tcPr>
        <w:shd w:val="clear" w:color="auto" w:fill="F1F1F2"/>
      </w:tcPr>
    </w:tblStylePr>
  </w:style>
  <w:style w:type="paragraph" w:styleId="CommentText">
    <w:name w:val="annotation text"/>
    <w:basedOn w:val="Normal"/>
    <w:link w:val="CommentTextChar1"/>
    <w:uiPriority w:val="98"/>
    <w:unhideWhenUsed/>
    <w:rsid w:val="00572F25"/>
    <w:pPr>
      <w:spacing w:before="0" w:after="200" w:line="240" w:lineRule="auto"/>
    </w:pPr>
    <w:rPr>
      <w:color w:val="auto"/>
      <w:sz w:val="20"/>
      <w:szCs w:val="20"/>
      <w:lang w:eastAsia="en-AU"/>
    </w:rPr>
  </w:style>
  <w:style w:type="character" w:customStyle="1" w:styleId="CommentTextChar1">
    <w:name w:val="Comment Text Char1"/>
    <w:basedOn w:val="DefaultParagraphFont"/>
    <w:link w:val="CommentText"/>
    <w:uiPriority w:val="98"/>
    <w:rsid w:val="00572F25"/>
    <w:rPr>
      <w:rFonts w:ascii="Arial" w:hAnsi="Arial"/>
    </w:rPr>
  </w:style>
  <w:style w:type="table" w:customStyle="1" w:styleId="GridTable4-Accent212">
    <w:name w:val="Grid Table 4 - Accent 212"/>
    <w:basedOn w:val="TableNormal"/>
    <w:uiPriority w:val="49"/>
    <w:rsid w:val="00572F25"/>
    <w:pPr>
      <w:jc w:val="center"/>
    </w:pPr>
    <w:rPr>
      <w:rFonts w:ascii="Arial" w:hAnsi="Arial"/>
    </w:rPr>
    <w:tblPr>
      <w:tblStyleRowBandSize w:val="1"/>
      <w:tblStyleColBandSize w:val="1"/>
      <w:tblBorders>
        <w:top w:val="single" w:sz="4" w:space="0" w:color="CDE5E3"/>
        <w:left w:val="single" w:sz="4" w:space="0" w:color="CDE5E3"/>
        <w:bottom w:val="single" w:sz="4" w:space="0" w:color="CDE5E3"/>
        <w:right w:val="single" w:sz="4" w:space="0" w:color="CDE5E3"/>
        <w:insideH w:val="single" w:sz="4" w:space="0" w:color="CDE5E3"/>
        <w:insideV w:val="single" w:sz="4" w:space="0" w:color="CDE5E3"/>
      </w:tblBorders>
    </w:tblPr>
    <w:tcPr>
      <w:vAlign w:val="bottom"/>
    </w:tcPr>
    <w:tblStylePr w:type="firstRow">
      <w:rPr>
        <w:b/>
        <w:bCs/>
        <w:color w:val="FFFFFF"/>
      </w:rPr>
      <w:tblPr/>
      <w:tcPr>
        <w:tcBorders>
          <w:top w:val="single" w:sz="4" w:space="0" w:color="ADD4D1"/>
          <w:left w:val="single" w:sz="4" w:space="0" w:color="ADD4D1"/>
          <w:bottom w:val="single" w:sz="4" w:space="0" w:color="ADD4D1"/>
          <w:right w:val="single" w:sz="4" w:space="0" w:color="ADD4D1"/>
          <w:insideH w:val="nil"/>
          <w:insideV w:val="nil"/>
        </w:tcBorders>
        <w:shd w:val="clear" w:color="auto" w:fill="ADD4D1"/>
      </w:tcPr>
    </w:tblStylePr>
    <w:tblStylePr w:type="lastRow">
      <w:rPr>
        <w:b/>
        <w:bCs/>
      </w:rPr>
      <w:tblPr/>
      <w:tcPr>
        <w:tcBorders>
          <w:top w:val="double" w:sz="4" w:space="0" w:color="ADD4D1"/>
        </w:tcBorders>
      </w:tcPr>
    </w:tblStylePr>
    <w:tblStylePr w:type="firstCol">
      <w:rPr>
        <w:b/>
        <w:bCs/>
      </w:rPr>
    </w:tblStylePr>
    <w:tblStylePr w:type="lastCol">
      <w:pPr>
        <w:jc w:val="center"/>
      </w:pPr>
      <w:rPr>
        <w:b/>
        <w:bCs/>
      </w:rPr>
    </w:tblStylePr>
    <w:tblStylePr w:type="band1Vert">
      <w:tblPr/>
      <w:tcPr>
        <w:shd w:val="clear" w:color="auto" w:fill="EEF6F5"/>
      </w:tcPr>
    </w:tblStylePr>
    <w:tblStylePr w:type="band1Horz">
      <w:tblPr/>
      <w:tcPr>
        <w:shd w:val="clear" w:color="auto" w:fill="EEF6F5"/>
      </w:tcPr>
    </w:tblStylePr>
  </w:style>
  <w:style w:type="character" w:customStyle="1" w:styleId="normaltextrun">
    <w:name w:val="normaltextrun"/>
    <w:basedOn w:val="DefaultParagraphFont"/>
    <w:rsid w:val="00572F25"/>
  </w:style>
  <w:style w:type="character" w:customStyle="1" w:styleId="eop">
    <w:name w:val="eop"/>
    <w:basedOn w:val="DefaultParagraphFont"/>
    <w:rsid w:val="00572F25"/>
  </w:style>
  <w:style w:type="paragraph" w:styleId="CommentSubject">
    <w:name w:val="annotation subject"/>
    <w:basedOn w:val="CommentText"/>
    <w:next w:val="CommentText"/>
    <w:link w:val="CommentSubjectChar"/>
    <w:uiPriority w:val="98"/>
    <w:semiHidden/>
    <w:unhideWhenUsed/>
    <w:rsid w:val="00572F25"/>
    <w:rPr>
      <w:b/>
      <w:bCs/>
    </w:rPr>
  </w:style>
  <w:style w:type="character" w:customStyle="1" w:styleId="CommentSubjectChar">
    <w:name w:val="Comment Subject Char"/>
    <w:basedOn w:val="CommentTextChar1"/>
    <w:link w:val="CommentSubject"/>
    <w:uiPriority w:val="98"/>
    <w:semiHidden/>
    <w:rsid w:val="00572F25"/>
    <w:rPr>
      <w:rFonts w:ascii="Arial" w:hAnsi="Arial"/>
      <w:b/>
      <w:bCs/>
    </w:rPr>
  </w:style>
  <w:style w:type="paragraph" w:customStyle="1" w:styleId="paragraph">
    <w:name w:val="paragraph"/>
    <w:basedOn w:val="Normal"/>
    <w:rsid w:val="00572F25"/>
    <w:pPr>
      <w:spacing w:before="100" w:beforeAutospacing="1" w:after="100" w:afterAutospacing="1" w:line="240" w:lineRule="auto"/>
    </w:pPr>
    <w:rPr>
      <w:rFonts w:ascii="Times New Roman" w:hAnsi="Times New Roman"/>
      <w:color w:val="auto"/>
      <w:sz w:val="24"/>
      <w:lang w:eastAsia="en-AU"/>
    </w:rPr>
  </w:style>
  <w:style w:type="paragraph" w:styleId="Revision">
    <w:name w:val="Revision"/>
    <w:hidden/>
    <w:uiPriority w:val="99"/>
    <w:semiHidden/>
    <w:rsid w:val="00572F25"/>
    <w:rPr>
      <w:rFonts w:ascii="Arial" w:hAnsi="Arial"/>
      <w:sz w:val="22"/>
      <w:szCs w:val="22"/>
    </w:rPr>
  </w:style>
  <w:style w:type="character" w:customStyle="1" w:styleId="UnresolvedMention1">
    <w:name w:val="Unresolved Mention1"/>
    <w:uiPriority w:val="99"/>
    <w:semiHidden/>
    <w:unhideWhenUsed/>
    <w:rsid w:val="00572F25"/>
    <w:rPr>
      <w:color w:val="605E5C"/>
      <w:shd w:val="clear" w:color="auto" w:fill="E1DFDD"/>
    </w:rPr>
  </w:style>
  <w:style w:type="table" w:customStyle="1" w:styleId="HNAPS">
    <w:name w:val="HNAPS"/>
    <w:basedOn w:val="GridTable4-Accent21"/>
    <w:uiPriority w:val="99"/>
    <w:rsid w:val="00572F25"/>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tblStylePr w:type="firstRow">
      <w:pPr>
        <w:jc w:val="center"/>
      </w:pPr>
      <w:rPr>
        <w:b/>
        <w:bCs/>
        <w:color w:val="FFFFFF"/>
      </w:rPr>
      <w:tblPr/>
      <w:tcPr>
        <w:tcBorders>
          <w:top w:val="single" w:sz="4" w:space="0" w:color="ADD4D1"/>
          <w:left w:val="single" w:sz="4" w:space="0" w:color="ADD4D1"/>
          <w:bottom w:val="single" w:sz="4" w:space="0" w:color="ADD4D1"/>
          <w:right w:val="single" w:sz="4" w:space="0" w:color="ADD4D1"/>
          <w:insideH w:val="nil"/>
          <w:insideV w:val="nil"/>
        </w:tcBorders>
        <w:shd w:val="clear" w:color="auto" w:fill="ADD4D1"/>
        <w:vAlign w:val="center"/>
      </w:tcPr>
    </w:tblStylePr>
    <w:tblStylePr w:type="lastRow">
      <w:rPr>
        <w:b/>
        <w:bCs/>
      </w:rPr>
      <w:tblPr/>
      <w:tcPr>
        <w:tcBorders>
          <w:top w:val="double" w:sz="4" w:space="0" w:color="ADD4D1"/>
        </w:tcBorders>
      </w:tcPr>
    </w:tblStylePr>
    <w:tblStylePr w:type="firstCol">
      <w:pPr>
        <w:jc w:val="left"/>
      </w:pPr>
      <w:rPr>
        <w:b w:val="0"/>
        <w:bCs/>
      </w:rPr>
      <w:tblPr/>
      <w:tcPr>
        <w:vAlign w:val="center"/>
      </w:tcPr>
    </w:tblStylePr>
    <w:tblStylePr w:type="lastCol">
      <w:pPr>
        <w:jc w:val="center"/>
      </w:pPr>
      <w:rPr>
        <w:b/>
        <w:bCs/>
      </w:rPr>
    </w:tblStylePr>
    <w:tblStylePr w:type="band1Vert">
      <w:tblPr/>
      <w:tcPr>
        <w:shd w:val="clear" w:color="auto" w:fill="EEF6F5"/>
      </w:tcPr>
    </w:tblStylePr>
    <w:tblStylePr w:type="band1Horz">
      <w:tblPr/>
      <w:tcPr>
        <w:shd w:val="clear" w:color="auto" w:fill="EEF6F5"/>
      </w:tcPr>
    </w:tblStylePr>
  </w:style>
  <w:style w:type="character" w:customStyle="1" w:styleId="UnresolvedMention2">
    <w:name w:val="Unresolved Mention2"/>
    <w:uiPriority w:val="99"/>
    <w:semiHidden/>
    <w:unhideWhenUsed/>
    <w:rsid w:val="00572F25"/>
    <w:rPr>
      <w:color w:val="605E5C"/>
      <w:shd w:val="clear" w:color="auto" w:fill="E1DFDD"/>
    </w:rPr>
  </w:style>
  <w:style w:type="numbering" w:customStyle="1" w:styleId="Bullet1">
    <w:name w:val="Bullet1"/>
    <w:uiPriority w:val="99"/>
    <w:locked/>
    <w:rsid w:val="00572F25"/>
  </w:style>
  <w:style w:type="table" w:styleId="GridTable4-Accent3">
    <w:name w:val="Grid Table 4 Accent 3"/>
    <w:basedOn w:val="TableNormal"/>
    <w:uiPriority w:val="49"/>
    <w:rsid w:val="00572F25"/>
    <w:rPr>
      <w:rFonts w:ascii="Arial" w:hAnsi="Arial"/>
    </w:rPr>
    <w:tblPr>
      <w:tblStyleRowBandSize w:val="1"/>
      <w:tblStyleColBandSize w:val="1"/>
      <w:tblBorders>
        <w:top w:val="single" w:sz="4" w:space="0" w:color="31FFF2"/>
        <w:left w:val="single" w:sz="4" w:space="0" w:color="31FFF2"/>
        <w:bottom w:val="single" w:sz="4" w:space="0" w:color="31FFF2"/>
        <w:right w:val="single" w:sz="4" w:space="0" w:color="31FFF2"/>
        <w:insideH w:val="single" w:sz="4" w:space="0" w:color="31FFF2"/>
        <w:insideV w:val="single" w:sz="4" w:space="0" w:color="31FFF2"/>
      </w:tblBorders>
    </w:tblPr>
    <w:tblStylePr w:type="firstRow">
      <w:rPr>
        <w:b/>
        <w:bCs/>
        <w:color w:val="FFFFFF"/>
      </w:rPr>
      <w:tblPr/>
      <w:tcPr>
        <w:tcBorders>
          <w:top w:val="single" w:sz="4" w:space="0" w:color="00A79D"/>
          <w:left w:val="single" w:sz="4" w:space="0" w:color="00A79D"/>
          <w:bottom w:val="single" w:sz="4" w:space="0" w:color="00A79D"/>
          <w:right w:val="single" w:sz="4" w:space="0" w:color="00A79D"/>
          <w:insideH w:val="nil"/>
          <w:insideV w:val="nil"/>
        </w:tcBorders>
        <w:shd w:val="clear" w:color="auto" w:fill="00A79D"/>
      </w:tcPr>
    </w:tblStylePr>
    <w:tblStylePr w:type="lastRow">
      <w:rPr>
        <w:b/>
        <w:bCs/>
      </w:rPr>
      <w:tblPr/>
      <w:tcPr>
        <w:tcBorders>
          <w:top w:val="double" w:sz="4" w:space="0" w:color="00A79D"/>
        </w:tcBorders>
      </w:tcPr>
    </w:tblStylePr>
    <w:tblStylePr w:type="firstCol">
      <w:rPr>
        <w:b/>
        <w:bCs/>
      </w:rPr>
    </w:tblStylePr>
    <w:tblStylePr w:type="lastCol">
      <w:rPr>
        <w:b/>
        <w:bCs/>
      </w:rPr>
    </w:tblStylePr>
    <w:tblStylePr w:type="band1Vert">
      <w:tblPr/>
      <w:tcPr>
        <w:shd w:val="clear" w:color="auto" w:fill="BAFFFA"/>
      </w:tcPr>
    </w:tblStylePr>
    <w:tblStylePr w:type="band1Horz">
      <w:tblPr/>
      <w:tcPr>
        <w:shd w:val="clear" w:color="auto" w:fill="BAFFFA"/>
      </w:tcPr>
    </w:tblStylePr>
  </w:style>
  <w:style w:type="table" w:styleId="GridTable5Dark-Accent2">
    <w:name w:val="Grid Table 5 Dark Accent 2"/>
    <w:basedOn w:val="TableNormal"/>
    <w:uiPriority w:val="50"/>
    <w:rsid w:val="00572F25"/>
    <w:rPr>
      <w:rFonts w:ascii="Arial" w:hAnsi="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EF6F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DD4D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DD4D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DD4D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DD4D1"/>
      </w:tcPr>
    </w:tblStylePr>
    <w:tblStylePr w:type="band1Vert">
      <w:tblPr/>
      <w:tcPr>
        <w:shd w:val="clear" w:color="auto" w:fill="DEEDEC"/>
      </w:tcPr>
    </w:tblStylePr>
    <w:tblStylePr w:type="band1Horz">
      <w:tblPr/>
      <w:tcPr>
        <w:shd w:val="clear" w:color="auto" w:fill="DEEDEC"/>
      </w:tcPr>
    </w:tblStylePr>
  </w:style>
  <w:style w:type="paragraph" w:styleId="EndnoteText">
    <w:name w:val="endnote text"/>
    <w:basedOn w:val="Normal"/>
    <w:link w:val="EndnoteTextChar"/>
    <w:uiPriority w:val="98"/>
    <w:semiHidden/>
    <w:unhideWhenUsed/>
    <w:rsid w:val="00572F25"/>
    <w:pPr>
      <w:spacing w:before="0" w:after="200" w:line="240" w:lineRule="auto"/>
    </w:pPr>
    <w:rPr>
      <w:color w:val="auto"/>
      <w:sz w:val="20"/>
      <w:szCs w:val="20"/>
      <w:lang w:eastAsia="en-AU"/>
    </w:rPr>
  </w:style>
  <w:style w:type="character" w:customStyle="1" w:styleId="EndnoteTextChar">
    <w:name w:val="Endnote Text Char"/>
    <w:basedOn w:val="DefaultParagraphFont"/>
    <w:link w:val="EndnoteText"/>
    <w:uiPriority w:val="98"/>
    <w:semiHidden/>
    <w:rsid w:val="00572F25"/>
    <w:rPr>
      <w:rFonts w:ascii="Arial" w:hAnsi="Arial"/>
    </w:rPr>
  </w:style>
  <w:style w:type="character" w:styleId="EndnoteReference">
    <w:name w:val="endnote reference"/>
    <w:uiPriority w:val="98"/>
    <w:semiHidden/>
    <w:unhideWhenUsed/>
    <w:rsid w:val="00572F25"/>
    <w:rPr>
      <w:vertAlign w:val="superscript"/>
    </w:rPr>
  </w:style>
  <w:style w:type="table" w:styleId="GridTable4-Accent5">
    <w:name w:val="Grid Table 4 Accent 5"/>
    <w:basedOn w:val="TableNormal"/>
    <w:uiPriority w:val="49"/>
    <w:rsid w:val="00572F25"/>
    <w:rPr>
      <w:rFonts w:ascii="Arial" w:hAnsi="Ari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stTable3-Accent5">
    <w:name w:val="List Table 3 Accent 5"/>
    <w:basedOn w:val="TableNormal"/>
    <w:uiPriority w:val="48"/>
    <w:rsid w:val="00572F25"/>
    <w:rPr>
      <w:rFonts w:ascii="Arial" w:hAnsi="Arial"/>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character" w:customStyle="1" w:styleId="UnresolvedMention3">
    <w:name w:val="Unresolved Mention3"/>
    <w:uiPriority w:val="99"/>
    <w:semiHidden/>
    <w:unhideWhenUsed/>
    <w:rsid w:val="00572F25"/>
    <w:rPr>
      <w:color w:val="605E5C"/>
      <w:shd w:val="clear" w:color="auto" w:fill="E1DFDD"/>
    </w:rPr>
  </w:style>
  <w:style w:type="character" w:customStyle="1" w:styleId="Heading4Char">
    <w:name w:val="Heading 4 Char"/>
    <w:basedOn w:val="DefaultParagraphFont"/>
    <w:link w:val="Heading4"/>
    <w:rsid w:val="00572F25"/>
    <w:rPr>
      <w:rFonts w:ascii="Arial" w:hAnsi="Arial"/>
      <w:b/>
      <w:bCs/>
      <w:i/>
      <w:color w:val="358189" w:themeColor="accent2"/>
      <w:sz w:val="28"/>
      <w:szCs w:val="28"/>
      <w:lang w:eastAsia="en-US"/>
    </w:rPr>
  </w:style>
  <w:style w:type="table" w:customStyle="1" w:styleId="TableGridLight1">
    <w:name w:val="Table Grid Light1"/>
    <w:basedOn w:val="TableNormal"/>
    <w:uiPriority w:val="40"/>
    <w:rsid w:val="00572F25"/>
    <w:rPr>
      <w:rFonts w:asciiTheme="minorHAnsi" w:hAnsiTheme="minorHAns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ghtList-Accent6">
    <w:name w:val="Light List Accent 6"/>
    <w:basedOn w:val="TableNormal"/>
    <w:uiPriority w:val="61"/>
    <w:locked/>
    <w:rsid w:val="00572F25"/>
    <w:rPr>
      <w:rFonts w:asciiTheme="minorHAnsi" w:eastAsiaTheme="minorHAnsi" w:hAnsiTheme="minorHAnsi" w:cstheme="minorBidi"/>
      <w:sz w:val="22"/>
      <w:szCs w:val="22"/>
      <w:lang w:eastAsia="en-US"/>
    </w:rPr>
    <w:tblPr>
      <w:tblStyleRowBandSize w:val="1"/>
      <w:tblStyleColBandSize w:val="1"/>
      <w:tblBorders>
        <w:top w:val="single" w:sz="8" w:space="0" w:color="97A926" w:themeColor="accent6"/>
        <w:left w:val="single" w:sz="8" w:space="0" w:color="97A926" w:themeColor="accent6"/>
        <w:bottom w:val="single" w:sz="8" w:space="0" w:color="97A926" w:themeColor="accent6"/>
        <w:right w:val="single" w:sz="8" w:space="0" w:color="97A926" w:themeColor="accent6"/>
      </w:tblBorders>
    </w:tblPr>
    <w:tblStylePr w:type="firstRow">
      <w:pPr>
        <w:spacing w:before="0" w:after="0" w:line="240" w:lineRule="auto"/>
      </w:pPr>
      <w:rPr>
        <w:b/>
        <w:bCs/>
        <w:color w:val="FFFFFF" w:themeColor="background1"/>
      </w:rPr>
      <w:tblPr/>
      <w:tcPr>
        <w:shd w:val="clear" w:color="auto" w:fill="97A926" w:themeFill="accent6"/>
      </w:tcPr>
    </w:tblStylePr>
    <w:tblStylePr w:type="lastRow">
      <w:pPr>
        <w:spacing w:before="0" w:after="0" w:line="240" w:lineRule="auto"/>
      </w:pPr>
      <w:rPr>
        <w:b/>
        <w:bCs/>
      </w:rPr>
      <w:tblPr/>
      <w:tcPr>
        <w:tcBorders>
          <w:top w:val="double" w:sz="6" w:space="0" w:color="97A926" w:themeColor="accent6"/>
          <w:left w:val="single" w:sz="8" w:space="0" w:color="97A926" w:themeColor="accent6"/>
          <w:bottom w:val="single" w:sz="8" w:space="0" w:color="97A926" w:themeColor="accent6"/>
          <w:right w:val="single" w:sz="8" w:space="0" w:color="97A926" w:themeColor="accent6"/>
        </w:tcBorders>
      </w:tcPr>
    </w:tblStylePr>
    <w:tblStylePr w:type="firstCol">
      <w:rPr>
        <w:b/>
        <w:bCs/>
      </w:rPr>
    </w:tblStylePr>
    <w:tblStylePr w:type="lastCol">
      <w:rPr>
        <w:b/>
        <w:bCs/>
      </w:rPr>
    </w:tblStylePr>
    <w:tblStylePr w:type="band1Vert">
      <w:tblPr/>
      <w:tcPr>
        <w:tcBorders>
          <w:top w:val="single" w:sz="8" w:space="0" w:color="97A926" w:themeColor="accent6"/>
          <w:left w:val="single" w:sz="8" w:space="0" w:color="97A926" w:themeColor="accent6"/>
          <w:bottom w:val="single" w:sz="8" w:space="0" w:color="97A926" w:themeColor="accent6"/>
          <w:right w:val="single" w:sz="8" w:space="0" w:color="97A926" w:themeColor="accent6"/>
        </w:tcBorders>
      </w:tcPr>
    </w:tblStylePr>
    <w:tblStylePr w:type="band1Horz">
      <w:tblPr/>
      <w:tcPr>
        <w:tcBorders>
          <w:top w:val="single" w:sz="8" w:space="0" w:color="97A926" w:themeColor="accent6"/>
          <w:left w:val="single" w:sz="8" w:space="0" w:color="97A926" w:themeColor="accent6"/>
          <w:bottom w:val="single" w:sz="8" w:space="0" w:color="97A926" w:themeColor="accent6"/>
          <w:right w:val="single" w:sz="8" w:space="0" w:color="97A926" w:themeColor="accent6"/>
        </w:tcBorders>
      </w:tcPr>
    </w:tblStylePr>
  </w:style>
  <w:style w:type="paragraph" w:customStyle="1" w:styleId="Default">
    <w:name w:val="Default"/>
    <w:rsid w:val="00572F25"/>
    <w:pPr>
      <w:autoSpaceDE w:val="0"/>
      <w:autoSpaceDN w:val="0"/>
      <w:adjustRightInd w:val="0"/>
    </w:pPr>
    <w:rPr>
      <w:rFonts w:ascii="Arial" w:eastAsiaTheme="minorHAnsi" w:hAnsi="Arial" w:cs="Arial"/>
      <w:color w:val="000000"/>
      <w:sz w:val="24"/>
      <w:szCs w:val="24"/>
      <w:lang w:eastAsia="en-US"/>
    </w:rPr>
  </w:style>
  <w:style w:type="table" w:customStyle="1" w:styleId="PlainTable41">
    <w:name w:val="Plain Table 41"/>
    <w:basedOn w:val="TableNormal"/>
    <w:uiPriority w:val="44"/>
    <w:rsid w:val="00572F25"/>
    <w:rPr>
      <w:rFonts w:asciiTheme="minorHAnsi" w:hAnsiTheme="minorHAnsi"/>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pple-tab-span">
    <w:name w:val="apple-tab-span"/>
    <w:basedOn w:val="DefaultParagraphFont"/>
    <w:rsid w:val="00572F25"/>
  </w:style>
  <w:style w:type="paragraph" w:customStyle="1" w:styleId="BoxBullet">
    <w:name w:val="BoxBullet"/>
    <w:basedOn w:val="Normal"/>
    <w:rsid w:val="00572F25"/>
    <w:pPr>
      <w:numPr>
        <w:numId w:val="40"/>
      </w:numPr>
      <w:pBdr>
        <w:top w:val="single" w:sz="4" w:space="4" w:color="000000"/>
        <w:left w:val="single" w:sz="4" w:space="4" w:color="000000"/>
        <w:bottom w:val="single" w:sz="4" w:space="4" w:color="000000"/>
        <w:right w:val="single" w:sz="4" w:space="4" w:color="000000"/>
      </w:pBdr>
      <w:spacing w:before="0" w:line="240" w:lineRule="auto"/>
    </w:pPr>
    <w:rPr>
      <w:rFonts w:ascii="Times New Roman" w:hAnsi="Times New Roman"/>
      <w:color w:val="000000"/>
      <w:szCs w:val="20"/>
      <w:lang w:eastAsia="en-AU"/>
    </w:rPr>
  </w:style>
  <w:style w:type="character" w:styleId="UnresolvedMention">
    <w:name w:val="Unresolved Mention"/>
    <w:basedOn w:val="DefaultParagraphFont"/>
    <w:uiPriority w:val="99"/>
    <w:semiHidden/>
    <w:unhideWhenUsed/>
    <w:rsid w:val="00572F25"/>
    <w:rPr>
      <w:color w:val="605E5C"/>
      <w:shd w:val="clear" w:color="auto" w:fill="E1DFDD"/>
    </w:rPr>
  </w:style>
  <w:style w:type="paragraph" w:customStyle="1" w:styleId="Notes">
    <w:name w:val="Notes"/>
    <w:qFormat/>
    <w:rsid w:val="00572F25"/>
    <w:pPr>
      <w:spacing w:before="120" w:after="240"/>
      <w:contextualSpacing/>
    </w:pPr>
    <w:rPr>
      <w:rFonts w:ascii="Arial" w:hAnsi="Arial"/>
      <w:sz w:val="18"/>
      <w:szCs w:val="18"/>
    </w:rPr>
  </w:style>
  <w:style w:type="paragraph" w:customStyle="1" w:styleId="Pa3">
    <w:name w:val="Pa3"/>
    <w:basedOn w:val="Default"/>
    <w:next w:val="Default"/>
    <w:uiPriority w:val="99"/>
    <w:rsid w:val="002F4DD5"/>
    <w:pPr>
      <w:spacing w:line="221" w:lineRule="atLeast"/>
    </w:pPr>
    <w:rPr>
      <w:rFonts w:ascii="HelveticaNeueLT Std Lt" w:eastAsia="Times New Roman" w:hAnsi="HelveticaNeueLT Std Lt" w:cs="Times New Roman"/>
      <w:color w:val="auto"/>
      <w:lang w:eastAsia="en-AU"/>
    </w:rPr>
  </w:style>
  <w:style w:type="paragraph" w:customStyle="1" w:styleId="Pa5">
    <w:name w:val="Pa5"/>
    <w:basedOn w:val="Default"/>
    <w:next w:val="Default"/>
    <w:uiPriority w:val="99"/>
    <w:rsid w:val="002F4DD5"/>
    <w:pPr>
      <w:spacing w:line="221" w:lineRule="atLeast"/>
    </w:pPr>
    <w:rPr>
      <w:rFonts w:ascii="HelveticaNeueLT Std Lt" w:eastAsia="Times New Roman" w:hAnsi="HelveticaNeueLT Std Lt" w:cs="Times New Roman"/>
      <w:color w:val="auto"/>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430276761">
      <w:bodyDiv w:val="1"/>
      <w:marLeft w:val="0"/>
      <w:marRight w:val="0"/>
      <w:marTop w:val="0"/>
      <w:marBottom w:val="0"/>
      <w:divBdr>
        <w:top w:val="none" w:sz="0" w:space="0" w:color="auto"/>
        <w:left w:val="none" w:sz="0" w:space="0" w:color="auto"/>
        <w:bottom w:val="none" w:sz="0" w:space="0" w:color="auto"/>
        <w:right w:val="none" w:sz="0" w:space="0" w:color="auto"/>
      </w:divBdr>
    </w:div>
    <w:div w:id="1536306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eader" Target="header6.xml"/><Relationship Id="rId39" Type="http://schemas.openxmlformats.org/officeDocument/2006/relationships/image" Target="media/image9.png"/><Relationship Id="rId21" Type="http://schemas.openxmlformats.org/officeDocument/2006/relationships/footer" Target="footer1.xml"/><Relationship Id="rId34" Type="http://schemas.openxmlformats.org/officeDocument/2006/relationships/chart" Target="charts/chart2.xml"/><Relationship Id="rId42" Type="http://schemas.openxmlformats.org/officeDocument/2006/relationships/chart" Target="charts/chart6.xml"/><Relationship Id="rId47" Type="http://schemas.openxmlformats.org/officeDocument/2006/relationships/chart" Target="charts/chart11.xml"/><Relationship Id="rId50" Type="http://schemas.openxmlformats.org/officeDocument/2006/relationships/chart" Target="charts/chart14.xml"/><Relationship Id="rId55" Type="http://schemas.openxmlformats.org/officeDocument/2006/relationships/hyperlink" Target="https://www.tg.org.au/" TargetMode="External"/><Relationship Id="rId63" Type="http://schemas.openxmlformats.org/officeDocument/2006/relationships/image" Target="media/image12.jpeg"/><Relationship Id="rId68" Type="http://schemas.openxmlformats.org/officeDocument/2006/relationships/hyperlink" Target="https://www.tg.org.au/" TargetMode="External"/><Relationship Id="rId76" Type="http://schemas.openxmlformats.org/officeDocument/2006/relationships/footer" Target="footer8.xml"/><Relationship Id="rId7" Type="http://schemas.openxmlformats.org/officeDocument/2006/relationships/settings" Target="settings.xml"/><Relationship Id="rId71" Type="http://schemas.openxmlformats.org/officeDocument/2006/relationships/hyperlink" Target="https://www.surgeons.org/en/research-audit/morbidity-audits/morbidity-audit-and-logbook-tool" TargetMode="Externa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diagramData" Target="diagrams/data1.xml"/><Relationship Id="rId11" Type="http://schemas.openxmlformats.org/officeDocument/2006/relationships/image" Target="media/image1.jpeg"/><Relationship Id="rId24" Type="http://schemas.openxmlformats.org/officeDocument/2006/relationships/footer" Target="footer3.xml"/><Relationship Id="rId32" Type="http://schemas.openxmlformats.org/officeDocument/2006/relationships/diagramColors" Target="diagrams/colors1.xml"/><Relationship Id="rId37" Type="http://schemas.openxmlformats.org/officeDocument/2006/relationships/image" Target="media/image8.png"/><Relationship Id="rId40" Type="http://schemas.openxmlformats.org/officeDocument/2006/relationships/chart" Target="charts/chart4.xml"/><Relationship Id="rId45" Type="http://schemas.openxmlformats.org/officeDocument/2006/relationships/chart" Target="charts/chart9.xml"/><Relationship Id="rId53" Type="http://schemas.openxmlformats.org/officeDocument/2006/relationships/hyperlink" Target="https://www.tg.org.au/" TargetMode="External"/><Relationship Id="rId58" Type="http://schemas.openxmlformats.org/officeDocument/2006/relationships/image" Target="media/image10.png"/><Relationship Id="rId66" Type="http://schemas.openxmlformats.org/officeDocument/2006/relationships/hyperlink" Target="file:///C:\Users\publications\Desktop\DT0003636_2021_Surgical_NAPS_report\www.amr.gov.au" TargetMode="External"/><Relationship Id="rId7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5.xml"/><Relationship Id="rId28" Type="http://schemas.openxmlformats.org/officeDocument/2006/relationships/footer" Target="footer5.xml"/><Relationship Id="rId36" Type="http://schemas.openxmlformats.org/officeDocument/2006/relationships/hyperlink" Target="https://www.tg.org.au/" TargetMode="External"/><Relationship Id="rId49" Type="http://schemas.openxmlformats.org/officeDocument/2006/relationships/chart" Target="charts/chart13.xml"/><Relationship Id="rId57" Type="http://schemas.openxmlformats.org/officeDocument/2006/relationships/hyperlink" Target="https://www.tg.org.au/" TargetMode="External"/><Relationship Id="rId61"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diagramQuickStyle" Target="diagrams/quickStyle1.xml"/><Relationship Id="rId44" Type="http://schemas.openxmlformats.org/officeDocument/2006/relationships/chart" Target="charts/chart8.xml"/><Relationship Id="rId52" Type="http://schemas.openxmlformats.org/officeDocument/2006/relationships/chart" Target="charts/chart15.xml"/><Relationship Id="rId60" Type="http://schemas.openxmlformats.org/officeDocument/2006/relationships/chart" Target="charts/chart19.xml"/><Relationship Id="rId65" Type="http://schemas.openxmlformats.org/officeDocument/2006/relationships/hyperlink" Target="https://www.tg.org.au/" TargetMode="External"/><Relationship Id="rId73" Type="http://schemas.openxmlformats.org/officeDocument/2006/relationships/footer" Target="footer7.xm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2.xml"/><Relationship Id="rId27" Type="http://schemas.openxmlformats.org/officeDocument/2006/relationships/footer" Target="footer4.xml"/><Relationship Id="rId30" Type="http://schemas.openxmlformats.org/officeDocument/2006/relationships/diagramLayout" Target="diagrams/layout1.xml"/><Relationship Id="rId35" Type="http://schemas.openxmlformats.org/officeDocument/2006/relationships/chart" Target="charts/chart3.xml"/><Relationship Id="rId43" Type="http://schemas.openxmlformats.org/officeDocument/2006/relationships/chart" Target="charts/chart7.xml"/><Relationship Id="rId48" Type="http://schemas.openxmlformats.org/officeDocument/2006/relationships/chart" Target="charts/chart12.xml"/><Relationship Id="rId56" Type="http://schemas.openxmlformats.org/officeDocument/2006/relationships/chart" Target="charts/chart17.xml"/><Relationship Id="rId64" Type="http://schemas.openxmlformats.org/officeDocument/2006/relationships/image" Target="media/image13.png"/><Relationship Id="rId69" Type="http://schemas.openxmlformats.org/officeDocument/2006/relationships/hyperlink" Target="https://www.ncas-australia.org/timing-and-duration-of-surgical-prophylaxis" TargetMode="External"/><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tg.org.au/" TargetMode="External"/><Relationship Id="rId72" Type="http://schemas.openxmlformats.org/officeDocument/2006/relationships/header" Target="header7.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chart" Target="charts/chart1.xml"/><Relationship Id="rId33" Type="http://schemas.microsoft.com/office/2007/relationships/diagramDrawing" Target="diagrams/drawing1.xml"/><Relationship Id="rId38" Type="http://schemas.openxmlformats.org/officeDocument/2006/relationships/hyperlink" Target="https://www.tg.org.au/" TargetMode="External"/><Relationship Id="rId46" Type="http://schemas.openxmlformats.org/officeDocument/2006/relationships/chart" Target="charts/chart10.xml"/><Relationship Id="rId59" Type="http://schemas.openxmlformats.org/officeDocument/2006/relationships/chart" Target="charts/chart18.xml"/><Relationship Id="rId67" Type="http://schemas.openxmlformats.org/officeDocument/2006/relationships/hyperlink" Target="https://www.amr.gov.au/australias-response/objective-5-integrated-surveillance-and-response-resistance-and-usage/surveillance-antimicrobial-use-and-resistance-human-health" TargetMode="External"/><Relationship Id="rId20" Type="http://schemas.openxmlformats.org/officeDocument/2006/relationships/header" Target="header4.xml"/><Relationship Id="rId41" Type="http://schemas.openxmlformats.org/officeDocument/2006/relationships/chart" Target="charts/chart5.xml"/><Relationship Id="rId54" Type="http://schemas.openxmlformats.org/officeDocument/2006/relationships/chart" Target="charts/chart16.xml"/><Relationship Id="rId62" Type="http://schemas.openxmlformats.org/officeDocument/2006/relationships/image" Target="media/image11.jpeg"/><Relationship Id="rId70" Type="http://schemas.openxmlformats.org/officeDocument/2006/relationships/hyperlink" Target="https://www.ncas-australia.org/Education" TargetMode="External"/><Relationship Id="rId75"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ieranoc\OneDrive%20-%20The%20University%20of%20Melbourne\NAPS%20Reports\Surgical%20NAPS%20Report\2021%20Surgical%20NAPS%20Report\2021%20SNAPS%20Tables%20and%20Figure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C:\Users\ieranoc\OneDrive%20-%20The%20University%20of%20Melbourne\NAPS%20Reports\Surgical%20NAPS%20Report\2021%20Surgical%20NAPS%20Report\2021%20SNAPS%20Tables%20and%20Figures.xlsx" TargetMode="External"/></Relationships>
</file>

<file path=word/charts/_rels/chart11.xml.rels><?xml version="1.0" encoding="UTF-8" standalone="yes"?>
<Relationships xmlns="http://schemas.openxmlformats.org/package/2006/relationships"><Relationship Id="rId3" Type="http://schemas.openxmlformats.org/officeDocument/2006/relationships/oleObject" Target="file:///C:\Users\ieranoc\OneDrive%20-%20The%20University%20of%20Melbourne\NAPS%20Reports\Surgical%20NAPS%20Report\2021%20Surgical%20NAPS%20Report\2021%20SNAPS%20Tables%20and%20Figure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xlsx"/></Relationships>
</file>

<file path=word/charts/_rels/chart13.xml.rels><?xml version="1.0" encoding="UTF-8" standalone="yes"?>
<Relationships xmlns="http://schemas.openxmlformats.org/package/2006/relationships"><Relationship Id="rId3" Type="http://schemas.openxmlformats.org/officeDocument/2006/relationships/oleObject" Target="file:///C:\Users\ieranoc\OneDrive%20-%20The%20University%20of%20Melbourne\NAPS%20Reports\Surgical%20NAPS%20Report\2021%20Surgical%20NAPS%20Report\2021%20SNAPS%20Tables%20and%20Figures.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C:\Users\ieranoc\OneDrive%20-%20The%20University%20of%20Melbourne\NAPS%20Reports\Surgical%20NAPS%20Report\2021%20Surgical%20NAPS%20Report\2021%20SNAPS%20Tables%20and%20Figures.xlsx" TargetMode="External"/></Relationships>
</file>

<file path=word/charts/_rels/chart15.xml.rels><?xml version="1.0" encoding="UTF-8" standalone="yes"?>
<Relationships xmlns="http://schemas.openxmlformats.org/package/2006/relationships"><Relationship Id="rId3" Type="http://schemas.openxmlformats.org/officeDocument/2006/relationships/oleObject" Target="file:///C:\Users\ieranoc\OneDrive%20-%20The%20University%20of%20Melbourne\NAPS%20Reports\Surgical%20NAPS%20Report\2021%20Surgical%20NAPS%20Report\2021%20SNAPS%20Tables%20and%20Figures.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ieranoc\OneDrive%20-%20The%20University%20of%20Melbourne\NAPS%20Reports\Surgical%20NAPS%20Report\2021%20Surgical%20NAPS%20Report\2021%20SNAPS%20Tables%20and%20Figures.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ieranoc\OneDrive%20-%20The%20University%20of%20Melbourne\NAPS%20Reports\Surgical%20NAPS%20Report\2021%20Surgical%20NAPS%20Report\2021%20SNAPS%20Tables%20and%20Figures.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ieranoc\OneDrive%20-%20The%20University%20of%20Melbourne\NAPS%20Reports\Surgical%20NAPS%20Report\2021%20Surgical%20NAPS%20Report\2021%20SNAPS%20Tables%20and%20Figures.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ieranoc\OneDrive%20-%20The%20University%20of%20Melbourne\NAPS%20Reports\Surgical%20NAPS%20Report\2021%20Surgical%20NAPS%20Report\2021%20SNAPS%20Tables%20and%20Figure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Users\publications\Desktop\DT0003636_2021_Surgical_NAPS_report\2021%20Surgical%20NAPS%20Level%20D%20-%20Final%20from%20NCAS.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ieranoc\OneDrive%20-%20The%20University%20of%20Melbourne\NAPS%20Reports\Surgical%20NAPS%20Report\2021%20Surgical%20NAPS%20Report\2021%20SNAPS%20Tables%20and%20Figures.xlsx" TargetMode="Externa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poanto\AppData\Local\Microsoft\Windows\INetCache\Content.Outlook\WR65DFN5\Level%20D%20Data_SurgicalNAPS2021_TablesFigures_Table3Updated_23012023_Fig5_A2.2_Updated_09032023.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unimelbcloud-my.sharepoint.com/personal/rod_james_unimelb_edu_au/Documents/1.%20NAPS/NAPS%20Contract%20Deliverables/2021%20NAPS%20Reports/Surgical%20NAPS%202021/Level%20D%20Data/Level%20D%20Data_SurgicalNAPS2021_TablesFigures_Table3Updated_23012023.xl"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ieranoc\OneDrive%20-%20The%20University%20of%20Melbourne\NAPS%20Reports\Surgical%20NAPS%20Report\2021%20Surgical%20NAPS%20Report\2021%20SNAPS%20Tables%20and%20Figure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C:\Users\ieranoc\OneDrive%20-%20The%20University%20of%20Melbourne\NAPS%20Reports\Surgical%20NAPS%20Report\2021%20Surgical%20NAPS%20Report\2021%20SNAPS%20Tables%20and%20Figur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'Figure 1'!$A$4</c:f>
              <c:strCache>
                <c:ptCount val="1"/>
                <c:pt idx="0">
                  <c:v>Public</c:v>
                </c:pt>
              </c:strCache>
            </c:strRef>
          </c:tx>
          <c:spPr>
            <a:solidFill>
              <a:schemeClr val="tx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'Figure 1'!$B$2:$G$3</c:f>
              <c:multiLvlStrCache>
                <c:ptCount val="6"/>
                <c:lvl>
                  <c:pt idx="0">
                    <c:v>2016</c:v>
                  </c:pt>
                  <c:pt idx="1">
                    <c:v>2017</c:v>
                  </c:pt>
                  <c:pt idx="2">
                    <c:v>2018</c:v>
                  </c:pt>
                  <c:pt idx="3">
                    <c:v>2019</c:v>
                  </c:pt>
                  <c:pt idx="4">
                    <c:v>2020</c:v>
                  </c:pt>
                  <c:pt idx="5">
                    <c:v>2021</c:v>
                  </c:pt>
                </c:lvl>
                <c:lvl>
                  <c:pt idx="0">
                    <c:v>Year of surgical procedure</c:v>
                  </c:pt>
                </c:lvl>
              </c:multiLvlStrCache>
            </c:multiLvlStrRef>
          </c:cat>
          <c:val>
            <c:numRef>
              <c:f>'Figure 1'!$B$4:$G$4</c:f>
              <c:numCache>
                <c:formatCode>General</c:formatCode>
                <c:ptCount val="6"/>
                <c:pt idx="0">
                  <c:v>48</c:v>
                </c:pt>
                <c:pt idx="1">
                  <c:v>59</c:v>
                </c:pt>
                <c:pt idx="2">
                  <c:v>66</c:v>
                </c:pt>
                <c:pt idx="3">
                  <c:v>79</c:v>
                </c:pt>
                <c:pt idx="4">
                  <c:v>75</c:v>
                </c:pt>
                <c:pt idx="5">
                  <c:v>90</c:v>
                </c:pt>
              </c:numCache>
            </c:numRef>
          </c:val>
          <c:extLst>
            <c:ext xmlns:c16="http://schemas.microsoft.com/office/drawing/2014/chart" uri="{C3380CC4-5D6E-409C-BE32-E72D297353CC}">
              <c16:uniqueId val="{00000000-1E01-4386-904C-AE60950DDE77}"/>
            </c:ext>
          </c:extLst>
        </c:ser>
        <c:ser>
          <c:idx val="1"/>
          <c:order val="1"/>
          <c:tx>
            <c:strRef>
              <c:f>'Figure 1'!$A$5</c:f>
              <c:strCache>
                <c:ptCount val="1"/>
                <c:pt idx="0">
                  <c:v>Private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'Figure 1'!$B$2:$G$3</c:f>
              <c:multiLvlStrCache>
                <c:ptCount val="6"/>
                <c:lvl>
                  <c:pt idx="0">
                    <c:v>2016</c:v>
                  </c:pt>
                  <c:pt idx="1">
                    <c:v>2017</c:v>
                  </c:pt>
                  <c:pt idx="2">
                    <c:v>2018</c:v>
                  </c:pt>
                  <c:pt idx="3">
                    <c:v>2019</c:v>
                  </c:pt>
                  <c:pt idx="4">
                    <c:v>2020</c:v>
                  </c:pt>
                  <c:pt idx="5">
                    <c:v>2021</c:v>
                  </c:pt>
                </c:lvl>
                <c:lvl>
                  <c:pt idx="0">
                    <c:v>Year of surgical procedure</c:v>
                  </c:pt>
                </c:lvl>
              </c:multiLvlStrCache>
            </c:multiLvlStrRef>
          </c:cat>
          <c:val>
            <c:numRef>
              <c:f>'Figure 1'!$B$5:$G$5</c:f>
              <c:numCache>
                <c:formatCode>General</c:formatCode>
                <c:ptCount val="6"/>
                <c:pt idx="0">
                  <c:v>36</c:v>
                </c:pt>
                <c:pt idx="1">
                  <c:v>51</c:v>
                </c:pt>
                <c:pt idx="2">
                  <c:v>49</c:v>
                </c:pt>
                <c:pt idx="3">
                  <c:v>71</c:v>
                </c:pt>
                <c:pt idx="4">
                  <c:v>82</c:v>
                </c:pt>
                <c:pt idx="5">
                  <c:v>91</c:v>
                </c:pt>
              </c:numCache>
            </c:numRef>
          </c:val>
          <c:extLst>
            <c:ext xmlns:c16="http://schemas.microsoft.com/office/drawing/2014/chart" uri="{C3380CC4-5D6E-409C-BE32-E72D297353CC}">
              <c16:uniqueId val="{00000001-1E01-4386-904C-AE60950DDE77}"/>
            </c:ext>
          </c:extLst>
        </c:ser>
        <c:dLbls>
          <c:showLegendKey val="0"/>
          <c:showVal val="0"/>
          <c:showCatName val="0"/>
          <c:showSerName val="0"/>
          <c:showPercent val="0"/>
          <c:showBubbleSize val="0"/>
        </c:dLbls>
        <c:gapWidth val="150"/>
        <c:overlap val="100"/>
        <c:axId val="475178304"/>
        <c:axId val="475176736"/>
      </c:barChart>
      <c:catAx>
        <c:axId val="475178304"/>
        <c:scaling>
          <c:orientation val="minMax"/>
        </c:scaling>
        <c:delete val="0"/>
        <c:axPos val="b"/>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475176736"/>
        <c:crosses val="autoZero"/>
        <c:auto val="1"/>
        <c:lblAlgn val="ctr"/>
        <c:lblOffset val="100"/>
        <c:noMultiLvlLbl val="0"/>
      </c:catAx>
      <c:valAx>
        <c:axId val="475176736"/>
        <c:scaling>
          <c:orientation val="minMax"/>
        </c:scaling>
        <c:delete val="1"/>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b="1">
                    <a:solidFill>
                      <a:sysClr val="windowText" lastClr="000000"/>
                    </a:solidFill>
                  </a:rPr>
                  <a:t>Number of facilities</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crossAx val="475178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5B12-7840-B0AF-02BB3C749A86}"/>
              </c:ext>
            </c:extLst>
          </c:dPt>
          <c:dPt>
            <c:idx val="1"/>
            <c:invertIfNegative val="0"/>
            <c:bubble3D val="0"/>
            <c:spPr>
              <a:solidFill>
                <a:schemeClr val="accent1"/>
              </a:solidFill>
              <a:ln>
                <a:noFill/>
              </a:ln>
              <a:effectLst/>
            </c:spPr>
            <c:extLst>
              <c:ext xmlns:c16="http://schemas.microsoft.com/office/drawing/2014/chart" uri="{C3380CC4-5D6E-409C-BE32-E72D297353CC}">
                <c16:uniqueId val="{00000003-5B12-7840-B0AF-02BB3C749A86}"/>
              </c:ext>
            </c:extLst>
          </c:dPt>
          <c:dPt>
            <c:idx val="2"/>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05-5B12-7840-B0AF-02BB3C749A86}"/>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7-5B12-7840-B0AF-02BB3C749A86}"/>
              </c:ext>
            </c:extLst>
          </c:dPt>
          <c:dPt>
            <c:idx val="4"/>
            <c:invertIfNegative val="0"/>
            <c:bubble3D val="0"/>
            <c:spPr>
              <a:solidFill>
                <a:schemeClr val="accent1">
                  <a:lumMod val="40000"/>
                  <a:lumOff val="60000"/>
                </a:schemeClr>
              </a:solidFill>
              <a:ln>
                <a:noFill/>
              </a:ln>
              <a:effectLst/>
            </c:spPr>
            <c:extLst>
              <c:ext xmlns:c16="http://schemas.microsoft.com/office/drawing/2014/chart" uri="{C3380CC4-5D6E-409C-BE32-E72D297353CC}">
                <c16:uniqueId val="{00000009-5B12-7840-B0AF-02BB3C749A8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A3.5'!$A$19:$A$23</c:f>
              <c:strCache>
                <c:ptCount val="5"/>
                <c:pt idx="0">
                  <c:v>Optimal</c:v>
                </c:pt>
                <c:pt idx="1">
                  <c:v>Adequate</c:v>
                </c:pt>
                <c:pt idx="2">
                  <c:v>Suboptimal</c:v>
                </c:pt>
                <c:pt idx="3">
                  <c:v>Inadequate</c:v>
                </c:pt>
                <c:pt idx="4">
                  <c:v>Not assessable</c:v>
                </c:pt>
              </c:strCache>
            </c:strRef>
          </c:cat>
          <c:val>
            <c:numRef>
              <c:f>'Figure A3.5'!$B$19:$B$23</c:f>
              <c:numCache>
                <c:formatCode>0.0</c:formatCode>
                <c:ptCount val="5"/>
                <c:pt idx="0">
                  <c:v>35.5</c:v>
                </c:pt>
                <c:pt idx="1">
                  <c:v>3.6</c:v>
                </c:pt>
                <c:pt idx="2">
                  <c:v>13</c:v>
                </c:pt>
                <c:pt idx="3">
                  <c:v>46.7</c:v>
                </c:pt>
                <c:pt idx="4">
                  <c:v>1.2</c:v>
                </c:pt>
              </c:numCache>
            </c:numRef>
          </c:val>
          <c:extLst>
            <c:ext xmlns:c16="http://schemas.microsoft.com/office/drawing/2014/chart" uri="{C3380CC4-5D6E-409C-BE32-E72D297353CC}">
              <c16:uniqueId val="{0000000A-5B12-7840-B0AF-02BB3C749A86}"/>
            </c:ext>
          </c:extLst>
        </c:ser>
        <c:dLbls>
          <c:dLblPos val="outEnd"/>
          <c:showLegendKey val="0"/>
          <c:showVal val="1"/>
          <c:showCatName val="0"/>
          <c:showSerName val="0"/>
          <c:showPercent val="0"/>
          <c:showBubbleSize val="0"/>
        </c:dLbls>
        <c:gapWidth val="219"/>
        <c:overlap val="-27"/>
        <c:axId val="837091176"/>
        <c:axId val="837084512"/>
      </c:barChart>
      <c:catAx>
        <c:axId val="837091176"/>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b="1">
                    <a:solidFill>
                      <a:sysClr val="windowText" lastClr="000000"/>
                    </a:solidFill>
                  </a:rPr>
                  <a:t>Appropriateness</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7084512"/>
        <c:crosses val="autoZero"/>
        <c:auto val="1"/>
        <c:lblAlgn val="ctr"/>
        <c:lblOffset val="100"/>
        <c:noMultiLvlLbl val="0"/>
      </c:catAx>
      <c:valAx>
        <c:axId val="837084512"/>
        <c:scaling>
          <c:orientation val="minMax"/>
        </c:scaling>
        <c:delete val="1"/>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b="1">
                    <a:solidFill>
                      <a:sysClr val="windowText" lastClr="000000"/>
                    </a:solidFill>
                  </a:rPr>
                  <a:t>Percentage of prescriptions (%)</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0.0" sourceLinked="1"/>
        <c:majorTickMark val="none"/>
        <c:minorTickMark val="none"/>
        <c:tickLblPos val="nextTo"/>
        <c:crossAx val="837091176"/>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6537309494433701"/>
          <c:y val="4.5405114094739289E-2"/>
          <c:w val="0.61198375398483795"/>
          <c:h val="0.82058932312981714"/>
        </c:manualLayout>
      </c:layout>
      <c:barChart>
        <c:barDir val="bar"/>
        <c:grouping val="stacked"/>
        <c:varyColors val="0"/>
        <c:ser>
          <c:idx val="0"/>
          <c:order val="0"/>
          <c:tx>
            <c:strRef>
              <c:f>'Figure A3.1'!$B$40</c:f>
              <c:strCache>
                <c:ptCount val="1"/>
                <c:pt idx="0">
                  <c:v>Appropriate</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A3.1'!$A$41:$A$57</c:f>
              <c:strCache>
                <c:ptCount val="17"/>
                <c:pt idx="0">
                  <c:v>Gastrointestinal endoscopic procedures (n=697)</c:v>
                </c:pt>
                <c:pt idx="1">
                  <c:v>Ophthalmology (n=903)</c:v>
                </c:pt>
                <c:pt idx="2">
                  <c:v>Orthopaedic surgery (n=2,293)</c:v>
                </c:pt>
                <c:pt idx="3">
                  <c:v>Abdominal surgery (n=1,369)</c:v>
                </c:pt>
                <c:pt idx="4">
                  <c:v>Breast surgery (n=273)</c:v>
                </c:pt>
                <c:pt idx="5">
                  <c:v>Obstetrics (n=1,180)</c:v>
                </c:pt>
                <c:pt idx="6">
                  <c:v>Vascular surgery (n=168)</c:v>
                </c:pt>
                <c:pt idx="7">
                  <c:v>Head and neck surgery (n=519)</c:v>
                </c:pt>
                <c:pt idx="8">
                  <c:v>Neurosurgery (n=399)</c:v>
                </c:pt>
                <c:pt idx="9">
                  <c:v>Plastic and reconstructive surgery (n=1,029)</c:v>
                </c:pt>
                <c:pt idx="10">
                  <c:v>Thoracic surgery (n=86)</c:v>
                </c:pt>
                <c:pt idx="11">
                  <c:v>Cardiac surgery (n=459)</c:v>
                </c:pt>
                <c:pt idx="12">
                  <c:v>Gynaecological surgery (n=504)</c:v>
                </c:pt>
                <c:pt idx="13">
                  <c:v>Urological surgery (n=787)</c:v>
                </c:pt>
                <c:pt idx="14">
                  <c:v>Dentoalveolar surgery (n=261)</c:v>
                </c:pt>
                <c:pt idx="16">
                  <c:v>All procedure groups (n=10,927)</c:v>
                </c:pt>
              </c:strCache>
            </c:strRef>
          </c:cat>
          <c:val>
            <c:numRef>
              <c:f>'Figure A3.1'!$B$41:$B$57</c:f>
              <c:numCache>
                <c:formatCode>0.0</c:formatCode>
                <c:ptCount val="17"/>
                <c:pt idx="0">
                  <c:v>97.99</c:v>
                </c:pt>
                <c:pt idx="1">
                  <c:v>79.959999999999994</c:v>
                </c:pt>
                <c:pt idx="2">
                  <c:v>74.97</c:v>
                </c:pt>
                <c:pt idx="3">
                  <c:v>74.58</c:v>
                </c:pt>
                <c:pt idx="4">
                  <c:v>71.06</c:v>
                </c:pt>
                <c:pt idx="5">
                  <c:v>70.930000000000007</c:v>
                </c:pt>
                <c:pt idx="6">
                  <c:v>70.240000000000009</c:v>
                </c:pt>
                <c:pt idx="7">
                  <c:v>68.02</c:v>
                </c:pt>
                <c:pt idx="8">
                  <c:v>67.92</c:v>
                </c:pt>
                <c:pt idx="9">
                  <c:v>66.959999999999994</c:v>
                </c:pt>
                <c:pt idx="10">
                  <c:v>66.28</c:v>
                </c:pt>
                <c:pt idx="11">
                  <c:v>62.529999999999994</c:v>
                </c:pt>
                <c:pt idx="12">
                  <c:v>62.3</c:v>
                </c:pt>
                <c:pt idx="13">
                  <c:v>59.589999999999996</c:v>
                </c:pt>
                <c:pt idx="14">
                  <c:v>57.089999999999996</c:v>
                </c:pt>
                <c:pt idx="16">
                  <c:v>72.14</c:v>
                </c:pt>
              </c:numCache>
            </c:numRef>
          </c:val>
          <c:extLst>
            <c:ext xmlns:c16="http://schemas.microsoft.com/office/drawing/2014/chart" uri="{C3380CC4-5D6E-409C-BE32-E72D297353CC}">
              <c16:uniqueId val="{00000000-AFAF-4C94-9953-3467C1A95268}"/>
            </c:ext>
          </c:extLst>
        </c:ser>
        <c:ser>
          <c:idx val="1"/>
          <c:order val="1"/>
          <c:tx>
            <c:strRef>
              <c:f>'Figure A3.1'!$C$40</c:f>
              <c:strCache>
                <c:ptCount val="1"/>
                <c:pt idx="0">
                  <c:v>Inappropriate</c:v>
                </c:pt>
              </c:strCache>
            </c:strRef>
          </c:tx>
          <c:spPr>
            <a:solidFill>
              <a:schemeClr val="tx2">
                <a:lumMod val="60000"/>
                <a:lumOff val="40000"/>
              </a:schemeClr>
            </a:solidFill>
            <a:ln>
              <a:noFill/>
            </a:ln>
            <a:effectLst/>
          </c:spPr>
          <c:invertIfNegative val="0"/>
          <c:dLbls>
            <c:dLbl>
              <c:idx val="0"/>
              <c:layout>
                <c:manualLayout>
                  <c:x val="-3.2808347791922168E-2"/>
                  <c:y val="2.6924314406772644E-7"/>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layout>
                    <c:manualLayout>
                      <c:w val="4.1811391223155928E-2"/>
                      <c:h val="4.5815034791412738E-2"/>
                    </c:manualLayout>
                  </c15:layout>
                </c:ext>
                <c:ext xmlns:c16="http://schemas.microsoft.com/office/drawing/2014/chart" uri="{C3380CC4-5D6E-409C-BE32-E72D297353CC}">
                  <c16:uniqueId val="{00000001-AFAF-4C94-9953-3467C1A9526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A3.1'!$A$41:$A$57</c:f>
              <c:strCache>
                <c:ptCount val="17"/>
                <c:pt idx="0">
                  <c:v>Gastrointestinal endoscopic procedures (n=697)</c:v>
                </c:pt>
                <c:pt idx="1">
                  <c:v>Ophthalmology (n=903)</c:v>
                </c:pt>
                <c:pt idx="2">
                  <c:v>Orthopaedic surgery (n=2,293)</c:v>
                </c:pt>
                <c:pt idx="3">
                  <c:v>Abdominal surgery (n=1,369)</c:v>
                </c:pt>
                <c:pt idx="4">
                  <c:v>Breast surgery (n=273)</c:v>
                </c:pt>
                <c:pt idx="5">
                  <c:v>Obstetrics (n=1,180)</c:v>
                </c:pt>
                <c:pt idx="6">
                  <c:v>Vascular surgery (n=168)</c:v>
                </c:pt>
                <c:pt idx="7">
                  <c:v>Head and neck surgery (n=519)</c:v>
                </c:pt>
                <c:pt idx="8">
                  <c:v>Neurosurgery (n=399)</c:v>
                </c:pt>
                <c:pt idx="9">
                  <c:v>Plastic and reconstructive surgery (n=1,029)</c:v>
                </c:pt>
                <c:pt idx="10">
                  <c:v>Thoracic surgery (n=86)</c:v>
                </c:pt>
                <c:pt idx="11">
                  <c:v>Cardiac surgery (n=459)</c:v>
                </c:pt>
                <c:pt idx="12">
                  <c:v>Gynaecological surgery (n=504)</c:v>
                </c:pt>
                <c:pt idx="13">
                  <c:v>Urological surgery (n=787)</c:v>
                </c:pt>
                <c:pt idx="14">
                  <c:v>Dentoalveolar surgery (n=261)</c:v>
                </c:pt>
                <c:pt idx="16">
                  <c:v>All procedure groups (n=10,927)</c:v>
                </c:pt>
              </c:strCache>
            </c:strRef>
          </c:cat>
          <c:val>
            <c:numRef>
              <c:f>'Figure A3.1'!$C$41:$C$57</c:f>
              <c:numCache>
                <c:formatCode>0.0</c:formatCode>
                <c:ptCount val="17"/>
                <c:pt idx="0">
                  <c:v>1.58</c:v>
                </c:pt>
                <c:pt idx="1">
                  <c:v>10.74</c:v>
                </c:pt>
                <c:pt idx="2">
                  <c:v>21.81</c:v>
                </c:pt>
                <c:pt idx="3">
                  <c:v>20.669999999999998</c:v>
                </c:pt>
                <c:pt idx="4">
                  <c:v>28.21</c:v>
                </c:pt>
                <c:pt idx="5">
                  <c:v>26.44</c:v>
                </c:pt>
                <c:pt idx="6">
                  <c:v>23.810000000000002</c:v>
                </c:pt>
                <c:pt idx="7">
                  <c:v>29.29</c:v>
                </c:pt>
                <c:pt idx="8">
                  <c:v>29.07</c:v>
                </c:pt>
                <c:pt idx="9">
                  <c:v>29.93</c:v>
                </c:pt>
                <c:pt idx="10">
                  <c:v>31.4</c:v>
                </c:pt>
                <c:pt idx="11">
                  <c:v>36.17</c:v>
                </c:pt>
                <c:pt idx="12">
                  <c:v>35.520000000000003</c:v>
                </c:pt>
                <c:pt idx="13">
                  <c:v>37.1</c:v>
                </c:pt>
                <c:pt idx="14">
                  <c:v>41</c:v>
                </c:pt>
                <c:pt idx="16">
                  <c:v>24.41</c:v>
                </c:pt>
              </c:numCache>
            </c:numRef>
          </c:val>
          <c:extLst>
            <c:ext xmlns:c16="http://schemas.microsoft.com/office/drawing/2014/chart" uri="{C3380CC4-5D6E-409C-BE32-E72D297353CC}">
              <c16:uniqueId val="{00000002-AFAF-4C94-9953-3467C1A95268}"/>
            </c:ext>
          </c:extLst>
        </c:ser>
        <c:ser>
          <c:idx val="2"/>
          <c:order val="2"/>
          <c:tx>
            <c:strRef>
              <c:f>'Figure A3.1'!$D$40</c:f>
              <c:strCache>
                <c:ptCount val="1"/>
                <c:pt idx="0">
                  <c:v>Not assessable</c:v>
                </c:pt>
              </c:strCache>
            </c:strRef>
          </c:tx>
          <c:spPr>
            <a:solidFill>
              <a:schemeClr val="accent1"/>
            </a:solidFill>
            <a:ln>
              <a:noFill/>
            </a:ln>
            <a:effectLst/>
          </c:spPr>
          <c:invertIfNegative val="0"/>
          <c:cat>
            <c:strRef>
              <c:f>'Figure A3.1'!$A$41:$A$57</c:f>
              <c:strCache>
                <c:ptCount val="17"/>
                <c:pt idx="0">
                  <c:v>Gastrointestinal endoscopic procedures (n=697)</c:v>
                </c:pt>
                <c:pt idx="1">
                  <c:v>Ophthalmology (n=903)</c:v>
                </c:pt>
                <c:pt idx="2">
                  <c:v>Orthopaedic surgery (n=2,293)</c:v>
                </c:pt>
                <c:pt idx="3">
                  <c:v>Abdominal surgery (n=1,369)</c:v>
                </c:pt>
                <c:pt idx="4">
                  <c:v>Breast surgery (n=273)</c:v>
                </c:pt>
                <c:pt idx="5">
                  <c:v>Obstetrics (n=1,180)</c:v>
                </c:pt>
                <c:pt idx="6">
                  <c:v>Vascular surgery (n=168)</c:v>
                </c:pt>
                <c:pt idx="7">
                  <c:v>Head and neck surgery (n=519)</c:v>
                </c:pt>
                <c:pt idx="8">
                  <c:v>Neurosurgery (n=399)</c:v>
                </c:pt>
                <c:pt idx="9">
                  <c:v>Plastic and reconstructive surgery (n=1,029)</c:v>
                </c:pt>
                <c:pt idx="10">
                  <c:v>Thoracic surgery (n=86)</c:v>
                </c:pt>
                <c:pt idx="11">
                  <c:v>Cardiac surgery (n=459)</c:v>
                </c:pt>
                <c:pt idx="12">
                  <c:v>Gynaecological surgery (n=504)</c:v>
                </c:pt>
                <c:pt idx="13">
                  <c:v>Urological surgery (n=787)</c:v>
                </c:pt>
                <c:pt idx="14">
                  <c:v>Dentoalveolar surgery (n=261)</c:v>
                </c:pt>
                <c:pt idx="16">
                  <c:v>All procedure groups (n=10,927)</c:v>
                </c:pt>
              </c:strCache>
            </c:strRef>
          </c:cat>
          <c:val>
            <c:numRef>
              <c:f>'Figure A3.1'!$D$41:$D$57</c:f>
              <c:numCache>
                <c:formatCode>0.0</c:formatCode>
                <c:ptCount val="17"/>
                <c:pt idx="0">
                  <c:v>0.43</c:v>
                </c:pt>
                <c:pt idx="1">
                  <c:v>9.3000000000000007</c:v>
                </c:pt>
                <c:pt idx="2">
                  <c:v>3.2300000000000004</c:v>
                </c:pt>
                <c:pt idx="3">
                  <c:v>4.75</c:v>
                </c:pt>
                <c:pt idx="4">
                  <c:v>0.73</c:v>
                </c:pt>
                <c:pt idx="5">
                  <c:v>2.63</c:v>
                </c:pt>
                <c:pt idx="6">
                  <c:v>5.9499999999999993</c:v>
                </c:pt>
                <c:pt idx="7">
                  <c:v>2.7</c:v>
                </c:pt>
                <c:pt idx="8">
                  <c:v>3.01</c:v>
                </c:pt>
                <c:pt idx="9">
                  <c:v>3.11</c:v>
                </c:pt>
                <c:pt idx="10">
                  <c:v>2.33</c:v>
                </c:pt>
                <c:pt idx="11">
                  <c:v>1.31</c:v>
                </c:pt>
                <c:pt idx="12">
                  <c:v>2.1800000000000002</c:v>
                </c:pt>
                <c:pt idx="13">
                  <c:v>3.3000000000000003</c:v>
                </c:pt>
                <c:pt idx="14">
                  <c:v>1.92</c:v>
                </c:pt>
                <c:pt idx="16">
                  <c:v>3.45</c:v>
                </c:pt>
              </c:numCache>
            </c:numRef>
          </c:val>
          <c:extLst>
            <c:ext xmlns:c16="http://schemas.microsoft.com/office/drawing/2014/chart" uri="{C3380CC4-5D6E-409C-BE32-E72D297353CC}">
              <c16:uniqueId val="{00000003-AFAF-4C94-9953-3467C1A95268}"/>
            </c:ext>
          </c:extLst>
        </c:ser>
        <c:dLbls>
          <c:showLegendKey val="0"/>
          <c:showVal val="0"/>
          <c:showCatName val="0"/>
          <c:showSerName val="0"/>
          <c:showPercent val="0"/>
          <c:showBubbleSize val="0"/>
        </c:dLbls>
        <c:gapWidth val="50"/>
        <c:overlap val="100"/>
        <c:axId val="837093136"/>
        <c:axId val="837093528"/>
      </c:barChart>
      <c:catAx>
        <c:axId val="837093136"/>
        <c:scaling>
          <c:orientation val="maxMin"/>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AU" b="1">
                    <a:solidFill>
                      <a:sysClr val="windowText" lastClr="000000"/>
                    </a:solidFill>
                  </a:rPr>
                  <a:t>Procedure group</a:t>
                </a:r>
              </a:p>
            </c:rich>
          </c:tx>
          <c:layout>
            <c:manualLayout>
              <c:xMode val="edge"/>
              <c:yMode val="edge"/>
              <c:x val="8.0101751986883987E-3"/>
              <c:y val="0.33690185532705219"/>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7093528"/>
        <c:crosses val="autoZero"/>
        <c:auto val="1"/>
        <c:lblAlgn val="ctr"/>
        <c:lblOffset val="100"/>
        <c:noMultiLvlLbl val="0"/>
      </c:catAx>
      <c:valAx>
        <c:axId val="837093528"/>
        <c:scaling>
          <c:orientation val="minMax"/>
          <c:max val="100"/>
        </c:scaling>
        <c:delete val="1"/>
        <c:axPos val="t"/>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b="1">
                    <a:solidFill>
                      <a:sysClr val="windowText" lastClr="000000"/>
                    </a:solidFill>
                  </a:rPr>
                  <a:t>Percentage appropriateness (%)</a:t>
                </a:r>
              </a:p>
            </c:rich>
          </c:tx>
          <c:layout>
            <c:manualLayout>
              <c:xMode val="edge"/>
              <c:yMode val="edge"/>
              <c:x val="0.46630671166104237"/>
              <c:y val="0.9346770105825223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37093136"/>
        <c:crosses val="autoZero"/>
        <c:crossBetween val="between"/>
      </c:valAx>
      <c:spPr>
        <a:noFill/>
        <a:ln w="25400">
          <a:noFill/>
        </a:ln>
        <a:effectLst/>
      </c:spPr>
    </c:plotArea>
    <c:legend>
      <c:legendPos val="b"/>
      <c:layout>
        <c:manualLayout>
          <c:xMode val="edge"/>
          <c:yMode val="edge"/>
          <c:x val="0.31354935438904086"/>
          <c:y val="0.88092537985141006"/>
          <c:w val="0.48192224956489244"/>
          <c:h val="5.03922840650631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0533643521832496"/>
          <c:y val="6.8042924592048928E-2"/>
          <c:w val="0.57614504626315666"/>
          <c:h val="0.78687404788585946"/>
        </c:manualLayout>
      </c:layout>
      <c:barChart>
        <c:barDir val="bar"/>
        <c:grouping val="stacked"/>
        <c:varyColors val="0"/>
        <c:ser>
          <c:idx val="0"/>
          <c:order val="0"/>
          <c:tx>
            <c:strRef>
              <c:f>'Figure A3.2'!$B$2</c:f>
              <c:strCache>
                <c:ptCount val="1"/>
                <c:pt idx="0">
                  <c:v>Appropriate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A3.2'!$A$3:$A$19</c:f>
              <c:strCache>
                <c:ptCount val="17"/>
                <c:pt idx="0">
                  <c:v>Gastrointestinal endoscopic procedures (n=671)</c:v>
                </c:pt>
                <c:pt idx="1">
                  <c:v>Obstetrics (n=1,140)</c:v>
                </c:pt>
                <c:pt idx="2">
                  <c:v>Abdominal surgery (n=1,141)</c:v>
                </c:pt>
                <c:pt idx="3">
                  <c:v>Gynaecological surgery (n=490)</c:v>
                </c:pt>
                <c:pt idx="4">
                  <c:v>Vascular surgery (n=145)</c:v>
                </c:pt>
                <c:pt idx="5">
                  <c:v>Urological surgery (n=713)</c:v>
                </c:pt>
                <c:pt idx="6">
                  <c:v>Neurosurgery (n=381)</c:v>
                </c:pt>
                <c:pt idx="7">
                  <c:v>Plastic and reconstructive surgery (n=831)</c:v>
                </c:pt>
                <c:pt idx="8">
                  <c:v>Ophthalmology (n=750)</c:v>
                </c:pt>
                <c:pt idx="9">
                  <c:v>Cardiac surgery (n=452)</c:v>
                </c:pt>
                <c:pt idx="10">
                  <c:v>Head and neck surgery (n=496)</c:v>
                </c:pt>
                <c:pt idx="11">
                  <c:v>Thoracic surgery (n=78)</c:v>
                </c:pt>
                <c:pt idx="12">
                  <c:v>Orthopaedic surgery (n=2,216)</c:v>
                </c:pt>
                <c:pt idx="13">
                  <c:v>Dentoalveolar surgery (n=246)</c:v>
                </c:pt>
                <c:pt idx="14">
                  <c:v>Breast surgery (n=258)</c:v>
                </c:pt>
                <c:pt idx="16">
                  <c:v>All procedure groups (n=10,008)</c:v>
                </c:pt>
              </c:strCache>
            </c:strRef>
          </c:cat>
          <c:val>
            <c:numRef>
              <c:f>'Figure A3.2'!$B$3:$B$19</c:f>
              <c:numCache>
                <c:formatCode>General</c:formatCode>
                <c:ptCount val="17"/>
                <c:pt idx="0">
                  <c:v>99.4</c:v>
                </c:pt>
                <c:pt idx="1">
                  <c:v>95.4</c:v>
                </c:pt>
                <c:pt idx="2">
                  <c:v>87.5</c:v>
                </c:pt>
                <c:pt idx="3">
                  <c:v>87.1</c:v>
                </c:pt>
                <c:pt idx="4">
                  <c:v>84.1</c:v>
                </c:pt>
                <c:pt idx="5">
                  <c:v>81.2</c:v>
                </c:pt>
                <c:pt idx="6">
                  <c:v>70.599999999999994</c:v>
                </c:pt>
                <c:pt idx="7">
                  <c:v>68.5</c:v>
                </c:pt>
                <c:pt idx="8">
                  <c:v>67.2</c:v>
                </c:pt>
                <c:pt idx="9">
                  <c:v>66.599999999999994</c:v>
                </c:pt>
                <c:pt idx="10">
                  <c:v>63.1</c:v>
                </c:pt>
                <c:pt idx="11">
                  <c:v>61.5</c:v>
                </c:pt>
                <c:pt idx="12">
                  <c:v>60.2</c:v>
                </c:pt>
                <c:pt idx="13">
                  <c:v>52.4</c:v>
                </c:pt>
                <c:pt idx="14">
                  <c:v>49.2</c:v>
                </c:pt>
                <c:pt idx="16">
                  <c:v>74.7</c:v>
                </c:pt>
              </c:numCache>
            </c:numRef>
          </c:val>
          <c:extLst>
            <c:ext xmlns:c16="http://schemas.microsoft.com/office/drawing/2014/chart" uri="{C3380CC4-5D6E-409C-BE32-E72D297353CC}">
              <c16:uniqueId val="{00000000-9B6F-4CF1-BC2B-DB9E726B6BC1}"/>
            </c:ext>
          </c:extLst>
        </c:ser>
        <c:ser>
          <c:idx val="1"/>
          <c:order val="1"/>
          <c:tx>
            <c:strRef>
              <c:f>'Figure A3.2'!$C$2</c:f>
              <c:strCache>
                <c:ptCount val="1"/>
                <c:pt idx="0">
                  <c:v>Inappropriate</c:v>
                </c:pt>
              </c:strCache>
            </c:strRef>
          </c:tx>
          <c:spPr>
            <a:solidFill>
              <a:schemeClr val="accent2"/>
            </a:solidFill>
            <a:ln>
              <a:noFill/>
            </a:ln>
            <a:effectLst/>
          </c:spPr>
          <c:invertIfNegative val="0"/>
          <c:dLbls>
            <c:dLbl>
              <c:idx val="0"/>
              <c:layout>
                <c:manualLayout>
                  <c:x val="-1.4227642276422764E-2"/>
                  <c:y val="-3.3500837520937868E-3"/>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ABE-4227-BE6B-815F279737C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A3.2'!$A$3:$A$19</c:f>
              <c:strCache>
                <c:ptCount val="17"/>
                <c:pt idx="0">
                  <c:v>Gastrointestinal endoscopic procedures (n=671)</c:v>
                </c:pt>
                <c:pt idx="1">
                  <c:v>Obstetrics (n=1,140)</c:v>
                </c:pt>
                <c:pt idx="2">
                  <c:v>Abdominal surgery (n=1,141)</c:v>
                </c:pt>
                <c:pt idx="3">
                  <c:v>Gynaecological surgery (n=490)</c:v>
                </c:pt>
                <c:pt idx="4">
                  <c:v>Vascular surgery (n=145)</c:v>
                </c:pt>
                <c:pt idx="5">
                  <c:v>Urological surgery (n=713)</c:v>
                </c:pt>
                <c:pt idx="6">
                  <c:v>Neurosurgery (n=381)</c:v>
                </c:pt>
                <c:pt idx="7">
                  <c:v>Plastic and reconstructive surgery (n=831)</c:v>
                </c:pt>
                <c:pt idx="8">
                  <c:v>Ophthalmology (n=750)</c:v>
                </c:pt>
                <c:pt idx="9">
                  <c:v>Cardiac surgery (n=452)</c:v>
                </c:pt>
                <c:pt idx="10">
                  <c:v>Head and neck surgery (n=496)</c:v>
                </c:pt>
                <c:pt idx="11">
                  <c:v>Thoracic surgery (n=78)</c:v>
                </c:pt>
                <c:pt idx="12">
                  <c:v>Orthopaedic surgery (n=2,216)</c:v>
                </c:pt>
                <c:pt idx="13">
                  <c:v>Dentoalveolar surgery (n=246)</c:v>
                </c:pt>
                <c:pt idx="14">
                  <c:v>Breast surgery (n=258)</c:v>
                </c:pt>
                <c:pt idx="16">
                  <c:v>All procedure groups (n=10,008)</c:v>
                </c:pt>
              </c:strCache>
            </c:strRef>
          </c:cat>
          <c:val>
            <c:numRef>
              <c:f>'Figure A3.2'!$C$3:$C$19</c:f>
              <c:numCache>
                <c:formatCode>General</c:formatCode>
                <c:ptCount val="17"/>
                <c:pt idx="0">
                  <c:v>0.2</c:v>
                </c:pt>
                <c:pt idx="1">
                  <c:v>4.4000000000000004</c:v>
                </c:pt>
                <c:pt idx="2">
                  <c:v>10.7</c:v>
                </c:pt>
                <c:pt idx="3">
                  <c:v>11.2</c:v>
                </c:pt>
                <c:pt idx="4">
                  <c:v>13.1</c:v>
                </c:pt>
                <c:pt idx="5">
                  <c:v>17.8</c:v>
                </c:pt>
                <c:pt idx="6">
                  <c:v>26.5</c:v>
                </c:pt>
                <c:pt idx="7">
                  <c:v>29.8</c:v>
                </c:pt>
                <c:pt idx="8">
                  <c:v>29.6</c:v>
                </c:pt>
                <c:pt idx="9">
                  <c:v>32.700000000000003</c:v>
                </c:pt>
                <c:pt idx="10">
                  <c:v>35.5</c:v>
                </c:pt>
                <c:pt idx="11">
                  <c:v>37.200000000000003</c:v>
                </c:pt>
                <c:pt idx="12">
                  <c:v>38.5</c:v>
                </c:pt>
                <c:pt idx="13">
                  <c:v>44.3</c:v>
                </c:pt>
                <c:pt idx="14">
                  <c:v>50.8</c:v>
                </c:pt>
                <c:pt idx="16">
                  <c:v>23.9</c:v>
                </c:pt>
              </c:numCache>
            </c:numRef>
          </c:val>
          <c:extLst>
            <c:ext xmlns:c16="http://schemas.microsoft.com/office/drawing/2014/chart" uri="{C3380CC4-5D6E-409C-BE32-E72D297353CC}">
              <c16:uniqueId val="{00000001-9B6F-4CF1-BC2B-DB9E726B6BC1}"/>
            </c:ext>
          </c:extLst>
        </c:ser>
        <c:ser>
          <c:idx val="2"/>
          <c:order val="2"/>
          <c:tx>
            <c:strRef>
              <c:f>'Figure A3.2'!$D$2</c:f>
              <c:strCache>
                <c:ptCount val="1"/>
                <c:pt idx="0">
                  <c:v>Not assessable</c:v>
                </c:pt>
              </c:strCache>
            </c:strRef>
          </c:tx>
          <c:spPr>
            <a:solidFill>
              <a:schemeClr val="accent3"/>
            </a:solidFill>
            <a:ln>
              <a:noFill/>
            </a:ln>
            <a:effectLst/>
          </c:spPr>
          <c:invertIfNegative val="0"/>
          <c:dLbls>
            <c:delete val="1"/>
          </c:dLbls>
          <c:cat>
            <c:strRef>
              <c:f>'Figure A3.2'!$A$3:$A$19</c:f>
              <c:strCache>
                <c:ptCount val="17"/>
                <c:pt idx="0">
                  <c:v>Gastrointestinal endoscopic procedures (n=671)</c:v>
                </c:pt>
                <c:pt idx="1">
                  <c:v>Obstetrics (n=1,140)</c:v>
                </c:pt>
                <c:pt idx="2">
                  <c:v>Abdominal surgery (n=1,141)</c:v>
                </c:pt>
                <c:pt idx="3">
                  <c:v>Gynaecological surgery (n=490)</c:v>
                </c:pt>
                <c:pt idx="4">
                  <c:v>Vascular surgery (n=145)</c:v>
                </c:pt>
                <c:pt idx="5">
                  <c:v>Urological surgery (n=713)</c:v>
                </c:pt>
                <c:pt idx="6">
                  <c:v>Neurosurgery (n=381)</c:v>
                </c:pt>
                <c:pt idx="7">
                  <c:v>Plastic and reconstructive surgery (n=831)</c:v>
                </c:pt>
                <c:pt idx="8">
                  <c:v>Ophthalmology (n=750)</c:v>
                </c:pt>
                <c:pt idx="9">
                  <c:v>Cardiac surgery (n=452)</c:v>
                </c:pt>
                <c:pt idx="10">
                  <c:v>Head and neck surgery (n=496)</c:v>
                </c:pt>
                <c:pt idx="11">
                  <c:v>Thoracic surgery (n=78)</c:v>
                </c:pt>
                <c:pt idx="12">
                  <c:v>Orthopaedic surgery (n=2,216)</c:v>
                </c:pt>
                <c:pt idx="13">
                  <c:v>Dentoalveolar surgery (n=246)</c:v>
                </c:pt>
                <c:pt idx="14">
                  <c:v>Breast surgery (n=258)</c:v>
                </c:pt>
                <c:pt idx="16">
                  <c:v>All procedure groups (n=10,008)</c:v>
                </c:pt>
              </c:strCache>
            </c:strRef>
          </c:cat>
          <c:val>
            <c:numRef>
              <c:f>'Figure A3.2'!$D$3:$D$19</c:f>
              <c:numCache>
                <c:formatCode>General</c:formatCode>
                <c:ptCount val="17"/>
                <c:pt idx="0">
                  <c:v>0.5</c:v>
                </c:pt>
                <c:pt idx="1">
                  <c:v>0.2</c:v>
                </c:pt>
                <c:pt idx="2">
                  <c:v>1.8</c:v>
                </c:pt>
                <c:pt idx="3">
                  <c:v>1.6</c:v>
                </c:pt>
                <c:pt idx="4">
                  <c:v>2.8</c:v>
                </c:pt>
                <c:pt idx="5">
                  <c:v>1</c:v>
                </c:pt>
                <c:pt idx="6">
                  <c:v>2.9</c:v>
                </c:pt>
                <c:pt idx="7">
                  <c:v>1.7</c:v>
                </c:pt>
                <c:pt idx="8">
                  <c:v>3.2</c:v>
                </c:pt>
                <c:pt idx="9">
                  <c:v>0.7</c:v>
                </c:pt>
                <c:pt idx="10">
                  <c:v>1.4</c:v>
                </c:pt>
                <c:pt idx="11">
                  <c:v>1.3</c:v>
                </c:pt>
                <c:pt idx="12">
                  <c:v>1.3</c:v>
                </c:pt>
                <c:pt idx="13">
                  <c:v>3.3</c:v>
                </c:pt>
                <c:pt idx="14">
                  <c:v>0</c:v>
                </c:pt>
                <c:pt idx="16">
                  <c:v>1.4</c:v>
                </c:pt>
              </c:numCache>
            </c:numRef>
          </c:val>
          <c:extLst>
            <c:ext xmlns:c16="http://schemas.microsoft.com/office/drawing/2014/chart" uri="{C3380CC4-5D6E-409C-BE32-E72D297353CC}">
              <c16:uniqueId val="{00000002-9B6F-4CF1-BC2B-DB9E726B6BC1}"/>
            </c:ext>
          </c:extLst>
        </c:ser>
        <c:dLbls>
          <c:dLblPos val="ctr"/>
          <c:showLegendKey val="0"/>
          <c:showVal val="1"/>
          <c:showCatName val="0"/>
          <c:showSerName val="0"/>
          <c:showPercent val="0"/>
          <c:showBubbleSize val="0"/>
        </c:dLbls>
        <c:gapWidth val="50"/>
        <c:overlap val="100"/>
        <c:axId val="352169792"/>
        <c:axId val="352168224"/>
      </c:barChart>
      <c:catAx>
        <c:axId val="352169792"/>
        <c:scaling>
          <c:orientation val="maxMin"/>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AU" b="1"/>
                  <a:t>Procedure group</a:t>
                </a:r>
              </a:p>
            </c:rich>
          </c:tx>
          <c:layout>
            <c:manualLayout>
              <c:xMode val="edge"/>
              <c:yMode val="edge"/>
              <c:x val="1.8518518518518517E-2"/>
              <c:y val="0.48296647229277567"/>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2168224"/>
        <c:crosses val="autoZero"/>
        <c:auto val="1"/>
        <c:lblAlgn val="ctr"/>
        <c:lblOffset val="100"/>
        <c:noMultiLvlLbl val="0"/>
      </c:catAx>
      <c:valAx>
        <c:axId val="352168224"/>
        <c:scaling>
          <c:orientation val="minMax"/>
          <c:max val="100"/>
        </c:scaling>
        <c:delete val="1"/>
        <c:axPos val="t"/>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b="1"/>
                  <a:t>Percentage appropriateness (%)</a:t>
                </a:r>
              </a:p>
            </c:rich>
          </c:tx>
          <c:layout>
            <c:manualLayout>
              <c:xMode val="edge"/>
              <c:yMode val="edge"/>
              <c:x val="0.49023555767650262"/>
              <c:y val="0.9561076305127086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352169792"/>
        <c:crosses val="autoZero"/>
        <c:crossBetween val="between"/>
      </c:valAx>
      <c:spPr>
        <a:noFill/>
        <a:ln>
          <a:noFill/>
        </a:ln>
        <a:effectLst/>
      </c:spPr>
    </c:plotArea>
    <c:legend>
      <c:legendPos val="b"/>
      <c:layout>
        <c:manualLayout>
          <c:xMode val="edge"/>
          <c:yMode val="edge"/>
          <c:x val="0.31978790529971635"/>
          <c:y val="0.88389150146317086"/>
          <c:w val="0.35537368435006228"/>
          <c:h val="4.008350696542221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3495831616089317"/>
          <c:y val="1.7214397496087636E-2"/>
          <c:w val="0.6466762109281794"/>
          <c:h val="0.92977289810604657"/>
        </c:manualLayout>
      </c:layout>
      <c:barChart>
        <c:barDir val="bar"/>
        <c:grouping val="clustered"/>
        <c:varyColors val="0"/>
        <c:ser>
          <c:idx val="0"/>
          <c:order val="0"/>
          <c:tx>
            <c:strRef>
              <c:f>'Figure A4.1'!$R$3</c:f>
              <c:strCache>
                <c:ptCount val="1"/>
                <c:pt idx="0">
                  <c:v>2021</c:v>
                </c:pt>
              </c:strCache>
            </c:strRef>
          </c:tx>
          <c:spPr>
            <a:solidFill>
              <a:schemeClr val="tx2"/>
            </a:solidFill>
            <a:ln>
              <a:noFill/>
            </a:ln>
            <a:effectLst/>
          </c:spPr>
          <c:invertIfNegative val="0"/>
          <c:dPt>
            <c:idx val="0"/>
            <c:invertIfNegative val="0"/>
            <c:bubble3D val="0"/>
            <c:spPr>
              <a:solidFill>
                <a:schemeClr val="tx2">
                  <a:lumMod val="75000"/>
                </a:schemeClr>
              </a:solidFill>
              <a:ln>
                <a:noFill/>
              </a:ln>
              <a:effectLst/>
            </c:spPr>
            <c:extLst>
              <c:ext xmlns:c16="http://schemas.microsoft.com/office/drawing/2014/chart" uri="{C3380CC4-5D6E-409C-BE32-E72D297353CC}">
                <c16:uniqueId val="{00000001-2E89-40C4-9B90-4F0B0D8DE1AB}"/>
              </c:ext>
            </c:extLst>
          </c:dPt>
          <c:dLbls>
            <c:dLbl>
              <c:idx val="4"/>
              <c:layout>
                <c:manualLayout>
                  <c:x val="-3.6730945821854912E-3"/>
                  <c:y val="1.564945226917057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E89-40C4-9B90-4F0B0D8DE1AB}"/>
                </c:ext>
              </c:extLst>
            </c:dLbl>
            <c:dLbl>
              <c:idx val="5"/>
              <c:layout>
                <c:manualLayout>
                  <c:x val="-3.6730945821854912E-3"/>
                  <c:y val="1.564945226917057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E89-40C4-9B90-4F0B0D8DE1AB}"/>
                </c:ext>
              </c:extLst>
            </c:dLbl>
            <c:dLbl>
              <c:idx val="8"/>
              <c:layout>
                <c:manualLayout>
                  <c:x val="-6.7339289430849546E-17"/>
                  <c:y val="1.564945226917057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E89-40C4-9B90-4F0B0D8DE1AB}"/>
                </c:ext>
              </c:extLst>
            </c:dLbl>
            <c:dLbl>
              <c:idx val="9"/>
              <c:layout>
                <c:manualLayout>
                  <c:x val="-3.6730945821854912E-3"/>
                  <c:y val="3.130013677867731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E89-40C4-9B90-4F0B0D8DE1AB}"/>
                </c:ext>
              </c:extLst>
            </c:dLbl>
            <c:dLbl>
              <c:idx val="10"/>
              <c:layout>
                <c:manualLayout>
                  <c:x val="-3.6730945821854912E-3"/>
                  <c:y val="1.565068450950673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E89-40C4-9B90-4F0B0D8DE1AB}"/>
                </c:ext>
              </c:extLst>
            </c:dLbl>
            <c:dLbl>
              <c:idx val="11"/>
              <c:layout>
                <c:manualLayout>
                  <c:x val="0"/>
                  <c:y val="1.564945226917172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E89-40C4-9B90-4F0B0D8DE1AB}"/>
                </c:ext>
              </c:extLst>
            </c:dLbl>
            <c:dLbl>
              <c:idx val="13"/>
              <c:layout>
                <c:manualLayout>
                  <c:x val="-5.5096418732782371E-3"/>
                  <c:y val="1.565314899018019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E89-40C4-9B90-4F0B0D8DE1AB}"/>
                </c:ext>
              </c:extLst>
            </c:dLbl>
            <c:dLbl>
              <c:idx val="14"/>
              <c:layout>
                <c:manualLayout>
                  <c:x val="1.8365472910927456E-3"/>
                  <c:y val="3.130753022069424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E89-40C4-9B90-4F0B0D8DE1A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'Figure A4.1'!$Q$4:$Q$18</c:f>
              <c:strCache>
                <c:ptCount val="15"/>
                <c:pt idx="0">
                  <c:v>Orthopaedic surgery</c:v>
                </c:pt>
                <c:pt idx="1">
                  <c:v>Abdominal surgery</c:v>
                </c:pt>
                <c:pt idx="2">
                  <c:v>Plastic and reconstructive surgery</c:v>
                </c:pt>
                <c:pt idx="3">
                  <c:v>Urological surgery</c:v>
                </c:pt>
                <c:pt idx="4">
                  <c:v>Ophthalmology</c:v>
                </c:pt>
                <c:pt idx="5">
                  <c:v>Head and neck surgery</c:v>
                </c:pt>
                <c:pt idx="6">
                  <c:v>Gastrointestinal endoscopic procedures</c:v>
                </c:pt>
                <c:pt idx="7">
                  <c:v>Obstetrics</c:v>
                </c:pt>
                <c:pt idx="8">
                  <c:v>Gynaecological surgery</c:v>
                </c:pt>
                <c:pt idx="9">
                  <c:v>Vascular surgery</c:v>
                </c:pt>
                <c:pt idx="10">
                  <c:v>Neurosurgery</c:v>
                </c:pt>
                <c:pt idx="11">
                  <c:v>Cardiac surgery</c:v>
                </c:pt>
                <c:pt idx="12">
                  <c:v>Dentoalveolar surgery</c:v>
                </c:pt>
                <c:pt idx="13">
                  <c:v>Breast surgery</c:v>
                </c:pt>
                <c:pt idx="14">
                  <c:v>Thoracic surgery</c:v>
                </c:pt>
              </c:strCache>
            </c:strRef>
          </c:cat>
          <c:val>
            <c:numRef>
              <c:f>'Figure A4.1'!$R$4:$R$18</c:f>
              <c:numCache>
                <c:formatCode>0.0</c:formatCode>
                <c:ptCount val="15"/>
                <c:pt idx="0">
                  <c:v>20.979999999999997</c:v>
                </c:pt>
                <c:pt idx="1">
                  <c:v>12.53</c:v>
                </c:pt>
                <c:pt idx="2">
                  <c:v>9.42</c:v>
                </c:pt>
                <c:pt idx="3">
                  <c:v>7.1999999999999993</c:v>
                </c:pt>
                <c:pt idx="4">
                  <c:v>8.2600000000000016</c:v>
                </c:pt>
                <c:pt idx="5">
                  <c:v>4.75</c:v>
                </c:pt>
                <c:pt idx="6">
                  <c:v>6.38</c:v>
                </c:pt>
                <c:pt idx="7">
                  <c:v>10.8</c:v>
                </c:pt>
                <c:pt idx="8">
                  <c:v>4.6100000000000003</c:v>
                </c:pt>
                <c:pt idx="9">
                  <c:v>1.54</c:v>
                </c:pt>
                <c:pt idx="10">
                  <c:v>3.65</c:v>
                </c:pt>
                <c:pt idx="11">
                  <c:v>4.2</c:v>
                </c:pt>
                <c:pt idx="12">
                  <c:v>2.39</c:v>
                </c:pt>
                <c:pt idx="13">
                  <c:v>2.5</c:v>
                </c:pt>
                <c:pt idx="14">
                  <c:v>0.79</c:v>
                </c:pt>
              </c:numCache>
            </c:numRef>
          </c:val>
          <c:extLst>
            <c:ext xmlns:c16="http://schemas.microsoft.com/office/drawing/2014/chart" uri="{C3380CC4-5D6E-409C-BE32-E72D297353CC}">
              <c16:uniqueId val="{0000000A-2E89-40C4-9B90-4F0B0D8DE1AB}"/>
            </c:ext>
          </c:extLst>
        </c:ser>
        <c:ser>
          <c:idx val="1"/>
          <c:order val="1"/>
          <c:tx>
            <c:strRef>
              <c:f>'Figure A4.1'!$S$3</c:f>
              <c:strCache>
                <c:ptCount val="1"/>
                <c:pt idx="0">
                  <c:v>2020</c:v>
                </c:pt>
              </c:strCache>
            </c:strRef>
          </c:tx>
          <c:spPr>
            <a:solidFill>
              <a:schemeClr val="tx2"/>
            </a:solidFill>
            <a:ln>
              <a:noFill/>
            </a:ln>
            <a:effectLst/>
          </c:spPr>
          <c:invertIfNegative val="0"/>
          <c:dLbls>
            <c:dLbl>
              <c:idx val="5"/>
              <c:layout>
                <c:manualLayout>
                  <c:x val="-6.7339289430849546E-17"/>
                  <c:y val="1.564945226917115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E89-40C4-9B90-4F0B0D8DE1AB}"/>
                </c:ext>
              </c:extLst>
            </c:dLbl>
            <c:dLbl>
              <c:idx val="10"/>
              <c:layout>
                <c:manualLayout>
                  <c:x val="-1.8365472910927456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E89-40C4-9B90-4F0B0D8DE1AB}"/>
                </c:ext>
              </c:extLst>
            </c:dLbl>
            <c:dLbl>
              <c:idx val="11"/>
              <c:layout>
                <c:manualLayout>
                  <c:x val="5.5096418732782371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E89-40C4-9B90-4F0B0D8DE1AB}"/>
                </c:ext>
              </c:extLst>
            </c:dLbl>
            <c:dLbl>
              <c:idx val="12"/>
              <c:layout>
                <c:manualLayout>
                  <c:x val="1.6528925619834642E-2"/>
                  <c:y val="1.2322403361551638E-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E89-40C4-9B90-4F0B0D8DE1AB}"/>
                </c:ext>
              </c:extLst>
            </c:dLbl>
            <c:dLbl>
              <c:idx val="14"/>
              <c:layout>
                <c:manualLayout>
                  <c:x val="-4.5913682277319299E-3"/>
                  <c:y val="1.5656845711187492E-3"/>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3.1460055096418735E-2"/>
                      <c:h val="1.9976587433613049E-2"/>
                    </c:manualLayout>
                  </c15:layout>
                </c:ext>
                <c:ext xmlns:c16="http://schemas.microsoft.com/office/drawing/2014/chart" uri="{C3380CC4-5D6E-409C-BE32-E72D297353CC}">
                  <c16:uniqueId val="{0000000F-2E89-40C4-9B90-4F0B0D8DE1A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'Figure A4.1'!$Q$4:$Q$18</c:f>
              <c:strCache>
                <c:ptCount val="15"/>
                <c:pt idx="0">
                  <c:v>Orthopaedic surgery</c:v>
                </c:pt>
                <c:pt idx="1">
                  <c:v>Abdominal surgery</c:v>
                </c:pt>
                <c:pt idx="2">
                  <c:v>Plastic and reconstructive surgery</c:v>
                </c:pt>
                <c:pt idx="3">
                  <c:v>Urological surgery</c:v>
                </c:pt>
                <c:pt idx="4">
                  <c:v>Ophthalmology</c:v>
                </c:pt>
                <c:pt idx="5">
                  <c:v>Head and neck surgery</c:v>
                </c:pt>
                <c:pt idx="6">
                  <c:v>Gastrointestinal endoscopic procedures</c:v>
                </c:pt>
                <c:pt idx="7">
                  <c:v>Obstetrics</c:v>
                </c:pt>
                <c:pt idx="8">
                  <c:v>Gynaecological surgery</c:v>
                </c:pt>
                <c:pt idx="9">
                  <c:v>Vascular surgery</c:v>
                </c:pt>
                <c:pt idx="10">
                  <c:v>Neurosurgery</c:v>
                </c:pt>
                <c:pt idx="11">
                  <c:v>Cardiac surgery</c:v>
                </c:pt>
                <c:pt idx="12">
                  <c:v>Dentoalveolar surgery</c:v>
                </c:pt>
                <c:pt idx="13">
                  <c:v>Breast surgery</c:v>
                </c:pt>
                <c:pt idx="14">
                  <c:v>Thoracic surgery</c:v>
                </c:pt>
              </c:strCache>
            </c:strRef>
          </c:cat>
          <c:val>
            <c:numRef>
              <c:f>'Figure A4.1'!$S$4:$S$18</c:f>
              <c:numCache>
                <c:formatCode>0.0</c:formatCode>
                <c:ptCount val="15"/>
                <c:pt idx="0">
                  <c:v>19.13</c:v>
                </c:pt>
                <c:pt idx="1">
                  <c:v>12.370000000000001</c:v>
                </c:pt>
                <c:pt idx="2">
                  <c:v>11.32</c:v>
                </c:pt>
                <c:pt idx="3">
                  <c:v>7.62</c:v>
                </c:pt>
                <c:pt idx="4">
                  <c:v>9.2100000000000009</c:v>
                </c:pt>
                <c:pt idx="5">
                  <c:v>5.7700000000000005</c:v>
                </c:pt>
                <c:pt idx="6">
                  <c:v>5.86</c:v>
                </c:pt>
                <c:pt idx="7">
                  <c:v>8.36</c:v>
                </c:pt>
                <c:pt idx="8">
                  <c:v>4.2299999999999995</c:v>
                </c:pt>
                <c:pt idx="9">
                  <c:v>1.71</c:v>
                </c:pt>
                <c:pt idx="10">
                  <c:v>5</c:v>
                </c:pt>
                <c:pt idx="11">
                  <c:v>3.4099999999999997</c:v>
                </c:pt>
                <c:pt idx="12">
                  <c:v>2.69</c:v>
                </c:pt>
                <c:pt idx="13">
                  <c:v>2.6100000000000003</c:v>
                </c:pt>
                <c:pt idx="14">
                  <c:v>0.71000000000000008</c:v>
                </c:pt>
              </c:numCache>
            </c:numRef>
          </c:val>
          <c:extLst>
            <c:ext xmlns:c16="http://schemas.microsoft.com/office/drawing/2014/chart" uri="{C3380CC4-5D6E-409C-BE32-E72D297353CC}">
              <c16:uniqueId val="{00000010-2E89-40C4-9B90-4F0B0D8DE1AB}"/>
            </c:ext>
          </c:extLst>
        </c:ser>
        <c:ser>
          <c:idx val="2"/>
          <c:order val="2"/>
          <c:tx>
            <c:strRef>
              <c:f>'Figure A4.1'!$T$3</c:f>
              <c:strCache>
                <c:ptCount val="1"/>
                <c:pt idx="0">
                  <c:v>2019</c:v>
                </c:pt>
              </c:strCache>
            </c:strRef>
          </c:tx>
          <c:spPr>
            <a:solidFill>
              <a:schemeClr val="tx2">
                <a:lumMod val="60000"/>
                <a:lumOff val="40000"/>
              </a:schemeClr>
            </a:solidFill>
            <a:ln>
              <a:noFill/>
            </a:ln>
            <a:effectLst/>
          </c:spPr>
          <c:invertIfNegative val="0"/>
          <c:dLbls>
            <c:dLbl>
              <c:idx val="4"/>
              <c:layout>
                <c:manualLayout>
                  <c:x val="-6.7339289430849546E-17"/>
                  <c:y val="-1.564945226917057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2E89-40C4-9B90-4F0B0D8DE1AB}"/>
                </c:ext>
              </c:extLst>
            </c:dLbl>
            <c:dLbl>
              <c:idx val="10"/>
              <c:layout>
                <c:manualLayout>
                  <c:x val="-5.5096418732782371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2E89-40C4-9B90-4F0B0D8DE1AB}"/>
                </c:ext>
              </c:extLst>
            </c:dLbl>
            <c:dLbl>
              <c:idx val="11"/>
              <c:layout>
                <c:manualLayout>
                  <c:x val="5.5096418732782371E-3"/>
                  <c:y val="-1.564698778849826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2E89-40C4-9B90-4F0B0D8DE1AB}"/>
                </c:ext>
              </c:extLst>
            </c:dLbl>
            <c:dLbl>
              <c:idx val="12"/>
              <c:layout>
                <c:manualLayout>
                  <c:x val="7.3461891643709825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2E89-40C4-9B90-4F0B0D8DE1AB}"/>
                </c:ext>
              </c:extLst>
            </c:dLbl>
            <c:dLbl>
              <c:idx val="13"/>
              <c:layout>
                <c:manualLayout>
                  <c:x val="-1.1019283746556542E-2"/>
                  <c:y val="-1.564452330782595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2E89-40C4-9B90-4F0B0D8DE1A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'Figure A4.1'!$Q$4:$Q$18</c:f>
              <c:strCache>
                <c:ptCount val="15"/>
                <c:pt idx="0">
                  <c:v>Orthopaedic surgery</c:v>
                </c:pt>
                <c:pt idx="1">
                  <c:v>Abdominal surgery</c:v>
                </c:pt>
                <c:pt idx="2">
                  <c:v>Plastic and reconstructive surgery</c:v>
                </c:pt>
                <c:pt idx="3">
                  <c:v>Urological surgery</c:v>
                </c:pt>
                <c:pt idx="4">
                  <c:v>Ophthalmology</c:v>
                </c:pt>
                <c:pt idx="5">
                  <c:v>Head and neck surgery</c:v>
                </c:pt>
                <c:pt idx="6">
                  <c:v>Gastrointestinal endoscopic procedures</c:v>
                </c:pt>
                <c:pt idx="7">
                  <c:v>Obstetrics</c:v>
                </c:pt>
                <c:pt idx="8">
                  <c:v>Gynaecological surgery</c:v>
                </c:pt>
                <c:pt idx="9">
                  <c:v>Vascular surgery</c:v>
                </c:pt>
                <c:pt idx="10">
                  <c:v>Neurosurgery</c:v>
                </c:pt>
                <c:pt idx="11">
                  <c:v>Cardiac surgery</c:v>
                </c:pt>
                <c:pt idx="12">
                  <c:v>Dentoalveolar surgery</c:v>
                </c:pt>
                <c:pt idx="13">
                  <c:v>Breast surgery</c:v>
                </c:pt>
                <c:pt idx="14">
                  <c:v>Thoracic surgery</c:v>
                </c:pt>
              </c:strCache>
            </c:strRef>
          </c:cat>
          <c:val>
            <c:numRef>
              <c:f>'Figure A4.1'!$T$4:$T$18</c:f>
              <c:numCache>
                <c:formatCode>0.0</c:formatCode>
                <c:ptCount val="15"/>
                <c:pt idx="0">
                  <c:v>17.990000000000002</c:v>
                </c:pt>
                <c:pt idx="1">
                  <c:v>12.98</c:v>
                </c:pt>
                <c:pt idx="2">
                  <c:v>9.84</c:v>
                </c:pt>
                <c:pt idx="3">
                  <c:v>10.63</c:v>
                </c:pt>
                <c:pt idx="4">
                  <c:v>7.8</c:v>
                </c:pt>
                <c:pt idx="5">
                  <c:v>8.2000000000000011</c:v>
                </c:pt>
                <c:pt idx="6">
                  <c:v>6.39</c:v>
                </c:pt>
                <c:pt idx="7">
                  <c:v>6.11</c:v>
                </c:pt>
                <c:pt idx="8">
                  <c:v>5.0299999999999994</c:v>
                </c:pt>
                <c:pt idx="9">
                  <c:v>3.4799999999999995</c:v>
                </c:pt>
                <c:pt idx="10">
                  <c:v>3.7199999999999998</c:v>
                </c:pt>
                <c:pt idx="11">
                  <c:v>2.77</c:v>
                </c:pt>
                <c:pt idx="12">
                  <c:v>1.9900000000000002</c:v>
                </c:pt>
                <c:pt idx="13">
                  <c:v>2.0099999999999998</c:v>
                </c:pt>
                <c:pt idx="14">
                  <c:v>1.06</c:v>
                </c:pt>
              </c:numCache>
            </c:numRef>
          </c:val>
          <c:extLst>
            <c:ext xmlns:c16="http://schemas.microsoft.com/office/drawing/2014/chart" uri="{C3380CC4-5D6E-409C-BE32-E72D297353CC}">
              <c16:uniqueId val="{00000016-2E89-40C4-9B90-4F0B0D8DE1AB}"/>
            </c:ext>
          </c:extLst>
        </c:ser>
        <c:ser>
          <c:idx val="3"/>
          <c:order val="3"/>
          <c:tx>
            <c:strRef>
              <c:f>'Figure A4.1'!$U$3</c:f>
              <c:strCache>
                <c:ptCount val="1"/>
                <c:pt idx="0">
                  <c:v>2018</c:v>
                </c:pt>
              </c:strCache>
            </c:strRef>
          </c:tx>
          <c:spPr>
            <a:solidFill>
              <a:schemeClr val="tx2">
                <a:lumMod val="40000"/>
                <a:lumOff val="60000"/>
              </a:schemeClr>
            </a:solidFill>
            <a:ln>
              <a:noFill/>
            </a:ln>
            <a:effectLst/>
          </c:spPr>
          <c:invertIfNegative val="0"/>
          <c:dLbls>
            <c:dLbl>
              <c:idx val="1"/>
              <c:layout>
                <c:manualLayout>
                  <c:x val="-3.6730945821854912E-3"/>
                  <c:y val="1.4345165530163373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2E89-40C4-9B90-4F0B0D8DE1AB}"/>
                </c:ext>
              </c:extLst>
            </c:dLbl>
            <c:dLbl>
              <c:idx val="11"/>
              <c:layout>
                <c:manualLayout>
                  <c:x val="-9.1827364554637279E-3"/>
                  <c:y val="3.6967210084654913E-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2E89-40C4-9B90-4F0B0D8DE1AB}"/>
                </c:ext>
              </c:extLst>
            </c:dLbl>
            <c:dLbl>
              <c:idx val="13"/>
              <c:layout>
                <c:manualLayout>
                  <c:x val="9.1827364554636602E-3"/>
                  <c:y val="1.2322403373027769E-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2E89-40C4-9B90-4F0B0D8DE1AB}"/>
                </c:ext>
              </c:extLst>
            </c:dLbl>
            <c:dLbl>
              <c:idx val="14"/>
              <c:layout>
                <c:manualLayout>
                  <c:x val="1.1019283746556474E-2"/>
                  <c:y val="2.4644806723103275E-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2E89-40C4-9B90-4F0B0D8DE1A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'Figure A4.1'!$Q$4:$Q$18</c:f>
              <c:strCache>
                <c:ptCount val="15"/>
                <c:pt idx="0">
                  <c:v>Orthopaedic surgery</c:v>
                </c:pt>
                <c:pt idx="1">
                  <c:v>Abdominal surgery</c:v>
                </c:pt>
                <c:pt idx="2">
                  <c:v>Plastic and reconstructive surgery</c:v>
                </c:pt>
                <c:pt idx="3">
                  <c:v>Urological surgery</c:v>
                </c:pt>
                <c:pt idx="4">
                  <c:v>Ophthalmology</c:v>
                </c:pt>
                <c:pt idx="5">
                  <c:v>Head and neck surgery</c:v>
                </c:pt>
                <c:pt idx="6">
                  <c:v>Gastrointestinal endoscopic procedures</c:v>
                </c:pt>
                <c:pt idx="7">
                  <c:v>Obstetrics</c:v>
                </c:pt>
                <c:pt idx="8">
                  <c:v>Gynaecological surgery</c:v>
                </c:pt>
                <c:pt idx="9">
                  <c:v>Vascular surgery</c:v>
                </c:pt>
                <c:pt idx="10">
                  <c:v>Neurosurgery</c:v>
                </c:pt>
                <c:pt idx="11">
                  <c:v>Cardiac surgery</c:v>
                </c:pt>
                <c:pt idx="12">
                  <c:v>Dentoalveolar surgery</c:v>
                </c:pt>
                <c:pt idx="13">
                  <c:v>Breast surgery</c:v>
                </c:pt>
                <c:pt idx="14">
                  <c:v>Thoracic surgery</c:v>
                </c:pt>
              </c:strCache>
            </c:strRef>
          </c:cat>
          <c:val>
            <c:numRef>
              <c:f>'Figure A4.1'!$U$4:$U$18</c:f>
              <c:numCache>
                <c:formatCode>0.0</c:formatCode>
                <c:ptCount val="15"/>
                <c:pt idx="0">
                  <c:v>21.63</c:v>
                </c:pt>
                <c:pt idx="1">
                  <c:v>14.49</c:v>
                </c:pt>
                <c:pt idx="2">
                  <c:v>11.34</c:v>
                </c:pt>
                <c:pt idx="3">
                  <c:v>7.6899999999999995</c:v>
                </c:pt>
                <c:pt idx="4">
                  <c:v>6.01</c:v>
                </c:pt>
                <c:pt idx="5">
                  <c:v>7.1800000000000006</c:v>
                </c:pt>
                <c:pt idx="6">
                  <c:v>7.23</c:v>
                </c:pt>
                <c:pt idx="7">
                  <c:v>5.8999999999999995</c:v>
                </c:pt>
                <c:pt idx="8">
                  <c:v>3.92</c:v>
                </c:pt>
                <c:pt idx="9">
                  <c:v>2.44</c:v>
                </c:pt>
                <c:pt idx="10">
                  <c:v>4.78</c:v>
                </c:pt>
                <c:pt idx="11">
                  <c:v>2.5299999999999998</c:v>
                </c:pt>
                <c:pt idx="12">
                  <c:v>1.46</c:v>
                </c:pt>
                <c:pt idx="13">
                  <c:v>2</c:v>
                </c:pt>
                <c:pt idx="14">
                  <c:v>1.39</c:v>
                </c:pt>
              </c:numCache>
            </c:numRef>
          </c:val>
          <c:extLst>
            <c:ext xmlns:c16="http://schemas.microsoft.com/office/drawing/2014/chart" uri="{C3380CC4-5D6E-409C-BE32-E72D297353CC}">
              <c16:uniqueId val="{0000001B-2E89-40C4-9B90-4F0B0D8DE1AB}"/>
            </c:ext>
          </c:extLst>
        </c:ser>
        <c:ser>
          <c:idx val="4"/>
          <c:order val="4"/>
          <c:tx>
            <c:strRef>
              <c:f>'Figure A4.1'!$V$3</c:f>
              <c:strCache>
                <c:ptCount val="1"/>
                <c:pt idx="0">
                  <c:v>2017</c:v>
                </c:pt>
              </c:strCache>
            </c:strRef>
          </c:tx>
          <c:spPr>
            <a:solidFill>
              <a:schemeClr val="tx2">
                <a:lumMod val="20000"/>
                <a:lumOff val="80000"/>
              </a:schemeClr>
            </a:solidFill>
            <a:ln>
              <a:noFill/>
            </a:ln>
            <a:effectLst/>
          </c:spPr>
          <c:invertIfNegative val="0"/>
          <c:dLbls>
            <c:dLbl>
              <c:idx val="7"/>
              <c:layout>
                <c:manualLayout>
                  <c:x val="-7.3461891643709825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2E89-40C4-9B90-4F0B0D8DE1AB}"/>
                </c:ext>
              </c:extLst>
            </c:dLbl>
            <c:dLbl>
              <c:idx val="8"/>
              <c:layout>
                <c:manualLayout>
                  <c:x val="-6.7339289430849546E-17"/>
                  <c:y val="1.564945226917057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2E89-40C4-9B90-4F0B0D8DE1AB}"/>
                </c:ext>
              </c:extLst>
            </c:dLbl>
            <c:dLbl>
              <c:idx val="10"/>
              <c:layout>
                <c:manualLayout>
                  <c:x val="-5.5096418732783039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2E89-40C4-9B90-4F0B0D8DE1AB}"/>
                </c:ext>
              </c:extLst>
            </c:dLbl>
            <c:dLbl>
              <c:idx val="13"/>
              <c:layout>
                <c:manualLayout>
                  <c:x val="1.1019283746556474E-2"/>
                  <c:y val="3.6967210096131045E-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2E89-40C4-9B90-4F0B0D8DE1AB}"/>
                </c:ext>
              </c:extLst>
            </c:dLbl>
            <c:dLbl>
              <c:idx val="14"/>
              <c:layout>
                <c:manualLayout>
                  <c:x val="-6.7339289430849546E-17"/>
                  <c:y val="-1.564698778849826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2E89-40C4-9B90-4F0B0D8DE1A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'Figure A4.1'!$Q$4:$Q$18</c:f>
              <c:strCache>
                <c:ptCount val="15"/>
                <c:pt idx="0">
                  <c:v>Orthopaedic surgery</c:v>
                </c:pt>
                <c:pt idx="1">
                  <c:v>Abdominal surgery</c:v>
                </c:pt>
                <c:pt idx="2">
                  <c:v>Plastic and reconstructive surgery</c:v>
                </c:pt>
                <c:pt idx="3">
                  <c:v>Urological surgery</c:v>
                </c:pt>
                <c:pt idx="4">
                  <c:v>Ophthalmology</c:v>
                </c:pt>
                <c:pt idx="5">
                  <c:v>Head and neck surgery</c:v>
                </c:pt>
                <c:pt idx="6">
                  <c:v>Gastrointestinal endoscopic procedures</c:v>
                </c:pt>
                <c:pt idx="7">
                  <c:v>Obstetrics</c:v>
                </c:pt>
                <c:pt idx="8">
                  <c:v>Gynaecological surgery</c:v>
                </c:pt>
                <c:pt idx="9">
                  <c:v>Vascular surgery</c:v>
                </c:pt>
                <c:pt idx="10">
                  <c:v>Neurosurgery</c:v>
                </c:pt>
                <c:pt idx="11">
                  <c:v>Cardiac surgery</c:v>
                </c:pt>
                <c:pt idx="12">
                  <c:v>Dentoalveolar surgery</c:v>
                </c:pt>
                <c:pt idx="13">
                  <c:v>Breast surgery</c:v>
                </c:pt>
                <c:pt idx="14">
                  <c:v>Thoracic surgery</c:v>
                </c:pt>
              </c:strCache>
            </c:strRef>
          </c:cat>
          <c:val>
            <c:numRef>
              <c:f>'Figure A4.1'!$V$4:$V$18</c:f>
              <c:numCache>
                <c:formatCode>0.0</c:formatCode>
                <c:ptCount val="15"/>
                <c:pt idx="0">
                  <c:v>23.28</c:v>
                </c:pt>
                <c:pt idx="1">
                  <c:v>14.7</c:v>
                </c:pt>
                <c:pt idx="2">
                  <c:v>10.99</c:v>
                </c:pt>
                <c:pt idx="3">
                  <c:v>9.1999999999999993</c:v>
                </c:pt>
                <c:pt idx="4">
                  <c:v>2.1800000000000002</c:v>
                </c:pt>
                <c:pt idx="5">
                  <c:v>6.8599999999999994</c:v>
                </c:pt>
                <c:pt idx="6">
                  <c:v>6.12</c:v>
                </c:pt>
                <c:pt idx="7">
                  <c:v>5.5100000000000007</c:v>
                </c:pt>
                <c:pt idx="8">
                  <c:v>6.23</c:v>
                </c:pt>
                <c:pt idx="9">
                  <c:v>1.47</c:v>
                </c:pt>
                <c:pt idx="10">
                  <c:v>3.9600000000000004</c:v>
                </c:pt>
                <c:pt idx="11">
                  <c:v>3.54</c:v>
                </c:pt>
                <c:pt idx="12">
                  <c:v>2.3800000000000003</c:v>
                </c:pt>
                <c:pt idx="13">
                  <c:v>2.73</c:v>
                </c:pt>
                <c:pt idx="14">
                  <c:v>0.84</c:v>
                </c:pt>
              </c:numCache>
            </c:numRef>
          </c:val>
          <c:extLst>
            <c:ext xmlns:c16="http://schemas.microsoft.com/office/drawing/2014/chart" uri="{C3380CC4-5D6E-409C-BE32-E72D297353CC}">
              <c16:uniqueId val="{00000021-2E89-40C4-9B90-4F0B0D8DE1AB}"/>
            </c:ext>
          </c:extLst>
        </c:ser>
        <c:ser>
          <c:idx val="5"/>
          <c:order val="5"/>
          <c:tx>
            <c:strRef>
              <c:f>'Figure A4.1'!$W$3</c:f>
              <c:strCache>
                <c:ptCount val="1"/>
                <c:pt idx="0">
                  <c:v>2016</c:v>
                </c:pt>
              </c:strCache>
            </c:strRef>
          </c:tx>
          <c:spPr>
            <a:solidFill>
              <a:schemeClr val="accent2">
                <a:lumMod val="40000"/>
                <a:lumOff val="60000"/>
              </a:schemeClr>
            </a:solidFill>
            <a:ln>
              <a:noFill/>
            </a:ln>
            <a:effectLst/>
          </c:spPr>
          <c:invertIfNegative val="0"/>
          <c:dLbls>
            <c:dLbl>
              <c:idx val="9"/>
              <c:layout>
                <c:manualLayout>
                  <c:x val="3.6730945821854912E-3"/>
                  <c:y val="-1.564822002883442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2E89-40C4-9B90-4F0B0D8DE1AB}"/>
                </c:ext>
              </c:extLst>
            </c:dLbl>
            <c:dLbl>
              <c:idx val="14"/>
              <c:layout>
                <c:manualLayout>
                  <c:x val="1.6528925619834642E-2"/>
                  <c:y val="1.2322403361551638E-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2E89-40C4-9B90-4F0B0D8DE1A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'Figure A4.1'!$Q$4:$Q$18</c:f>
              <c:strCache>
                <c:ptCount val="15"/>
                <c:pt idx="0">
                  <c:v>Orthopaedic surgery</c:v>
                </c:pt>
                <c:pt idx="1">
                  <c:v>Abdominal surgery</c:v>
                </c:pt>
                <c:pt idx="2">
                  <c:v>Plastic and reconstructive surgery</c:v>
                </c:pt>
                <c:pt idx="3">
                  <c:v>Urological surgery</c:v>
                </c:pt>
                <c:pt idx="4">
                  <c:v>Ophthalmology</c:v>
                </c:pt>
                <c:pt idx="5">
                  <c:v>Head and neck surgery</c:v>
                </c:pt>
                <c:pt idx="6">
                  <c:v>Gastrointestinal endoscopic procedures</c:v>
                </c:pt>
                <c:pt idx="7">
                  <c:v>Obstetrics</c:v>
                </c:pt>
                <c:pt idx="8">
                  <c:v>Gynaecological surgery</c:v>
                </c:pt>
                <c:pt idx="9">
                  <c:v>Vascular surgery</c:v>
                </c:pt>
                <c:pt idx="10">
                  <c:v>Neurosurgery</c:v>
                </c:pt>
                <c:pt idx="11">
                  <c:v>Cardiac surgery</c:v>
                </c:pt>
                <c:pt idx="12">
                  <c:v>Dentoalveolar surgery</c:v>
                </c:pt>
                <c:pt idx="13">
                  <c:v>Breast surgery</c:v>
                </c:pt>
                <c:pt idx="14">
                  <c:v>Thoracic surgery</c:v>
                </c:pt>
              </c:strCache>
            </c:strRef>
          </c:cat>
          <c:val>
            <c:numRef>
              <c:f>'Figure A4.1'!$W$4:$W$18</c:f>
              <c:numCache>
                <c:formatCode>0.0</c:formatCode>
                <c:ptCount val="15"/>
                <c:pt idx="0">
                  <c:v>19.89</c:v>
                </c:pt>
                <c:pt idx="1">
                  <c:v>15.78</c:v>
                </c:pt>
                <c:pt idx="2">
                  <c:v>8.2100000000000009</c:v>
                </c:pt>
                <c:pt idx="3">
                  <c:v>9.0399999999999991</c:v>
                </c:pt>
                <c:pt idx="4">
                  <c:v>3.4000000000000004</c:v>
                </c:pt>
                <c:pt idx="5">
                  <c:v>4.74</c:v>
                </c:pt>
                <c:pt idx="6">
                  <c:v>9.81</c:v>
                </c:pt>
                <c:pt idx="7">
                  <c:v>7.4700000000000006</c:v>
                </c:pt>
                <c:pt idx="8">
                  <c:v>6.7</c:v>
                </c:pt>
                <c:pt idx="9">
                  <c:v>1.8900000000000001</c:v>
                </c:pt>
                <c:pt idx="10">
                  <c:v>2.04</c:v>
                </c:pt>
                <c:pt idx="11">
                  <c:v>6.72</c:v>
                </c:pt>
                <c:pt idx="12">
                  <c:v>1.59</c:v>
                </c:pt>
                <c:pt idx="13">
                  <c:v>1.63</c:v>
                </c:pt>
                <c:pt idx="14">
                  <c:v>1.08</c:v>
                </c:pt>
              </c:numCache>
            </c:numRef>
          </c:val>
          <c:extLst>
            <c:ext xmlns:c16="http://schemas.microsoft.com/office/drawing/2014/chart" uri="{C3380CC4-5D6E-409C-BE32-E72D297353CC}">
              <c16:uniqueId val="{00000024-2E89-40C4-9B90-4F0B0D8DE1AB}"/>
            </c:ext>
          </c:extLst>
        </c:ser>
        <c:dLbls>
          <c:dLblPos val="outEnd"/>
          <c:showLegendKey val="0"/>
          <c:showVal val="1"/>
          <c:showCatName val="0"/>
          <c:showSerName val="0"/>
          <c:showPercent val="0"/>
          <c:showBubbleSize val="0"/>
        </c:dLbls>
        <c:gapWidth val="182"/>
        <c:axId val="837096664"/>
        <c:axId val="837097056"/>
      </c:barChart>
      <c:catAx>
        <c:axId val="837096664"/>
        <c:scaling>
          <c:orientation val="maxMin"/>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 </a:t>
                </a:r>
                <a:r>
                  <a:rPr lang="en-AU" b="0">
                    <a:solidFill>
                      <a:sysClr val="windowText" lastClr="000000"/>
                    </a:solidFill>
                  </a:rPr>
                  <a:t>Procedure group</a:t>
                </a:r>
              </a:p>
            </c:rich>
          </c:tx>
          <c:layout>
            <c:manualLayout>
              <c:xMode val="edge"/>
              <c:yMode val="edge"/>
              <c:x val="2.2038567493112948E-2"/>
              <c:y val="0.4381258856727416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37097056"/>
        <c:crosses val="autoZero"/>
        <c:auto val="1"/>
        <c:lblAlgn val="ctr"/>
        <c:lblOffset val="100"/>
        <c:noMultiLvlLbl val="0"/>
      </c:catAx>
      <c:valAx>
        <c:axId val="837097056"/>
        <c:scaling>
          <c:orientation val="minMax"/>
        </c:scaling>
        <c:delete val="1"/>
        <c:axPos val="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mn-lt"/>
                    <a:ea typeface="+mn-ea"/>
                    <a:cs typeface="+mn-cs"/>
                  </a:defRPr>
                </a:pPr>
                <a:r>
                  <a:rPr lang="en-AU">
                    <a:solidFill>
                      <a:sysClr val="windowText" lastClr="000000"/>
                    </a:solidFill>
                  </a:rPr>
                  <a:t>Percentage of episodes (%) </a:t>
                </a:r>
              </a:p>
            </c:rich>
          </c:tx>
          <c:layout>
            <c:manualLayout>
              <c:xMode val="edge"/>
              <c:yMode val="edge"/>
              <c:x val="0.45042681648265048"/>
              <c:y val="0.97496087636932716"/>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mn-lt"/>
                  <a:ea typeface="+mn-ea"/>
                  <a:cs typeface="+mn-cs"/>
                </a:defRPr>
              </a:pPr>
              <a:endParaRPr lang="en-US"/>
            </a:p>
          </c:txPr>
        </c:title>
        <c:numFmt formatCode="0.0" sourceLinked="1"/>
        <c:majorTickMark val="none"/>
        <c:minorTickMark val="none"/>
        <c:tickLblPos val="nextTo"/>
        <c:crossAx val="837096664"/>
        <c:crosses val="autoZero"/>
        <c:crossBetween val="between"/>
      </c:valAx>
      <c:spPr>
        <a:noFill/>
        <a:ln>
          <a:noFill/>
        </a:ln>
        <a:effectLst/>
      </c:spPr>
    </c:plotArea>
    <c:legend>
      <c:legendPos val="b"/>
      <c:layout>
        <c:manualLayout>
          <c:xMode val="edge"/>
          <c:yMode val="edge"/>
          <c:x val="0.84418049977613419"/>
          <c:y val="0.68375774304421444"/>
          <c:w val="0.11326345803610803"/>
          <c:h val="0.2642228653069450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'Figure A4.2'!$P$14</c:f>
              <c:strCache>
                <c:ptCount val="1"/>
                <c:pt idx="0">
                  <c:v>Appropriate</c:v>
                </c:pt>
              </c:strCache>
            </c:strRef>
          </c:tx>
          <c:spPr>
            <a:ln w="28575" cap="rnd">
              <a:solidFill>
                <a:schemeClr val="accent6"/>
              </a:solidFill>
              <a:round/>
            </a:ln>
            <a:effectLst/>
          </c:spPr>
          <c:marker>
            <c:symbol val="none"/>
          </c:marker>
          <c:cat>
            <c:numRef>
              <c:f>'Figure A4.2'!$O$15:$O$20</c:f>
              <c:numCache>
                <c:formatCode>General</c:formatCode>
                <c:ptCount val="6"/>
                <c:pt idx="0">
                  <c:v>2016</c:v>
                </c:pt>
                <c:pt idx="1">
                  <c:v>2017</c:v>
                </c:pt>
                <c:pt idx="2">
                  <c:v>2018</c:v>
                </c:pt>
                <c:pt idx="3">
                  <c:v>2019</c:v>
                </c:pt>
                <c:pt idx="4">
                  <c:v>2020</c:v>
                </c:pt>
                <c:pt idx="5">
                  <c:v>2021</c:v>
                </c:pt>
              </c:numCache>
            </c:numRef>
          </c:cat>
          <c:val>
            <c:numRef>
              <c:f>'Figure A4.2'!$P$15:$P$20</c:f>
              <c:numCache>
                <c:formatCode>0.0</c:formatCode>
                <c:ptCount val="6"/>
                <c:pt idx="0">
                  <c:v>67.599999999999994</c:v>
                </c:pt>
                <c:pt idx="1">
                  <c:v>64</c:v>
                </c:pt>
                <c:pt idx="2">
                  <c:v>69.099999999999994</c:v>
                </c:pt>
                <c:pt idx="3">
                  <c:v>69.400000000000006</c:v>
                </c:pt>
                <c:pt idx="4">
                  <c:v>74.2</c:v>
                </c:pt>
                <c:pt idx="5">
                  <c:v>74.7</c:v>
                </c:pt>
              </c:numCache>
            </c:numRef>
          </c:val>
          <c:smooth val="0"/>
          <c:extLst>
            <c:ext xmlns:c16="http://schemas.microsoft.com/office/drawing/2014/chart" uri="{C3380CC4-5D6E-409C-BE32-E72D297353CC}">
              <c16:uniqueId val="{00000000-1735-A943-B337-62A02FDA35F4}"/>
            </c:ext>
          </c:extLst>
        </c:ser>
        <c:ser>
          <c:idx val="1"/>
          <c:order val="1"/>
          <c:tx>
            <c:strRef>
              <c:f>'Figure A4.2'!$Q$14</c:f>
              <c:strCache>
                <c:ptCount val="1"/>
                <c:pt idx="0">
                  <c:v>Compliant with guidelines</c:v>
                </c:pt>
              </c:strCache>
            </c:strRef>
          </c:tx>
          <c:spPr>
            <a:ln w="28575" cap="rnd">
              <a:solidFill>
                <a:schemeClr val="accent1"/>
              </a:solidFill>
              <a:round/>
            </a:ln>
            <a:effectLst/>
          </c:spPr>
          <c:marker>
            <c:symbol val="none"/>
          </c:marker>
          <c:cat>
            <c:numRef>
              <c:f>'Figure A4.2'!$O$15:$O$20</c:f>
              <c:numCache>
                <c:formatCode>General</c:formatCode>
                <c:ptCount val="6"/>
                <c:pt idx="0">
                  <c:v>2016</c:v>
                </c:pt>
                <c:pt idx="1">
                  <c:v>2017</c:v>
                </c:pt>
                <c:pt idx="2">
                  <c:v>2018</c:v>
                </c:pt>
                <c:pt idx="3">
                  <c:v>2019</c:v>
                </c:pt>
                <c:pt idx="4">
                  <c:v>2020</c:v>
                </c:pt>
                <c:pt idx="5">
                  <c:v>2021</c:v>
                </c:pt>
              </c:numCache>
            </c:numRef>
          </c:cat>
          <c:val>
            <c:numRef>
              <c:f>'Figure A4.2'!$Q$15:$Q$20</c:f>
              <c:numCache>
                <c:formatCode>0.0</c:formatCode>
                <c:ptCount val="6"/>
                <c:pt idx="0">
                  <c:v>71.3</c:v>
                </c:pt>
                <c:pt idx="1">
                  <c:v>70.400000000000006</c:v>
                </c:pt>
                <c:pt idx="2">
                  <c:v>74.900000000000006</c:v>
                </c:pt>
                <c:pt idx="3">
                  <c:v>74.099999999999994</c:v>
                </c:pt>
                <c:pt idx="4">
                  <c:v>79.2</c:v>
                </c:pt>
                <c:pt idx="5">
                  <c:v>87.8</c:v>
                </c:pt>
              </c:numCache>
            </c:numRef>
          </c:val>
          <c:smooth val="0"/>
          <c:extLst>
            <c:ext xmlns:c16="http://schemas.microsoft.com/office/drawing/2014/chart" uri="{C3380CC4-5D6E-409C-BE32-E72D297353CC}">
              <c16:uniqueId val="{00000001-1735-A943-B337-62A02FDA35F4}"/>
            </c:ext>
          </c:extLst>
        </c:ser>
        <c:dLbls>
          <c:showLegendKey val="0"/>
          <c:showVal val="0"/>
          <c:showCatName val="0"/>
          <c:showSerName val="0"/>
          <c:showPercent val="0"/>
          <c:showBubbleSize val="0"/>
        </c:dLbls>
        <c:smooth val="0"/>
        <c:axId val="837097448"/>
        <c:axId val="837097840"/>
      </c:lineChart>
      <c:catAx>
        <c:axId val="837097448"/>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AU" b="1">
                    <a:solidFill>
                      <a:sysClr val="windowText" lastClr="000000"/>
                    </a:solidFill>
                  </a:rPr>
                  <a:t>Year of contribution</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7097840"/>
        <c:crossesAt val="0"/>
        <c:auto val="1"/>
        <c:lblAlgn val="ctr"/>
        <c:lblOffset val="100"/>
        <c:noMultiLvlLbl val="0"/>
      </c:catAx>
      <c:valAx>
        <c:axId val="837097840"/>
        <c:scaling>
          <c:orientation val="minMax"/>
          <c:max val="100"/>
          <c:min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AU" b="1">
                    <a:solidFill>
                      <a:sysClr val="windowText" lastClr="000000"/>
                    </a:solidFill>
                  </a:rPr>
                  <a:t> Percentage</a:t>
                </a:r>
                <a:r>
                  <a:rPr lang="en-AU" b="1" baseline="0">
                    <a:solidFill>
                      <a:sysClr val="windowText" lastClr="000000"/>
                    </a:solidFill>
                  </a:rPr>
                  <a:t> (%)</a:t>
                </a:r>
                <a:endParaRPr lang="en-AU" b="1">
                  <a:solidFill>
                    <a:sysClr val="windowText" lastClr="000000"/>
                  </a:solidFill>
                </a:endParaRP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7097448"/>
        <c:crosses val="autoZero"/>
        <c:crossBetween val="between"/>
        <c:majorUnit val="10"/>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'Figure A4.3'!$P$13</c:f>
              <c:strCache>
                <c:ptCount val="1"/>
                <c:pt idx="0">
                  <c:v>Appropriateness</c:v>
                </c:pt>
              </c:strCache>
            </c:strRef>
          </c:tx>
          <c:spPr>
            <a:ln w="28575" cap="rnd">
              <a:solidFill>
                <a:schemeClr val="accent6">
                  <a:lumMod val="60000"/>
                  <a:lumOff val="40000"/>
                </a:schemeClr>
              </a:solidFill>
              <a:round/>
            </a:ln>
            <a:effectLst/>
          </c:spPr>
          <c:marker>
            <c:symbol val="none"/>
          </c:marker>
          <c:cat>
            <c:numRef>
              <c:f>'Figure A4.3'!$O$14:$O$19</c:f>
              <c:numCache>
                <c:formatCode>General</c:formatCode>
                <c:ptCount val="6"/>
                <c:pt idx="0">
                  <c:v>2016</c:v>
                </c:pt>
                <c:pt idx="1">
                  <c:v>2017</c:v>
                </c:pt>
                <c:pt idx="2">
                  <c:v>2018</c:v>
                </c:pt>
                <c:pt idx="3">
                  <c:v>2019</c:v>
                </c:pt>
                <c:pt idx="4">
                  <c:v>2020</c:v>
                </c:pt>
                <c:pt idx="5">
                  <c:v>2021</c:v>
                </c:pt>
              </c:numCache>
            </c:numRef>
          </c:cat>
          <c:val>
            <c:numRef>
              <c:f>'Figure A4.3'!$P$14:$P$19</c:f>
              <c:numCache>
                <c:formatCode>General</c:formatCode>
                <c:ptCount val="6"/>
                <c:pt idx="0" formatCode="0.0">
                  <c:v>58</c:v>
                </c:pt>
                <c:pt idx="1">
                  <c:v>55.1</c:v>
                </c:pt>
                <c:pt idx="2">
                  <c:v>61.8</c:v>
                </c:pt>
                <c:pt idx="3">
                  <c:v>64.5</c:v>
                </c:pt>
                <c:pt idx="4">
                  <c:v>70.599999999999994</c:v>
                </c:pt>
                <c:pt idx="5">
                  <c:v>70.900000000000006</c:v>
                </c:pt>
              </c:numCache>
            </c:numRef>
          </c:val>
          <c:smooth val="0"/>
          <c:extLst>
            <c:ext xmlns:c16="http://schemas.microsoft.com/office/drawing/2014/chart" uri="{C3380CC4-5D6E-409C-BE32-E72D297353CC}">
              <c16:uniqueId val="{00000000-61C1-40F7-8F0B-DF54D6B6B032}"/>
            </c:ext>
          </c:extLst>
        </c:ser>
        <c:ser>
          <c:idx val="1"/>
          <c:order val="1"/>
          <c:tx>
            <c:strRef>
              <c:f>'Figure A4.3'!$Q$13</c:f>
              <c:strCache>
                <c:ptCount val="1"/>
                <c:pt idx="0">
                  <c:v>Compliant with guidelines</c:v>
                </c:pt>
              </c:strCache>
            </c:strRef>
          </c:tx>
          <c:spPr>
            <a:ln w="28575" cap="rnd">
              <a:solidFill>
                <a:schemeClr val="tx2">
                  <a:lumMod val="60000"/>
                  <a:lumOff val="40000"/>
                </a:schemeClr>
              </a:solidFill>
              <a:round/>
            </a:ln>
            <a:effectLst/>
          </c:spPr>
          <c:marker>
            <c:symbol val="none"/>
          </c:marker>
          <c:cat>
            <c:numRef>
              <c:f>'Figure A4.3'!$O$14:$O$19</c:f>
              <c:numCache>
                <c:formatCode>General</c:formatCode>
                <c:ptCount val="6"/>
                <c:pt idx="0">
                  <c:v>2016</c:v>
                </c:pt>
                <c:pt idx="1">
                  <c:v>2017</c:v>
                </c:pt>
                <c:pt idx="2">
                  <c:v>2018</c:v>
                </c:pt>
                <c:pt idx="3">
                  <c:v>2019</c:v>
                </c:pt>
                <c:pt idx="4">
                  <c:v>2020</c:v>
                </c:pt>
                <c:pt idx="5">
                  <c:v>2021</c:v>
                </c:pt>
              </c:numCache>
            </c:numRef>
          </c:cat>
          <c:val>
            <c:numRef>
              <c:f>'Figure A4.3'!$Q$14:$Q$19</c:f>
              <c:numCache>
                <c:formatCode>General</c:formatCode>
                <c:ptCount val="6"/>
                <c:pt idx="0">
                  <c:v>56.9</c:v>
                </c:pt>
                <c:pt idx="1">
                  <c:v>58.6</c:v>
                </c:pt>
                <c:pt idx="2">
                  <c:v>64.3</c:v>
                </c:pt>
                <c:pt idx="3">
                  <c:v>65.5</c:v>
                </c:pt>
                <c:pt idx="4">
                  <c:v>71.3</c:v>
                </c:pt>
                <c:pt idx="5">
                  <c:v>71.099999999999994</c:v>
                </c:pt>
              </c:numCache>
            </c:numRef>
          </c:val>
          <c:smooth val="0"/>
          <c:extLst>
            <c:ext xmlns:c16="http://schemas.microsoft.com/office/drawing/2014/chart" uri="{C3380CC4-5D6E-409C-BE32-E72D297353CC}">
              <c16:uniqueId val="{00000001-61C1-40F7-8F0B-DF54D6B6B032}"/>
            </c:ext>
          </c:extLst>
        </c:ser>
        <c:dLbls>
          <c:showLegendKey val="0"/>
          <c:showVal val="0"/>
          <c:showCatName val="0"/>
          <c:showSerName val="0"/>
          <c:showPercent val="0"/>
          <c:showBubbleSize val="0"/>
        </c:dLbls>
        <c:smooth val="0"/>
        <c:axId val="843163616"/>
        <c:axId val="555564048"/>
      </c:lineChart>
      <c:catAx>
        <c:axId val="843163616"/>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b="1">
                    <a:solidFill>
                      <a:sysClr val="windowText" lastClr="000000"/>
                    </a:solidFill>
                  </a:rPr>
                  <a:t>Year of contribution</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5564048"/>
        <c:crosses val="autoZero"/>
        <c:auto val="1"/>
        <c:lblAlgn val="ctr"/>
        <c:lblOffset val="100"/>
        <c:noMultiLvlLbl val="0"/>
      </c:catAx>
      <c:valAx>
        <c:axId val="555564048"/>
        <c:scaling>
          <c:orientation val="minMax"/>
          <c:max val="100"/>
          <c:min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b="1">
                    <a:solidFill>
                      <a:sysClr val="windowText" lastClr="000000"/>
                    </a:solidFill>
                  </a:rPr>
                  <a:t>Percentage (%)</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3163616"/>
        <c:crosses val="autoZero"/>
        <c:crossBetween val="between"/>
        <c:majorUnit val="10"/>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'Figure A4.4'!$P$17</c:f>
              <c:strCache>
                <c:ptCount val="1"/>
                <c:pt idx="0">
                  <c:v>Appropriateness</c:v>
                </c:pt>
              </c:strCache>
            </c:strRef>
          </c:tx>
          <c:spPr>
            <a:ln w="28575" cap="rnd">
              <a:solidFill>
                <a:schemeClr val="accent6">
                  <a:lumMod val="60000"/>
                  <a:lumOff val="40000"/>
                </a:schemeClr>
              </a:solidFill>
              <a:round/>
            </a:ln>
            <a:effectLst/>
          </c:spPr>
          <c:marker>
            <c:symbol val="none"/>
          </c:marker>
          <c:cat>
            <c:numRef>
              <c:f>'Figure A4.4'!$O$18:$O$23</c:f>
              <c:numCache>
                <c:formatCode>General</c:formatCode>
                <c:ptCount val="6"/>
                <c:pt idx="0">
                  <c:v>2016</c:v>
                </c:pt>
                <c:pt idx="1">
                  <c:v>2017</c:v>
                </c:pt>
                <c:pt idx="2">
                  <c:v>2018</c:v>
                </c:pt>
                <c:pt idx="3">
                  <c:v>2019</c:v>
                </c:pt>
                <c:pt idx="4">
                  <c:v>2020</c:v>
                </c:pt>
                <c:pt idx="5">
                  <c:v>2021</c:v>
                </c:pt>
              </c:numCache>
            </c:numRef>
          </c:cat>
          <c:val>
            <c:numRef>
              <c:f>'Figure A4.4'!$P$18:$P$23</c:f>
              <c:numCache>
                <c:formatCode>0.0</c:formatCode>
                <c:ptCount val="6"/>
                <c:pt idx="0">
                  <c:v>76.099999999999994</c:v>
                </c:pt>
                <c:pt idx="1">
                  <c:v>78.599999999999994</c:v>
                </c:pt>
                <c:pt idx="2">
                  <c:v>72.5</c:v>
                </c:pt>
                <c:pt idx="3">
                  <c:v>76.900000000000006</c:v>
                </c:pt>
                <c:pt idx="4">
                  <c:v>75.8</c:v>
                </c:pt>
                <c:pt idx="5">
                  <c:v>75.8</c:v>
                </c:pt>
              </c:numCache>
            </c:numRef>
          </c:val>
          <c:smooth val="0"/>
          <c:extLst>
            <c:ext xmlns:c16="http://schemas.microsoft.com/office/drawing/2014/chart" uri="{C3380CC4-5D6E-409C-BE32-E72D297353CC}">
              <c16:uniqueId val="{00000000-8A3A-4FC4-A7A1-CD3A753CFBC1}"/>
            </c:ext>
          </c:extLst>
        </c:ser>
        <c:ser>
          <c:idx val="1"/>
          <c:order val="1"/>
          <c:tx>
            <c:strRef>
              <c:f>'Figure A4.4'!$Q$17</c:f>
              <c:strCache>
                <c:ptCount val="1"/>
                <c:pt idx="0">
                  <c:v>Compliant with guidelines</c:v>
                </c:pt>
              </c:strCache>
            </c:strRef>
          </c:tx>
          <c:spPr>
            <a:ln w="28575" cap="rnd">
              <a:solidFill>
                <a:schemeClr val="tx2">
                  <a:lumMod val="60000"/>
                  <a:lumOff val="40000"/>
                </a:schemeClr>
              </a:solidFill>
              <a:round/>
            </a:ln>
            <a:effectLst/>
          </c:spPr>
          <c:marker>
            <c:symbol val="none"/>
          </c:marker>
          <c:cat>
            <c:numRef>
              <c:f>'Figure A4.4'!$O$18:$O$23</c:f>
              <c:numCache>
                <c:formatCode>General</c:formatCode>
                <c:ptCount val="6"/>
                <c:pt idx="0">
                  <c:v>2016</c:v>
                </c:pt>
                <c:pt idx="1">
                  <c:v>2017</c:v>
                </c:pt>
                <c:pt idx="2">
                  <c:v>2018</c:v>
                </c:pt>
                <c:pt idx="3">
                  <c:v>2019</c:v>
                </c:pt>
                <c:pt idx="4">
                  <c:v>2020</c:v>
                </c:pt>
                <c:pt idx="5">
                  <c:v>2021</c:v>
                </c:pt>
              </c:numCache>
            </c:numRef>
          </c:cat>
          <c:val>
            <c:numRef>
              <c:f>'Figure A4.4'!$Q$18:$Q$23</c:f>
              <c:numCache>
                <c:formatCode>0.0</c:formatCode>
                <c:ptCount val="6"/>
                <c:pt idx="0">
                  <c:v>76.2</c:v>
                </c:pt>
                <c:pt idx="1">
                  <c:v>78.099999999999994</c:v>
                </c:pt>
                <c:pt idx="2">
                  <c:v>73.400000000000006</c:v>
                </c:pt>
                <c:pt idx="3">
                  <c:v>77.2</c:v>
                </c:pt>
                <c:pt idx="4">
                  <c:v>78.099999999999994</c:v>
                </c:pt>
                <c:pt idx="5">
                  <c:v>77.5</c:v>
                </c:pt>
              </c:numCache>
            </c:numRef>
          </c:val>
          <c:smooth val="0"/>
          <c:extLst>
            <c:ext xmlns:c16="http://schemas.microsoft.com/office/drawing/2014/chart" uri="{C3380CC4-5D6E-409C-BE32-E72D297353CC}">
              <c16:uniqueId val="{00000001-8A3A-4FC4-A7A1-CD3A753CFBC1}"/>
            </c:ext>
          </c:extLst>
        </c:ser>
        <c:dLbls>
          <c:showLegendKey val="0"/>
          <c:showVal val="0"/>
          <c:showCatName val="0"/>
          <c:showSerName val="0"/>
          <c:showPercent val="0"/>
          <c:showBubbleSize val="0"/>
        </c:dLbls>
        <c:smooth val="0"/>
        <c:axId val="555561304"/>
        <c:axId val="555563264"/>
      </c:lineChart>
      <c:catAx>
        <c:axId val="5555613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rPr>
                  <a:t>Year of contribution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5563264"/>
        <c:crosses val="autoZero"/>
        <c:auto val="1"/>
        <c:lblAlgn val="ctr"/>
        <c:lblOffset val="100"/>
        <c:noMultiLvlLbl val="0"/>
      </c:catAx>
      <c:valAx>
        <c:axId val="555563264"/>
        <c:scaling>
          <c:orientation val="minMax"/>
          <c:max val="100"/>
          <c:min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b="1">
                    <a:solidFill>
                      <a:sysClr val="windowText" lastClr="000000"/>
                    </a:solidFill>
                  </a:rPr>
                  <a:t>Percentage (%)</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5561304"/>
        <c:crosses val="autoZero"/>
        <c:crossBetween val="between"/>
        <c:majorUnit val="10"/>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'Figure A4.5'!$R$15</c:f>
              <c:strCache>
                <c:ptCount val="1"/>
                <c:pt idx="0">
                  <c:v>Appropriateness</c:v>
                </c:pt>
              </c:strCache>
            </c:strRef>
          </c:tx>
          <c:spPr>
            <a:ln w="28575" cap="rnd">
              <a:solidFill>
                <a:schemeClr val="accent6">
                  <a:lumMod val="60000"/>
                  <a:lumOff val="40000"/>
                </a:schemeClr>
              </a:solidFill>
              <a:round/>
            </a:ln>
            <a:effectLst/>
          </c:spPr>
          <c:marker>
            <c:symbol val="none"/>
          </c:marker>
          <c:cat>
            <c:numRef>
              <c:f>'Figure A4.5'!$Q$16:$Q$21</c:f>
              <c:numCache>
                <c:formatCode>General</c:formatCode>
                <c:ptCount val="6"/>
                <c:pt idx="0">
                  <c:v>2016</c:v>
                </c:pt>
                <c:pt idx="1">
                  <c:v>2017</c:v>
                </c:pt>
                <c:pt idx="2">
                  <c:v>2018</c:v>
                </c:pt>
                <c:pt idx="3">
                  <c:v>2019</c:v>
                </c:pt>
                <c:pt idx="4">
                  <c:v>2020</c:v>
                </c:pt>
                <c:pt idx="5">
                  <c:v>2021</c:v>
                </c:pt>
              </c:numCache>
            </c:numRef>
          </c:cat>
          <c:val>
            <c:numRef>
              <c:f>'Figure A4.5'!$R$16:$R$21</c:f>
              <c:numCache>
                <c:formatCode>0.0</c:formatCode>
                <c:ptCount val="6"/>
                <c:pt idx="0" formatCode="General">
                  <c:v>32.9</c:v>
                </c:pt>
                <c:pt idx="1">
                  <c:v>34</c:v>
                </c:pt>
                <c:pt idx="2" formatCode="General">
                  <c:v>27.9</c:v>
                </c:pt>
                <c:pt idx="3" formatCode="General">
                  <c:v>28.5</c:v>
                </c:pt>
                <c:pt idx="4" formatCode="General">
                  <c:v>41.1</c:v>
                </c:pt>
                <c:pt idx="5" formatCode="General">
                  <c:v>38.200000000000003</c:v>
                </c:pt>
              </c:numCache>
            </c:numRef>
          </c:val>
          <c:smooth val="0"/>
          <c:extLst>
            <c:ext xmlns:c16="http://schemas.microsoft.com/office/drawing/2014/chart" uri="{C3380CC4-5D6E-409C-BE32-E72D297353CC}">
              <c16:uniqueId val="{00000000-FA8E-4769-84DA-815CFE9F3A21}"/>
            </c:ext>
          </c:extLst>
        </c:ser>
        <c:ser>
          <c:idx val="1"/>
          <c:order val="1"/>
          <c:tx>
            <c:strRef>
              <c:f>'Figure A4.5'!$S$15</c:f>
              <c:strCache>
                <c:ptCount val="1"/>
                <c:pt idx="0">
                  <c:v>Compliant with guidelines</c:v>
                </c:pt>
              </c:strCache>
            </c:strRef>
          </c:tx>
          <c:spPr>
            <a:ln w="28575" cap="rnd">
              <a:solidFill>
                <a:schemeClr val="tx2">
                  <a:lumMod val="60000"/>
                  <a:lumOff val="40000"/>
                </a:schemeClr>
              </a:solidFill>
              <a:round/>
            </a:ln>
            <a:effectLst/>
          </c:spPr>
          <c:marker>
            <c:symbol val="none"/>
          </c:marker>
          <c:cat>
            <c:numRef>
              <c:f>'Figure A4.5'!$Q$16:$Q$21</c:f>
              <c:numCache>
                <c:formatCode>General</c:formatCode>
                <c:ptCount val="6"/>
                <c:pt idx="0">
                  <c:v>2016</c:v>
                </c:pt>
                <c:pt idx="1">
                  <c:v>2017</c:v>
                </c:pt>
                <c:pt idx="2">
                  <c:v>2018</c:v>
                </c:pt>
                <c:pt idx="3">
                  <c:v>2019</c:v>
                </c:pt>
                <c:pt idx="4">
                  <c:v>2020</c:v>
                </c:pt>
                <c:pt idx="5">
                  <c:v>2021</c:v>
                </c:pt>
              </c:numCache>
            </c:numRef>
          </c:cat>
          <c:val>
            <c:numRef>
              <c:f>'Figure A4.5'!$S$16:$S$21</c:f>
              <c:numCache>
                <c:formatCode>General</c:formatCode>
                <c:ptCount val="6"/>
                <c:pt idx="0">
                  <c:v>33.4</c:v>
                </c:pt>
                <c:pt idx="1">
                  <c:v>33.200000000000003</c:v>
                </c:pt>
                <c:pt idx="2">
                  <c:v>30.3</c:v>
                </c:pt>
                <c:pt idx="3">
                  <c:v>29.8</c:v>
                </c:pt>
                <c:pt idx="4">
                  <c:v>45.5</c:v>
                </c:pt>
                <c:pt idx="5">
                  <c:v>40.6</c:v>
                </c:pt>
              </c:numCache>
            </c:numRef>
          </c:val>
          <c:smooth val="0"/>
          <c:extLst>
            <c:ext xmlns:c16="http://schemas.microsoft.com/office/drawing/2014/chart" uri="{C3380CC4-5D6E-409C-BE32-E72D297353CC}">
              <c16:uniqueId val="{00000001-FA8E-4769-84DA-815CFE9F3A21}"/>
            </c:ext>
          </c:extLst>
        </c:ser>
        <c:dLbls>
          <c:showLegendKey val="0"/>
          <c:showVal val="0"/>
          <c:showCatName val="0"/>
          <c:showSerName val="0"/>
          <c:showPercent val="0"/>
          <c:showBubbleSize val="0"/>
        </c:dLbls>
        <c:smooth val="0"/>
        <c:axId val="555561696"/>
        <c:axId val="555562480"/>
      </c:lineChart>
      <c:catAx>
        <c:axId val="555561696"/>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b="1">
                    <a:solidFill>
                      <a:sysClr val="windowText" lastClr="000000"/>
                    </a:solidFill>
                  </a:rPr>
                  <a:t>Year of contribution</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5562480"/>
        <c:crosses val="autoZero"/>
        <c:auto val="1"/>
        <c:lblAlgn val="ctr"/>
        <c:lblOffset val="100"/>
        <c:noMultiLvlLbl val="0"/>
      </c:catAx>
      <c:valAx>
        <c:axId val="5555624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b="1">
                    <a:solidFill>
                      <a:sysClr val="windowText" lastClr="000000"/>
                    </a:solidFill>
                  </a:rPr>
                  <a:t>Percentage (%)</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5561696"/>
        <c:crosses val="autoZero"/>
        <c:crossBetween val="between"/>
        <c:majorUnit val="10"/>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'Figure A4.7'!$N$13</c:f>
              <c:strCache>
                <c:ptCount val="1"/>
                <c:pt idx="0">
                  <c:v>2016</c:v>
                </c:pt>
              </c:strCache>
            </c:strRef>
          </c:tx>
          <c:spPr>
            <a:solidFill>
              <a:schemeClr val="accent4">
                <a:lumMod val="40000"/>
                <a:lumOff val="60000"/>
              </a:schemeClr>
            </a:solidFill>
            <a:ln>
              <a:noFill/>
            </a:ln>
            <a:effectLst/>
          </c:spPr>
          <c:invertIfNegative val="0"/>
          <c:cat>
            <c:strRef>
              <c:f>'Figure A4.7'!$O$12:$U$12</c:f>
              <c:strCache>
                <c:ptCount val="7"/>
                <c:pt idx="0">
                  <c:v>Incorrect timing</c:v>
                </c:pt>
                <c:pt idx="1">
                  <c:v>Incorrect dose</c:v>
                </c:pt>
                <c:pt idx="2">
                  <c:v>Spectrum too broad</c:v>
                </c:pt>
                <c:pt idx="3">
                  <c:v>Spectrum too narrow</c:v>
                </c:pt>
                <c:pt idx="4">
                  <c:v>Incorrect route</c:v>
                </c:pt>
                <c:pt idx="5">
                  <c:v>Microbiology mismatch</c:v>
                </c:pt>
                <c:pt idx="6">
                  <c:v>Allergy mismatch</c:v>
                </c:pt>
              </c:strCache>
            </c:strRef>
          </c:cat>
          <c:val>
            <c:numRef>
              <c:f>'Figure A4.7'!$O$13:$U$13</c:f>
              <c:numCache>
                <c:formatCode>0.0</c:formatCode>
                <c:ptCount val="7"/>
                <c:pt idx="0">
                  <c:v>43.510815307820302</c:v>
                </c:pt>
                <c:pt idx="1">
                  <c:v>31.447587354409318</c:v>
                </c:pt>
                <c:pt idx="2">
                  <c:v>22.129783693843592</c:v>
                </c:pt>
                <c:pt idx="3">
                  <c:v>7.9034941763727122</c:v>
                </c:pt>
                <c:pt idx="4">
                  <c:v>4.5757071547420969</c:v>
                </c:pt>
                <c:pt idx="5">
                  <c:v>1.8302828618968388</c:v>
                </c:pt>
                <c:pt idx="6">
                  <c:v>1.8302828618968388</c:v>
                </c:pt>
              </c:numCache>
            </c:numRef>
          </c:val>
          <c:extLst>
            <c:ext xmlns:c16="http://schemas.microsoft.com/office/drawing/2014/chart" uri="{C3380CC4-5D6E-409C-BE32-E72D297353CC}">
              <c16:uniqueId val="{00000000-B329-4C78-9B9C-3E828255656F}"/>
            </c:ext>
          </c:extLst>
        </c:ser>
        <c:ser>
          <c:idx val="1"/>
          <c:order val="1"/>
          <c:tx>
            <c:strRef>
              <c:f>'Figure A4.7'!$N$14</c:f>
              <c:strCache>
                <c:ptCount val="1"/>
                <c:pt idx="0">
                  <c:v>2017</c:v>
                </c:pt>
              </c:strCache>
            </c:strRef>
          </c:tx>
          <c:spPr>
            <a:solidFill>
              <a:schemeClr val="accent4">
                <a:lumMod val="60000"/>
                <a:lumOff val="40000"/>
              </a:schemeClr>
            </a:solidFill>
            <a:ln>
              <a:noFill/>
            </a:ln>
            <a:effectLst/>
          </c:spPr>
          <c:invertIfNegative val="0"/>
          <c:cat>
            <c:strRef>
              <c:f>'Figure A4.7'!$O$12:$U$12</c:f>
              <c:strCache>
                <c:ptCount val="7"/>
                <c:pt idx="0">
                  <c:v>Incorrect timing</c:v>
                </c:pt>
                <c:pt idx="1">
                  <c:v>Incorrect dose</c:v>
                </c:pt>
                <c:pt idx="2">
                  <c:v>Spectrum too broad</c:v>
                </c:pt>
                <c:pt idx="3">
                  <c:v>Spectrum too narrow</c:v>
                </c:pt>
                <c:pt idx="4">
                  <c:v>Incorrect route</c:v>
                </c:pt>
                <c:pt idx="5">
                  <c:v>Microbiology mismatch</c:v>
                </c:pt>
                <c:pt idx="6">
                  <c:v>Allergy mismatch</c:v>
                </c:pt>
              </c:strCache>
            </c:strRef>
          </c:cat>
          <c:val>
            <c:numRef>
              <c:f>'Figure A4.7'!$O$14:$U$14</c:f>
              <c:numCache>
                <c:formatCode>0.0</c:formatCode>
                <c:ptCount val="7"/>
                <c:pt idx="0">
                  <c:v>54.865002547121755</c:v>
                </c:pt>
                <c:pt idx="1">
                  <c:v>28.782475802343356</c:v>
                </c:pt>
                <c:pt idx="2">
                  <c:v>14.161996943453897</c:v>
                </c:pt>
                <c:pt idx="3">
                  <c:v>9.3734080489047376</c:v>
                </c:pt>
                <c:pt idx="4">
                  <c:v>2.0886398369842079</c:v>
                </c:pt>
                <c:pt idx="5">
                  <c:v>0.86602139582272042</c:v>
                </c:pt>
                <c:pt idx="6">
                  <c:v>1.4773306164034641</c:v>
                </c:pt>
              </c:numCache>
            </c:numRef>
          </c:val>
          <c:extLst>
            <c:ext xmlns:c16="http://schemas.microsoft.com/office/drawing/2014/chart" uri="{C3380CC4-5D6E-409C-BE32-E72D297353CC}">
              <c16:uniqueId val="{00000001-B329-4C78-9B9C-3E828255656F}"/>
            </c:ext>
          </c:extLst>
        </c:ser>
        <c:ser>
          <c:idx val="2"/>
          <c:order val="2"/>
          <c:tx>
            <c:strRef>
              <c:f>'Figure A4.7'!$N$15</c:f>
              <c:strCache>
                <c:ptCount val="1"/>
                <c:pt idx="0">
                  <c:v>2018</c:v>
                </c:pt>
              </c:strCache>
            </c:strRef>
          </c:tx>
          <c:spPr>
            <a:solidFill>
              <a:schemeClr val="accent4">
                <a:lumMod val="75000"/>
              </a:schemeClr>
            </a:solidFill>
            <a:ln>
              <a:noFill/>
            </a:ln>
            <a:effectLst/>
          </c:spPr>
          <c:invertIfNegative val="0"/>
          <c:cat>
            <c:strRef>
              <c:f>'Figure A4.7'!$O$12:$U$12</c:f>
              <c:strCache>
                <c:ptCount val="7"/>
                <c:pt idx="0">
                  <c:v>Incorrect timing</c:v>
                </c:pt>
                <c:pt idx="1">
                  <c:v>Incorrect dose</c:v>
                </c:pt>
                <c:pt idx="2">
                  <c:v>Spectrum too broad</c:v>
                </c:pt>
                <c:pt idx="3">
                  <c:v>Spectrum too narrow</c:v>
                </c:pt>
                <c:pt idx="4">
                  <c:v>Incorrect route</c:v>
                </c:pt>
                <c:pt idx="5">
                  <c:v>Microbiology mismatch</c:v>
                </c:pt>
                <c:pt idx="6">
                  <c:v>Allergy mismatch</c:v>
                </c:pt>
              </c:strCache>
            </c:strRef>
          </c:cat>
          <c:val>
            <c:numRef>
              <c:f>'Figure A4.7'!$O$15:$U$15</c:f>
              <c:numCache>
                <c:formatCode>0.0</c:formatCode>
                <c:ptCount val="7"/>
                <c:pt idx="0">
                  <c:v>52.098600932711527</c:v>
                </c:pt>
                <c:pt idx="1">
                  <c:v>25.716189207195207</c:v>
                </c:pt>
                <c:pt idx="2">
                  <c:v>11.858760826115923</c:v>
                </c:pt>
                <c:pt idx="3">
                  <c:v>9.5936042638241172</c:v>
                </c:pt>
                <c:pt idx="4">
                  <c:v>1.7321785476349101</c:v>
                </c:pt>
                <c:pt idx="5">
                  <c:v>1.3990672884743505</c:v>
                </c:pt>
                <c:pt idx="6">
                  <c:v>1.7988007994670221</c:v>
                </c:pt>
              </c:numCache>
            </c:numRef>
          </c:val>
          <c:extLst>
            <c:ext xmlns:c16="http://schemas.microsoft.com/office/drawing/2014/chart" uri="{C3380CC4-5D6E-409C-BE32-E72D297353CC}">
              <c16:uniqueId val="{00000002-B329-4C78-9B9C-3E828255656F}"/>
            </c:ext>
          </c:extLst>
        </c:ser>
        <c:ser>
          <c:idx val="3"/>
          <c:order val="3"/>
          <c:tx>
            <c:strRef>
              <c:f>'Figure A4.7'!$N$16</c:f>
              <c:strCache>
                <c:ptCount val="1"/>
                <c:pt idx="0">
                  <c:v>2019</c:v>
                </c:pt>
              </c:strCache>
            </c:strRef>
          </c:tx>
          <c:spPr>
            <a:solidFill>
              <a:schemeClr val="bg1">
                <a:lumMod val="50000"/>
              </a:schemeClr>
            </a:solidFill>
            <a:ln>
              <a:noFill/>
            </a:ln>
            <a:effectLst/>
          </c:spPr>
          <c:invertIfNegative val="0"/>
          <c:cat>
            <c:strRef>
              <c:f>'Figure A4.7'!$O$12:$U$12</c:f>
              <c:strCache>
                <c:ptCount val="7"/>
                <c:pt idx="0">
                  <c:v>Incorrect timing</c:v>
                </c:pt>
                <c:pt idx="1">
                  <c:v>Incorrect dose</c:v>
                </c:pt>
                <c:pt idx="2">
                  <c:v>Spectrum too broad</c:v>
                </c:pt>
                <c:pt idx="3">
                  <c:v>Spectrum too narrow</c:v>
                </c:pt>
                <c:pt idx="4">
                  <c:v>Incorrect route</c:v>
                </c:pt>
                <c:pt idx="5">
                  <c:v>Microbiology mismatch</c:v>
                </c:pt>
                <c:pt idx="6">
                  <c:v>Allergy mismatch</c:v>
                </c:pt>
              </c:strCache>
            </c:strRef>
          </c:cat>
          <c:val>
            <c:numRef>
              <c:f>'Figure A4.7'!$O$16:$U$16</c:f>
              <c:numCache>
                <c:formatCode>0.0</c:formatCode>
                <c:ptCount val="7"/>
                <c:pt idx="0">
                  <c:v>40.519787359716481</c:v>
                </c:pt>
                <c:pt idx="1">
                  <c:v>24.512699350265802</c:v>
                </c:pt>
                <c:pt idx="2">
                  <c:v>20.437093916125221</c:v>
                </c:pt>
                <c:pt idx="3">
                  <c:v>17.720023626698168</c:v>
                </c:pt>
                <c:pt idx="4">
                  <c:v>2.4808033077377436</c:v>
                </c:pt>
                <c:pt idx="5">
                  <c:v>1.5948021264028351</c:v>
                </c:pt>
                <c:pt idx="6">
                  <c:v>1.5948021264028351</c:v>
                </c:pt>
              </c:numCache>
            </c:numRef>
          </c:val>
          <c:extLst>
            <c:ext xmlns:c16="http://schemas.microsoft.com/office/drawing/2014/chart" uri="{C3380CC4-5D6E-409C-BE32-E72D297353CC}">
              <c16:uniqueId val="{00000003-B329-4C78-9B9C-3E828255656F}"/>
            </c:ext>
          </c:extLst>
        </c:ser>
        <c:ser>
          <c:idx val="4"/>
          <c:order val="4"/>
          <c:tx>
            <c:strRef>
              <c:f>'Figure A4.7'!$N$17</c:f>
              <c:strCache>
                <c:ptCount val="1"/>
                <c:pt idx="0">
                  <c:v>2020</c:v>
                </c:pt>
              </c:strCache>
            </c:strRef>
          </c:tx>
          <c:spPr>
            <a:solidFill>
              <a:schemeClr val="accent4"/>
            </a:solidFill>
            <a:ln>
              <a:noFill/>
            </a:ln>
            <a:effectLst/>
          </c:spPr>
          <c:invertIfNegative val="0"/>
          <c:cat>
            <c:strRef>
              <c:f>'Figure A4.7'!$O$12:$U$12</c:f>
              <c:strCache>
                <c:ptCount val="7"/>
                <c:pt idx="0">
                  <c:v>Incorrect timing</c:v>
                </c:pt>
                <c:pt idx="1">
                  <c:v>Incorrect dose</c:v>
                </c:pt>
                <c:pt idx="2">
                  <c:v>Spectrum too broad</c:v>
                </c:pt>
                <c:pt idx="3">
                  <c:v>Spectrum too narrow</c:v>
                </c:pt>
                <c:pt idx="4">
                  <c:v>Incorrect route</c:v>
                </c:pt>
                <c:pt idx="5">
                  <c:v>Microbiology mismatch</c:v>
                </c:pt>
                <c:pt idx="6">
                  <c:v>Allergy mismatch</c:v>
                </c:pt>
              </c:strCache>
            </c:strRef>
          </c:cat>
          <c:val>
            <c:numRef>
              <c:f>'Figure A4.7'!$O$17:$U$17</c:f>
              <c:numCache>
                <c:formatCode>0.0</c:formatCode>
                <c:ptCount val="7"/>
                <c:pt idx="0">
                  <c:v>45.926459985580387</c:v>
                </c:pt>
                <c:pt idx="1">
                  <c:v>21.485219899062724</c:v>
                </c:pt>
                <c:pt idx="2">
                  <c:v>24.224945926459984</c:v>
                </c:pt>
                <c:pt idx="3">
                  <c:v>14.347512617159335</c:v>
                </c:pt>
                <c:pt idx="4">
                  <c:v>2.3071377072819033</c:v>
                </c:pt>
                <c:pt idx="5">
                  <c:v>1.8745493871665464</c:v>
                </c:pt>
                <c:pt idx="6">
                  <c:v>2.8839221341023791</c:v>
                </c:pt>
              </c:numCache>
            </c:numRef>
          </c:val>
          <c:extLst>
            <c:ext xmlns:c16="http://schemas.microsoft.com/office/drawing/2014/chart" uri="{C3380CC4-5D6E-409C-BE32-E72D297353CC}">
              <c16:uniqueId val="{00000004-B329-4C78-9B9C-3E828255656F}"/>
            </c:ext>
          </c:extLst>
        </c:ser>
        <c:ser>
          <c:idx val="5"/>
          <c:order val="5"/>
          <c:tx>
            <c:strRef>
              <c:f>'Figure A4.7'!$N$18</c:f>
              <c:strCache>
                <c:ptCount val="1"/>
                <c:pt idx="0">
                  <c:v>2021</c:v>
                </c:pt>
              </c:strCache>
            </c:strRef>
          </c:tx>
          <c:spPr>
            <a:solidFill>
              <a:schemeClr val="accent4">
                <a:lumMod val="50000"/>
              </a:schemeClr>
            </a:solidFill>
            <a:ln>
              <a:noFill/>
            </a:ln>
            <a:effectLst/>
          </c:spPr>
          <c:invertIfNegative val="0"/>
          <c:cat>
            <c:strRef>
              <c:f>'Figure A4.7'!$O$12:$U$12</c:f>
              <c:strCache>
                <c:ptCount val="7"/>
                <c:pt idx="0">
                  <c:v>Incorrect timing</c:v>
                </c:pt>
                <c:pt idx="1">
                  <c:v>Incorrect dose</c:v>
                </c:pt>
                <c:pt idx="2">
                  <c:v>Spectrum too broad</c:v>
                </c:pt>
                <c:pt idx="3">
                  <c:v>Spectrum too narrow</c:v>
                </c:pt>
                <c:pt idx="4">
                  <c:v>Incorrect route</c:v>
                </c:pt>
                <c:pt idx="5">
                  <c:v>Microbiology mismatch</c:v>
                </c:pt>
                <c:pt idx="6">
                  <c:v>Allergy mismatch</c:v>
                </c:pt>
              </c:strCache>
            </c:strRef>
          </c:cat>
          <c:val>
            <c:numRef>
              <c:f>'Figure A4.7'!$O$18:$U$18</c:f>
              <c:numCache>
                <c:formatCode>0.0</c:formatCode>
                <c:ptCount val="7"/>
                <c:pt idx="0">
                  <c:v>50.233100233100238</c:v>
                </c:pt>
                <c:pt idx="1">
                  <c:v>19.522144522144522</c:v>
                </c:pt>
                <c:pt idx="2">
                  <c:v>22.377622377622377</c:v>
                </c:pt>
                <c:pt idx="3">
                  <c:v>14.393939393939394</c:v>
                </c:pt>
                <c:pt idx="4">
                  <c:v>2.5641025641025639</c:v>
                </c:pt>
                <c:pt idx="5">
                  <c:v>2.6223776223776225</c:v>
                </c:pt>
                <c:pt idx="6">
                  <c:v>1.2820512820512819</c:v>
                </c:pt>
              </c:numCache>
            </c:numRef>
          </c:val>
          <c:extLst>
            <c:ext xmlns:c16="http://schemas.microsoft.com/office/drawing/2014/chart" uri="{C3380CC4-5D6E-409C-BE32-E72D297353CC}">
              <c16:uniqueId val="{00000005-B329-4C78-9B9C-3E828255656F}"/>
            </c:ext>
          </c:extLst>
        </c:ser>
        <c:dLbls>
          <c:showLegendKey val="0"/>
          <c:showVal val="0"/>
          <c:showCatName val="0"/>
          <c:showSerName val="0"/>
          <c:showPercent val="0"/>
          <c:showBubbleSize val="0"/>
        </c:dLbls>
        <c:gapWidth val="219"/>
        <c:overlap val="-27"/>
        <c:axId val="555553856"/>
        <c:axId val="555555424"/>
      </c:barChart>
      <c:catAx>
        <c:axId val="5555538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b="1">
                    <a:solidFill>
                      <a:sysClr val="windowText" lastClr="000000"/>
                    </a:solidFill>
                  </a:rPr>
                  <a:t>Year of contribution</a:t>
                </a:r>
              </a:p>
            </c:rich>
          </c:tx>
          <c:layout>
            <c:manualLayout>
              <c:xMode val="edge"/>
              <c:yMode val="edge"/>
              <c:x val="0.41226027005281884"/>
              <c:y val="0.9158250018961686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55555424"/>
        <c:crosses val="autoZero"/>
        <c:auto val="1"/>
        <c:lblAlgn val="ctr"/>
        <c:lblOffset val="100"/>
        <c:noMultiLvlLbl val="0"/>
      </c:catAx>
      <c:valAx>
        <c:axId val="5555554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b="1">
                    <a:solidFill>
                      <a:sysClr val="windowText" lastClr="000000"/>
                    </a:solidFill>
                  </a:rPr>
                  <a:t>Percentage of doses</a:t>
                </a:r>
                <a:r>
                  <a:rPr lang="en-AU" b="1" baseline="0">
                    <a:solidFill>
                      <a:sysClr val="windowText" lastClr="000000"/>
                    </a:solidFill>
                  </a:rPr>
                  <a:t> (%)</a:t>
                </a:r>
                <a:endParaRPr lang="en-AU" b="1">
                  <a:solidFill>
                    <a:sysClr val="windowText" lastClr="000000"/>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55553856"/>
        <c:crosses val="autoZero"/>
        <c:crossBetween val="between"/>
      </c:valAx>
      <c:spPr>
        <a:noFill/>
        <a:ln>
          <a:noFill/>
        </a:ln>
        <a:effectLst/>
      </c:spPr>
    </c:plotArea>
    <c:legend>
      <c:legendPos val="b"/>
      <c:layout>
        <c:manualLayout>
          <c:xMode val="edge"/>
          <c:yMode val="edge"/>
          <c:x val="0.29946768372703414"/>
          <c:y val="0.85093398612257098"/>
          <c:w val="0.42189796587926509"/>
          <c:h val="5.8670546024762127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'[01122022_Revised_Level D Data_SurgicalNAPS2021_TablesFigures.xlsx]Figure A4.8'!$B$3</c:f>
              <c:strCache>
                <c:ptCount val="1"/>
                <c:pt idx="0">
                  <c:v>2016</c:v>
                </c:pt>
              </c:strCache>
            </c:strRef>
          </c:tx>
          <c:spPr>
            <a:solidFill>
              <a:schemeClr val="accent4">
                <a:lumMod val="40000"/>
                <a:lumOff val="60000"/>
              </a:schemeClr>
            </a:solidFill>
            <a:ln>
              <a:noFill/>
            </a:ln>
            <a:effectLst/>
          </c:spPr>
          <c:invertIfNegative val="0"/>
          <c:cat>
            <c:strRef>
              <c:f>'[01122022_Revised_Level D Data_SurgicalNAPS2021_TablesFigures.xlsx]Figure A4.8'!$C$2:$I$2</c:f>
              <c:strCache>
                <c:ptCount val="7"/>
                <c:pt idx="0">
                  <c:v>Incorrect duration</c:v>
                </c:pt>
                <c:pt idx="1">
                  <c:v>Incorrect dose or frequency</c:v>
                </c:pt>
                <c:pt idx="2">
                  <c:v>Spectrum too broad</c:v>
                </c:pt>
                <c:pt idx="3">
                  <c:v>Spectrum too narrow</c:v>
                </c:pt>
                <c:pt idx="4">
                  <c:v>Incorrect route</c:v>
                </c:pt>
                <c:pt idx="5">
                  <c:v>Microbiology mismatch</c:v>
                </c:pt>
                <c:pt idx="6">
                  <c:v>Allergy mismatch</c:v>
                </c:pt>
              </c:strCache>
            </c:strRef>
          </c:cat>
          <c:val>
            <c:numRef>
              <c:f>'[01122022_Revised_Level D Data_SurgicalNAPS2021_TablesFigures.xlsx]Figure A4.8'!$C$3:$I$3</c:f>
              <c:numCache>
                <c:formatCode>0.0</c:formatCode>
                <c:ptCount val="7"/>
                <c:pt idx="0">
                  <c:v>74.94252873563218</c:v>
                </c:pt>
                <c:pt idx="1">
                  <c:v>35.862068965517238</c:v>
                </c:pt>
                <c:pt idx="2">
                  <c:v>8.9655172413793096</c:v>
                </c:pt>
                <c:pt idx="3">
                  <c:v>7.1264367816091951</c:v>
                </c:pt>
                <c:pt idx="4">
                  <c:v>6.666666666666667</c:v>
                </c:pt>
                <c:pt idx="5">
                  <c:v>3.2183908045977012</c:v>
                </c:pt>
                <c:pt idx="6">
                  <c:v>0.68965517241379315</c:v>
                </c:pt>
              </c:numCache>
            </c:numRef>
          </c:val>
          <c:extLst>
            <c:ext xmlns:c16="http://schemas.microsoft.com/office/drawing/2014/chart" uri="{C3380CC4-5D6E-409C-BE32-E72D297353CC}">
              <c16:uniqueId val="{00000000-C0C6-4BC4-A2D2-21ABD154CD55}"/>
            </c:ext>
          </c:extLst>
        </c:ser>
        <c:ser>
          <c:idx val="1"/>
          <c:order val="1"/>
          <c:tx>
            <c:strRef>
              <c:f>'[01122022_Revised_Level D Data_SurgicalNAPS2021_TablesFigures.xlsx]Figure A4.8'!$B$4</c:f>
              <c:strCache>
                <c:ptCount val="1"/>
                <c:pt idx="0">
                  <c:v>2017</c:v>
                </c:pt>
              </c:strCache>
            </c:strRef>
          </c:tx>
          <c:spPr>
            <a:solidFill>
              <a:schemeClr val="accent4">
                <a:lumMod val="60000"/>
                <a:lumOff val="40000"/>
              </a:schemeClr>
            </a:solidFill>
            <a:ln>
              <a:noFill/>
            </a:ln>
            <a:effectLst/>
          </c:spPr>
          <c:invertIfNegative val="0"/>
          <c:cat>
            <c:strRef>
              <c:f>'[01122022_Revised_Level D Data_SurgicalNAPS2021_TablesFigures.xlsx]Figure A4.8'!$C$2:$I$2</c:f>
              <c:strCache>
                <c:ptCount val="7"/>
                <c:pt idx="0">
                  <c:v>Incorrect duration</c:v>
                </c:pt>
                <c:pt idx="1">
                  <c:v>Incorrect dose or frequency</c:v>
                </c:pt>
                <c:pt idx="2">
                  <c:v>Spectrum too broad</c:v>
                </c:pt>
                <c:pt idx="3">
                  <c:v>Spectrum too narrow</c:v>
                </c:pt>
                <c:pt idx="4">
                  <c:v>Incorrect route</c:v>
                </c:pt>
                <c:pt idx="5">
                  <c:v>Microbiology mismatch</c:v>
                </c:pt>
                <c:pt idx="6">
                  <c:v>Allergy mismatch</c:v>
                </c:pt>
              </c:strCache>
            </c:strRef>
          </c:cat>
          <c:val>
            <c:numRef>
              <c:f>'[01122022_Revised_Level D Data_SurgicalNAPS2021_TablesFigures.xlsx]Figure A4.8'!$C$4:$I$4</c:f>
              <c:numCache>
                <c:formatCode>0.0</c:formatCode>
                <c:ptCount val="7"/>
                <c:pt idx="0">
                  <c:v>57.560975609756092</c:v>
                </c:pt>
                <c:pt idx="1">
                  <c:v>34.471544715447152</c:v>
                </c:pt>
                <c:pt idx="2">
                  <c:v>10.731707317073171</c:v>
                </c:pt>
                <c:pt idx="3">
                  <c:v>3.5772357723577239</c:v>
                </c:pt>
                <c:pt idx="4">
                  <c:v>3.4146341463414638</c:v>
                </c:pt>
                <c:pt idx="5">
                  <c:v>1.1382113821138211</c:v>
                </c:pt>
                <c:pt idx="6">
                  <c:v>1.1382113821138211</c:v>
                </c:pt>
              </c:numCache>
            </c:numRef>
          </c:val>
          <c:extLst>
            <c:ext xmlns:c16="http://schemas.microsoft.com/office/drawing/2014/chart" uri="{C3380CC4-5D6E-409C-BE32-E72D297353CC}">
              <c16:uniqueId val="{00000001-C0C6-4BC4-A2D2-21ABD154CD55}"/>
            </c:ext>
          </c:extLst>
        </c:ser>
        <c:ser>
          <c:idx val="2"/>
          <c:order val="2"/>
          <c:tx>
            <c:strRef>
              <c:f>'[01122022_Revised_Level D Data_SurgicalNAPS2021_TablesFigures.xlsx]Figure A4.8'!$B$5</c:f>
              <c:strCache>
                <c:ptCount val="1"/>
                <c:pt idx="0">
                  <c:v>2018</c:v>
                </c:pt>
              </c:strCache>
            </c:strRef>
          </c:tx>
          <c:spPr>
            <a:solidFill>
              <a:schemeClr val="accent4">
                <a:lumMod val="75000"/>
              </a:schemeClr>
            </a:solidFill>
            <a:ln>
              <a:noFill/>
            </a:ln>
            <a:effectLst/>
          </c:spPr>
          <c:invertIfNegative val="0"/>
          <c:cat>
            <c:strRef>
              <c:f>'[01122022_Revised_Level D Data_SurgicalNAPS2021_TablesFigures.xlsx]Figure A4.8'!$C$2:$I$2</c:f>
              <c:strCache>
                <c:ptCount val="7"/>
                <c:pt idx="0">
                  <c:v>Incorrect duration</c:v>
                </c:pt>
                <c:pt idx="1">
                  <c:v>Incorrect dose or frequency</c:v>
                </c:pt>
                <c:pt idx="2">
                  <c:v>Spectrum too broad</c:v>
                </c:pt>
                <c:pt idx="3">
                  <c:v>Spectrum too narrow</c:v>
                </c:pt>
                <c:pt idx="4">
                  <c:v>Incorrect route</c:v>
                </c:pt>
                <c:pt idx="5">
                  <c:v>Microbiology mismatch</c:v>
                </c:pt>
                <c:pt idx="6">
                  <c:v>Allergy mismatch</c:v>
                </c:pt>
              </c:strCache>
            </c:strRef>
          </c:cat>
          <c:val>
            <c:numRef>
              <c:f>'[01122022_Revised_Level D Data_SurgicalNAPS2021_TablesFigures.xlsx]Figure A4.8'!$C$5:$I$5</c:f>
              <c:numCache>
                <c:formatCode>0.0</c:formatCode>
                <c:ptCount val="7"/>
                <c:pt idx="0">
                  <c:v>58.911564625850346</c:v>
                </c:pt>
                <c:pt idx="1">
                  <c:v>37.687074829931973</c:v>
                </c:pt>
                <c:pt idx="2">
                  <c:v>5.0340136054421762</c:v>
                </c:pt>
                <c:pt idx="3">
                  <c:v>2.9931972789115644</c:v>
                </c:pt>
                <c:pt idx="4">
                  <c:v>3.2653061224489797</c:v>
                </c:pt>
                <c:pt idx="5">
                  <c:v>0.54421768707482987</c:v>
                </c:pt>
                <c:pt idx="6">
                  <c:v>0.27210884353741494</c:v>
                </c:pt>
              </c:numCache>
            </c:numRef>
          </c:val>
          <c:extLst>
            <c:ext xmlns:c16="http://schemas.microsoft.com/office/drawing/2014/chart" uri="{C3380CC4-5D6E-409C-BE32-E72D297353CC}">
              <c16:uniqueId val="{00000002-C0C6-4BC4-A2D2-21ABD154CD55}"/>
            </c:ext>
          </c:extLst>
        </c:ser>
        <c:ser>
          <c:idx val="3"/>
          <c:order val="3"/>
          <c:tx>
            <c:strRef>
              <c:f>'[01122022_Revised_Level D Data_SurgicalNAPS2021_TablesFigures.xlsx]Figure A4.8'!$B$6</c:f>
              <c:strCache>
                <c:ptCount val="1"/>
                <c:pt idx="0">
                  <c:v>2019</c:v>
                </c:pt>
              </c:strCache>
            </c:strRef>
          </c:tx>
          <c:spPr>
            <a:solidFill>
              <a:schemeClr val="bg1">
                <a:lumMod val="50000"/>
              </a:schemeClr>
            </a:solidFill>
            <a:ln>
              <a:noFill/>
            </a:ln>
            <a:effectLst/>
          </c:spPr>
          <c:invertIfNegative val="0"/>
          <c:cat>
            <c:strRef>
              <c:f>'[01122022_Revised_Level D Data_SurgicalNAPS2021_TablesFigures.xlsx]Figure A4.8'!$C$2:$I$2</c:f>
              <c:strCache>
                <c:ptCount val="7"/>
                <c:pt idx="0">
                  <c:v>Incorrect duration</c:v>
                </c:pt>
                <c:pt idx="1">
                  <c:v>Incorrect dose or frequency</c:v>
                </c:pt>
                <c:pt idx="2">
                  <c:v>Spectrum too broad</c:v>
                </c:pt>
                <c:pt idx="3">
                  <c:v>Spectrum too narrow</c:v>
                </c:pt>
                <c:pt idx="4">
                  <c:v>Incorrect route</c:v>
                </c:pt>
                <c:pt idx="5">
                  <c:v>Microbiology mismatch</c:v>
                </c:pt>
                <c:pt idx="6">
                  <c:v>Allergy mismatch</c:v>
                </c:pt>
              </c:strCache>
            </c:strRef>
          </c:cat>
          <c:val>
            <c:numRef>
              <c:f>'[01122022_Revised_Level D Data_SurgicalNAPS2021_TablesFigures.xlsx]Figure A4.8'!$C$6:$I$6</c:f>
              <c:numCache>
                <c:formatCode>0.0</c:formatCode>
                <c:ptCount val="7"/>
                <c:pt idx="0">
                  <c:v>60.161507402422608</c:v>
                </c:pt>
                <c:pt idx="1">
                  <c:v>25.57200538358008</c:v>
                </c:pt>
                <c:pt idx="2">
                  <c:v>7.2678331090174968</c:v>
                </c:pt>
                <c:pt idx="3">
                  <c:v>3.9030955585464335</c:v>
                </c:pt>
                <c:pt idx="4">
                  <c:v>0.94212651413189774</c:v>
                </c:pt>
                <c:pt idx="5">
                  <c:v>0.26917900403768508</c:v>
                </c:pt>
                <c:pt idx="6">
                  <c:v>1.4804845222072678</c:v>
                </c:pt>
              </c:numCache>
            </c:numRef>
          </c:val>
          <c:extLst>
            <c:ext xmlns:c16="http://schemas.microsoft.com/office/drawing/2014/chart" uri="{C3380CC4-5D6E-409C-BE32-E72D297353CC}">
              <c16:uniqueId val="{00000003-C0C6-4BC4-A2D2-21ABD154CD55}"/>
            </c:ext>
          </c:extLst>
        </c:ser>
        <c:ser>
          <c:idx val="4"/>
          <c:order val="4"/>
          <c:tx>
            <c:strRef>
              <c:f>'[01122022_Revised_Level D Data_SurgicalNAPS2021_TablesFigures.xlsx]Figure A4.8'!$B$7</c:f>
              <c:strCache>
                <c:ptCount val="1"/>
                <c:pt idx="0">
                  <c:v>2020</c:v>
                </c:pt>
              </c:strCache>
            </c:strRef>
          </c:tx>
          <c:spPr>
            <a:solidFill>
              <a:schemeClr val="accent4"/>
            </a:solidFill>
            <a:ln>
              <a:noFill/>
            </a:ln>
            <a:effectLst/>
          </c:spPr>
          <c:invertIfNegative val="0"/>
          <c:cat>
            <c:strRef>
              <c:f>'[01122022_Revised_Level D Data_SurgicalNAPS2021_TablesFigures.xlsx]Figure A4.8'!$C$2:$I$2</c:f>
              <c:strCache>
                <c:ptCount val="7"/>
                <c:pt idx="0">
                  <c:v>Incorrect duration</c:v>
                </c:pt>
                <c:pt idx="1">
                  <c:v>Incorrect dose or frequency</c:v>
                </c:pt>
                <c:pt idx="2">
                  <c:v>Spectrum too broad</c:v>
                </c:pt>
                <c:pt idx="3">
                  <c:v>Spectrum too narrow</c:v>
                </c:pt>
                <c:pt idx="4">
                  <c:v>Incorrect route</c:v>
                </c:pt>
                <c:pt idx="5">
                  <c:v>Microbiology mismatch</c:v>
                </c:pt>
                <c:pt idx="6">
                  <c:v>Allergy mismatch</c:v>
                </c:pt>
              </c:strCache>
            </c:strRef>
          </c:cat>
          <c:val>
            <c:numRef>
              <c:f>'[01122022_Revised_Level D Data_SurgicalNAPS2021_TablesFigures.xlsx]Figure A4.8'!$C$7:$I$7</c:f>
              <c:numCache>
                <c:formatCode>0.0</c:formatCode>
                <c:ptCount val="7"/>
                <c:pt idx="0">
                  <c:v>72.551130247578044</c:v>
                </c:pt>
                <c:pt idx="1">
                  <c:v>31.754574811625403</c:v>
                </c:pt>
                <c:pt idx="2">
                  <c:v>6.0279870828848221</c:v>
                </c:pt>
                <c:pt idx="3">
                  <c:v>1.9375672766415502</c:v>
                </c:pt>
                <c:pt idx="4">
                  <c:v>0.75349838536060276</c:v>
                </c:pt>
                <c:pt idx="5">
                  <c:v>0.75349838536060276</c:v>
                </c:pt>
                <c:pt idx="6">
                  <c:v>1.5069967707212055</c:v>
                </c:pt>
              </c:numCache>
            </c:numRef>
          </c:val>
          <c:extLst>
            <c:ext xmlns:c16="http://schemas.microsoft.com/office/drawing/2014/chart" uri="{C3380CC4-5D6E-409C-BE32-E72D297353CC}">
              <c16:uniqueId val="{00000004-C0C6-4BC4-A2D2-21ABD154CD55}"/>
            </c:ext>
          </c:extLst>
        </c:ser>
        <c:ser>
          <c:idx val="5"/>
          <c:order val="5"/>
          <c:tx>
            <c:strRef>
              <c:f>'[01122022_Revised_Level D Data_SurgicalNAPS2021_TablesFigures.xlsx]Figure A4.8'!$B$8</c:f>
              <c:strCache>
                <c:ptCount val="1"/>
                <c:pt idx="0">
                  <c:v>2021</c:v>
                </c:pt>
              </c:strCache>
            </c:strRef>
          </c:tx>
          <c:spPr>
            <a:solidFill>
              <a:schemeClr val="accent4">
                <a:lumMod val="50000"/>
              </a:schemeClr>
            </a:solidFill>
            <a:ln>
              <a:noFill/>
            </a:ln>
            <a:effectLst/>
          </c:spPr>
          <c:invertIfNegative val="0"/>
          <c:cat>
            <c:strRef>
              <c:f>'[01122022_Revised_Level D Data_SurgicalNAPS2021_TablesFigures.xlsx]Figure A4.8'!$C$2:$I$2</c:f>
              <c:strCache>
                <c:ptCount val="7"/>
                <c:pt idx="0">
                  <c:v>Incorrect duration</c:v>
                </c:pt>
                <c:pt idx="1">
                  <c:v>Incorrect dose or frequency</c:v>
                </c:pt>
                <c:pt idx="2">
                  <c:v>Spectrum too broad</c:v>
                </c:pt>
                <c:pt idx="3">
                  <c:v>Spectrum too narrow</c:v>
                </c:pt>
                <c:pt idx="4">
                  <c:v>Incorrect route</c:v>
                </c:pt>
                <c:pt idx="5">
                  <c:v>Microbiology mismatch</c:v>
                </c:pt>
                <c:pt idx="6">
                  <c:v>Allergy mismatch</c:v>
                </c:pt>
              </c:strCache>
            </c:strRef>
          </c:cat>
          <c:val>
            <c:numRef>
              <c:f>'[01122022_Revised_Level D Data_SurgicalNAPS2021_TablesFigures.xlsx]Figure A4.8'!$C$8:$I$8</c:f>
              <c:numCache>
                <c:formatCode>0.0</c:formatCode>
                <c:ptCount val="7"/>
                <c:pt idx="0">
                  <c:v>75.041186161449758</c:v>
                </c:pt>
                <c:pt idx="1">
                  <c:v>20.675453047775946</c:v>
                </c:pt>
                <c:pt idx="2">
                  <c:v>15.403624382207578</c:v>
                </c:pt>
                <c:pt idx="3">
                  <c:v>1.8945634266886324</c:v>
                </c:pt>
                <c:pt idx="4">
                  <c:v>0.24711696869851729</c:v>
                </c:pt>
                <c:pt idx="5">
                  <c:v>2.5535420098846786</c:v>
                </c:pt>
                <c:pt idx="6">
                  <c:v>0.41186161449752884</c:v>
                </c:pt>
              </c:numCache>
            </c:numRef>
          </c:val>
          <c:extLst>
            <c:ext xmlns:c16="http://schemas.microsoft.com/office/drawing/2014/chart" uri="{C3380CC4-5D6E-409C-BE32-E72D297353CC}">
              <c16:uniqueId val="{00000005-C0C6-4BC4-A2D2-21ABD154CD55}"/>
            </c:ext>
          </c:extLst>
        </c:ser>
        <c:dLbls>
          <c:showLegendKey val="0"/>
          <c:showVal val="0"/>
          <c:showCatName val="0"/>
          <c:showSerName val="0"/>
          <c:showPercent val="0"/>
          <c:showBubbleSize val="0"/>
        </c:dLbls>
        <c:gapWidth val="219"/>
        <c:overlap val="-27"/>
        <c:axId val="354040008"/>
        <c:axId val="354040400"/>
      </c:barChart>
      <c:catAx>
        <c:axId val="3540400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Year of contribution</a:t>
                </a:r>
              </a:p>
            </c:rich>
          </c:tx>
          <c:layout>
            <c:manualLayout>
              <c:xMode val="edge"/>
              <c:yMode val="edge"/>
              <c:x val="0.44251934582490599"/>
              <c:y val="0.9210163038270746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354040400"/>
        <c:crosses val="autoZero"/>
        <c:auto val="1"/>
        <c:lblAlgn val="ctr"/>
        <c:lblOffset val="100"/>
        <c:noMultiLvlLbl val="0"/>
      </c:catAx>
      <c:valAx>
        <c:axId val="3540404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AU">
                    <a:solidFill>
                      <a:schemeClr val="tx1"/>
                    </a:solidFill>
                  </a:rPr>
                  <a:t>Percentage of prescriptions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4040008"/>
        <c:crosses val="autoZero"/>
        <c:crossBetween val="between"/>
      </c:valAx>
      <c:spPr>
        <a:noFill/>
        <a:ln>
          <a:noFill/>
        </a:ln>
        <a:effectLst/>
      </c:spPr>
    </c:plotArea>
    <c:legend>
      <c:legendPos val="b"/>
      <c:layout>
        <c:manualLayout>
          <c:xMode val="edge"/>
          <c:yMode val="edge"/>
          <c:x val="0.27758631948066265"/>
          <c:y val="0.85608819206423281"/>
          <c:w val="0.43621114404318201"/>
          <c:h val="5.535093376323280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9732930442518216"/>
          <c:y val="2.6411780794311127E-2"/>
          <c:w val="0.56910399827640179"/>
          <c:h val="0.8426501029236062"/>
        </c:manualLayout>
      </c:layout>
      <c:barChart>
        <c:barDir val="bar"/>
        <c:grouping val="clustered"/>
        <c:varyColors val="0"/>
        <c:ser>
          <c:idx val="0"/>
          <c:order val="0"/>
          <c:tx>
            <c:strRef>
              <c:f>'Figure 3'!$B$1:$B$2</c:f>
              <c:strCache>
                <c:ptCount val="2"/>
                <c:pt idx="0">
                  <c:v>Figure 3: Percentage of surgical episodes for each surgical procedure group*, Surgical NAPS contributor facilities, 2021</c:v>
                </c:pt>
                <c:pt idx="1">
                  <c:v>Percentage of episodes (%)</c:v>
                </c:pt>
              </c:strCache>
            </c:strRef>
          </c:tx>
          <c:spPr>
            <a:solidFill>
              <a:schemeClr val="tx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3'!$A$3:$A$17</c:f>
              <c:strCache>
                <c:ptCount val="15"/>
                <c:pt idx="0">
                  <c:v>Orthopaedic surgery (n=2,293)</c:v>
                </c:pt>
                <c:pt idx="1">
                  <c:v>Abdominal surgery (n=1,369)</c:v>
                </c:pt>
                <c:pt idx="2">
                  <c:v>Obstetrics (n=1,180)</c:v>
                </c:pt>
                <c:pt idx="3">
                  <c:v>Plastic and reconstructive surgery (n=1,029)</c:v>
                </c:pt>
                <c:pt idx="4">
                  <c:v>Ophthalmology (n=903)</c:v>
                </c:pt>
                <c:pt idx="5">
                  <c:v>Urological surgery (n=787)</c:v>
                </c:pt>
                <c:pt idx="6">
                  <c:v>Gastrointestinal endoscopic procedures (n=697)</c:v>
                </c:pt>
                <c:pt idx="7">
                  <c:v>Head and neck surgery (n=519)</c:v>
                </c:pt>
                <c:pt idx="8">
                  <c:v>Gynaecological surgery (n=504)</c:v>
                </c:pt>
                <c:pt idx="9">
                  <c:v>Cardiac surgery (n=459)</c:v>
                </c:pt>
                <c:pt idx="10">
                  <c:v>Neurosurgery (n=399)</c:v>
                </c:pt>
                <c:pt idx="11">
                  <c:v>Breast surgery (n=273)</c:v>
                </c:pt>
                <c:pt idx="12">
                  <c:v>Dentoalveolar surgery (n=261)</c:v>
                </c:pt>
                <c:pt idx="13">
                  <c:v>Vascular surgery (n=168)</c:v>
                </c:pt>
                <c:pt idx="14">
                  <c:v>Thoracic surgery (n=86)</c:v>
                </c:pt>
              </c:strCache>
            </c:strRef>
          </c:cat>
          <c:val>
            <c:numRef>
              <c:f>'Figure 3'!$B$3:$B$17</c:f>
              <c:numCache>
                <c:formatCode>0.0</c:formatCode>
                <c:ptCount val="15"/>
                <c:pt idx="0">
                  <c:v>20.979999999999997</c:v>
                </c:pt>
                <c:pt idx="1">
                  <c:v>12.53</c:v>
                </c:pt>
                <c:pt idx="2">
                  <c:v>10.8</c:v>
                </c:pt>
                <c:pt idx="3">
                  <c:v>9.42</c:v>
                </c:pt>
                <c:pt idx="4">
                  <c:v>8.2600000000000016</c:v>
                </c:pt>
                <c:pt idx="5">
                  <c:v>7.1999999999999993</c:v>
                </c:pt>
                <c:pt idx="6">
                  <c:v>6.38</c:v>
                </c:pt>
                <c:pt idx="7">
                  <c:v>4.75</c:v>
                </c:pt>
                <c:pt idx="8">
                  <c:v>4.6100000000000003</c:v>
                </c:pt>
                <c:pt idx="9">
                  <c:v>4.2</c:v>
                </c:pt>
                <c:pt idx="10">
                  <c:v>3.65</c:v>
                </c:pt>
                <c:pt idx="11">
                  <c:v>2.5</c:v>
                </c:pt>
                <c:pt idx="12">
                  <c:v>2.39</c:v>
                </c:pt>
                <c:pt idx="13">
                  <c:v>1.54</c:v>
                </c:pt>
                <c:pt idx="14">
                  <c:v>0.79</c:v>
                </c:pt>
              </c:numCache>
            </c:numRef>
          </c:val>
          <c:extLst>
            <c:ext xmlns:c16="http://schemas.microsoft.com/office/drawing/2014/chart" uri="{C3380CC4-5D6E-409C-BE32-E72D297353CC}">
              <c16:uniqueId val="{00000000-7F91-4A00-9C3A-D9EC132694AB}"/>
            </c:ext>
          </c:extLst>
        </c:ser>
        <c:dLbls>
          <c:showLegendKey val="0"/>
          <c:showVal val="0"/>
          <c:showCatName val="0"/>
          <c:showSerName val="0"/>
          <c:showPercent val="0"/>
          <c:showBubbleSize val="0"/>
        </c:dLbls>
        <c:gapWidth val="182"/>
        <c:axId val="839654072"/>
        <c:axId val="839658776"/>
      </c:barChart>
      <c:catAx>
        <c:axId val="839654072"/>
        <c:scaling>
          <c:orientation val="maxMin"/>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AU" b="1">
                    <a:solidFill>
                      <a:sysClr val="windowText" lastClr="000000"/>
                    </a:solidFill>
                  </a:rPr>
                  <a:t>Procedure group</a:t>
                </a:r>
              </a:p>
            </c:rich>
          </c:tx>
          <c:layout>
            <c:manualLayout>
              <c:xMode val="edge"/>
              <c:yMode val="edge"/>
              <c:x val="1.7344173441734417E-2"/>
              <c:y val="0.35140514652163324"/>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39658776"/>
        <c:crosses val="autoZero"/>
        <c:auto val="1"/>
        <c:lblAlgn val="ctr"/>
        <c:lblOffset val="100"/>
        <c:noMultiLvlLbl val="0"/>
      </c:catAx>
      <c:valAx>
        <c:axId val="839658776"/>
        <c:scaling>
          <c:orientation val="minMax"/>
        </c:scaling>
        <c:delete val="1"/>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b" anchorCtr="1"/>
              <a:lstStyle/>
              <a:p>
                <a:pPr>
                  <a:defRPr sz="1000" b="1" i="0" u="none" strike="noStrike" kern="1200" baseline="0">
                    <a:solidFill>
                      <a:sysClr val="windowText" lastClr="000000"/>
                    </a:solidFill>
                    <a:latin typeface="+mn-lt"/>
                    <a:ea typeface="+mn-ea"/>
                    <a:cs typeface="+mn-cs"/>
                  </a:defRPr>
                </a:pPr>
                <a:r>
                  <a:rPr lang="en-AU" b="1">
                    <a:solidFill>
                      <a:sysClr val="windowText" lastClr="000000"/>
                    </a:solidFill>
                  </a:rPr>
                  <a:t>Percentage of episodes (%)</a:t>
                </a:r>
              </a:p>
            </c:rich>
          </c:tx>
          <c:layout>
            <c:manualLayout>
              <c:xMode val="edge"/>
              <c:yMode val="edge"/>
              <c:x val="0.5619246024740181"/>
              <c:y val="0.89910233341490431"/>
            </c:manualLayout>
          </c:layout>
          <c:overlay val="0"/>
          <c:spPr>
            <a:noFill/>
            <a:ln>
              <a:noFill/>
            </a:ln>
            <a:effectLst/>
          </c:spPr>
          <c:txPr>
            <a:bodyPr rot="0" spcFirstLastPara="1" vertOverflow="ellipsis" vert="horz" wrap="square" anchor="b" anchorCtr="1"/>
            <a:lstStyle/>
            <a:p>
              <a:pPr>
                <a:defRPr sz="1000" b="1" i="0" u="none" strike="noStrike" kern="1200" baseline="0">
                  <a:solidFill>
                    <a:sysClr val="windowText" lastClr="000000"/>
                  </a:solidFill>
                  <a:latin typeface="+mn-lt"/>
                  <a:ea typeface="+mn-ea"/>
                  <a:cs typeface="+mn-cs"/>
                </a:defRPr>
              </a:pPr>
              <a:endParaRPr lang="en-US"/>
            </a:p>
          </c:txPr>
        </c:title>
        <c:numFmt formatCode="0.0" sourceLinked="1"/>
        <c:majorTickMark val="none"/>
        <c:minorTickMark val="none"/>
        <c:tickLblPos val="nextTo"/>
        <c:crossAx val="8396540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spPr>
            <a:solidFill>
              <a:schemeClr val="accent1"/>
            </a:solidFill>
            <a:ln>
              <a:noFill/>
            </a:ln>
            <a:effectLst/>
          </c:spPr>
          <c:invertIfNegative val="0"/>
          <c:dLbls>
            <c:dLbl>
              <c:idx val="0"/>
              <c:layout>
                <c:manualLayout>
                  <c:x val="0"/>
                  <c:y val="-0.3445857889138430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F32-3D4D-B1A7-F3B8B01BDC7A}"/>
                </c:ext>
              </c:extLst>
            </c:dLbl>
            <c:dLbl>
              <c:idx val="1"/>
              <c:layout>
                <c:manualLayout>
                  <c:x val="0"/>
                  <c:y val="-0.1062652667888549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F32-3D4D-B1A7-F3B8B01BDC7A}"/>
                </c:ext>
              </c:extLst>
            </c:dLbl>
            <c:dLbl>
              <c:idx val="4"/>
              <c:layout>
                <c:manualLayout>
                  <c:x val="0"/>
                  <c:y val="-0.1901388116490171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F32-3D4D-B1A7-F3B8B01BDC7A}"/>
                </c:ext>
              </c:extLst>
            </c:dLbl>
            <c:dLbl>
              <c:idx val="5"/>
              <c:layout>
                <c:manualLayout>
                  <c:x val="-1.2398231921797561E-16"/>
                  <c:y val="-3.849610031263534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F32-3D4D-B1A7-F3B8B01BDC7A}"/>
                </c:ext>
              </c:extLst>
            </c:dLbl>
            <c:spPr>
              <a:noFill/>
              <a:ln>
                <a:noFill/>
              </a:ln>
              <a:effectLst/>
            </c:spPr>
            <c:txPr>
              <a:bodyPr rot="0" spcFirstLastPara="1" vertOverflow="ellipsis" horzOverflow="clip" vert="horz" wrap="none" lIns="38100" tIns="0" rIns="38100" bIns="19050" anchor="t"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0"/>
              </c:ext>
            </c:extLst>
          </c:dLbls>
          <c:cat>
            <c:strRef>
              <c:f>'Figure 4'!$D$15:$D$20</c:f>
              <c:strCache>
                <c:ptCount val="6"/>
                <c:pt idx="0">
                  <c:v>Compliant with Therapeutic Guidelines† (n=5,325)</c:v>
                </c:pt>
                <c:pt idx="1">
                  <c:v>Compliant with local guidelines (n=1,230)</c:v>
                </c:pt>
                <c:pt idx="2">
                  <c:v>Directed therapy (n=51)</c:v>
                </c:pt>
                <c:pt idx="3">
                  <c:v>No guidelines available (n=115)</c:v>
                </c:pt>
                <c:pt idx="4">
                  <c:v>Non–compliant with guidelines (n=2,660)</c:v>
                </c:pt>
                <c:pt idx="5">
                  <c:v>Not assessable (n=218)</c:v>
                </c:pt>
              </c:strCache>
            </c:strRef>
          </c:cat>
          <c:val>
            <c:numRef>
              <c:f>'Figure 4'!$E$15:$E$20</c:f>
              <c:numCache>
                <c:formatCode>0.0%</c:formatCode>
                <c:ptCount val="6"/>
                <c:pt idx="0">
                  <c:v>0.55500000000000005</c:v>
                </c:pt>
                <c:pt idx="1">
                  <c:v>0.128</c:v>
                </c:pt>
                <c:pt idx="2">
                  <c:v>5.0000000000000001E-3</c:v>
                </c:pt>
                <c:pt idx="3">
                  <c:v>1.2E-2</c:v>
                </c:pt>
                <c:pt idx="4">
                  <c:v>0.27700000000000002</c:v>
                </c:pt>
                <c:pt idx="5">
                  <c:v>2.3E-2</c:v>
                </c:pt>
              </c:numCache>
            </c:numRef>
          </c:val>
          <c:extLst>
            <c:ext xmlns:c16="http://schemas.microsoft.com/office/drawing/2014/chart" uri="{C3380CC4-5D6E-409C-BE32-E72D297353CC}">
              <c16:uniqueId val="{00000004-9F32-3D4D-B1A7-F3B8B01BDC7A}"/>
            </c:ext>
          </c:extLst>
        </c:ser>
        <c:dLbls>
          <c:showLegendKey val="0"/>
          <c:showVal val="0"/>
          <c:showCatName val="0"/>
          <c:showSerName val="0"/>
          <c:showPercent val="0"/>
          <c:showBubbleSize val="0"/>
        </c:dLbls>
        <c:gapWidth val="150"/>
        <c:overlap val="100"/>
        <c:axId val="1366256592"/>
        <c:axId val="1371105184"/>
      </c:barChart>
      <c:catAx>
        <c:axId val="13662565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000" b="1" i="0" u="none" strike="noStrike" kern="1200" baseline="0">
                    <a:solidFill>
                      <a:sysClr val="windowText" lastClr="000000">
                        <a:lumMod val="65000"/>
                        <a:lumOff val="35000"/>
                      </a:sysClr>
                    </a:solidFill>
                  </a:rPr>
                  <a:t>Compliance with guidelines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1105184"/>
        <c:crosses val="autoZero"/>
        <c:auto val="1"/>
        <c:lblAlgn val="ctr"/>
        <c:lblOffset val="100"/>
        <c:noMultiLvlLbl val="0"/>
      </c:catAx>
      <c:valAx>
        <c:axId val="1371105184"/>
        <c:scaling>
          <c:orientation val="minMax"/>
        </c:scaling>
        <c:delete val="1"/>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000" b="1" i="0" u="none" strike="noStrike" kern="1200" baseline="0">
                    <a:solidFill>
                      <a:sysClr val="windowText" lastClr="000000">
                        <a:lumMod val="65000"/>
                        <a:lumOff val="35000"/>
                      </a:sysClr>
                    </a:solidFill>
                  </a:rPr>
                  <a:t>Percentage of doses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13662565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7'!$A$31:$A$37</c:f>
              <c:strCache>
                <c:ptCount val="7"/>
                <c:pt idx="0">
                  <c:v>Incorrect timing (n=862)</c:v>
                </c:pt>
                <c:pt idx="1">
                  <c:v>Spectrum too broad (n=384)</c:v>
                </c:pt>
                <c:pt idx="2">
                  <c:v>Incorrect dose (n=335)</c:v>
                </c:pt>
                <c:pt idx="3">
                  <c:v>Spectrum too narrow (n=247)</c:v>
                </c:pt>
                <c:pt idx="4">
                  <c:v>Microbiology mismatch (n=45)</c:v>
                </c:pt>
                <c:pt idx="5">
                  <c:v>Incorrect route (n=44)</c:v>
                </c:pt>
                <c:pt idx="6">
                  <c:v>Allergy mismatch (n=22)</c:v>
                </c:pt>
              </c:strCache>
            </c:strRef>
          </c:cat>
          <c:val>
            <c:numRef>
              <c:f>'Figure 7'!$B$31:$B$37</c:f>
              <c:numCache>
                <c:formatCode>0.0</c:formatCode>
                <c:ptCount val="7"/>
                <c:pt idx="0">
                  <c:v>50.2</c:v>
                </c:pt>
                <c:pt idx="1">
                  <c:v>22.4</c:v>
                </c:pt>
                <c:pt idx="2">
                  <c:v>19.5</c:v>
                </c:pt>
                <c:pt idx="3">
                  <c:v>14.4</c:v>
                </c:pt>
                <c:pt idx="4">
                  <c:v>2.6</c:v>
                </c:pt>
                <c:pt idx="5">
                  <c:v>2.6</c:v>
                </c:pt>
                <c:pt idx="6">
                  <c:v>1.3</c:v>
                </c:pt>
              </c:numCache>
            </c:numRef>
          </c:val>
          <c:extLst>
            <c:ext xmlns:c16="http://schemas.microsoft.com/office/drawing/2014/chart" uri="{C3380CC4-5D6E-409C-BE32-E72D297353CC}">
              <c16:uniqueId val="{00000000-4499-A14D-9014-0F0EB70FFC82}"/>
            </c:ext>
          </c:extLst>
        </c:ser>
        <c:dLbls>
          <c:showLegendKey val="0"/>
          <c:showVal val="0"/>
          <c:showCatName val="0"/>
          <c:showSerName val="0"/>
          <c:showPercent val="0"/>
          <c:showBubbleSize val="0"/>
        </c:dLbls>
        <c:gapWidth val="50"/>
        <c:overlap val="-27"/>
        <c:axId val="837094704"/>
        <c:axId val="837090392"/>
      </c:barChart>
      <c:catAx>
        <c:axId val="837094704"/>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AU" b="1">
                    <a:solidFill>
                      <a:sysClr val="windowText" lastClr="000000"/>
                    </a:solidFill>
                  </a:rPr>
                  <a:t>Reasons for inappropriate prescribing</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37090392"/>
        <c:crosses val="autoZero"/>
        <c:auto val="1"/>
        <c:lblAlgn val="ctr"/>
        <c:lblOffset val="100"/>
        <c:noMultiLvlLbl val="0"/>
      </c:catAx>
      <c:valAx>
        <c:axId val="837090392"/>
        <c:scaling>
          <c:orientation val="minMax"/>
        </c:scaling>
        <c:delete val="1"/>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b="1">
                    <a:solidFill>
                      <a:sysClr val="windowText" lastClr="000000"/>
                    </a:solidFill>
                  </a:rPr>
                  <a:t>Percentage of doses (%)</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0.0" sourceLinked="1"/>
        <c:majorTickMark val="none"/>
        <c:minorTickMark val="none"/>
        <c:tickLblPos val="nextTo"/>
        <c:crossAx val="8370947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8'!$A$11:$A$17</c:f>
              <c:strCache>
                <c:ptCount val="7"/>
                <c:pt idx="0">
                  <c:v>Incorrect duration (n=911)</c:v>
                </c:pt>
                <c:pt idx="1">
                  <c:v>Incorrect dose or frequency (n=251)</c:v>
                </c:pt>
                <c:pt idx="2">
                  <c:v>Spectrum too broad (n=187)</c:v>
                </c:pt>
                <c:pt idx="3">
                  <c:v>Microbiology mismatch (n=31)</c:v>
                </c:pt>
                <c:pt idx="4">
                  <c:v>Spectrum too narrow (n=23)</c:v>
                </c:pt>
                <c:pt idx="5">
                  <c:v>Allergy mismatch (n=5)</c:v>
                </c:pt>
                <c:pt idx="6">
                  <c:v>Incorrect route (n=3)</c:v>
                </c:pt>
              </c:strCache>
            </c:strRef>
          </c:cat>
          <c:val>
            <c:numRef>
              <c:f>'Figure 8'!$B$11:$B$17</c:f>
              <c:numCache>
                <c:formatCode>General</c:formatCode>
                <c:ptCount val="7"/>
                <c:pt idx="0" formatCode="0.0">
                  <c:v>75</c:v>
                </c:pt>
                <c:pt idx="1">
                  <c:v>20.7</c:v>
                </c:pt>
                <c:pt idx="2">
                  <c:v>15.4</c:v>
                </c:pt>
                <c:pt idx="3">
                  <c:v>2.6</c:v>
                </c:pt>
                <c:pt idx="4">
                  <c:v>1.9</c:v>
                </c:pt>
                <c:pt idx="5">
                  <c:v>0.4</c:v>
                </c:pt>
                <c:pt idx="6">
                  <c:v>0.2</c:v>
                </c:pt>
              </c:numCache>
            </c:numRef>
          </c:val>
          <c:extLst>
            <c:ext xmlns:c16="http://schemas.microsoft.com/office/drawing/2014/chart" uri="{C3380CC4-5D6E-409C-BE32-E72D297353CC}">
              <c16:uniqueId val="{00000000-616A-45BF-844B-60F35458C428}"/>
            </c:ext>
          </c:extLst>
        </c:ser>
        <c:dLbls>
          <c:dLblPos val="outEnd"/>
          <c:showLegendKey val="0"/>
          <c:showVal val="1"/>
          <c:showCatName val="0"/>
          <c:showSerName val="0"/>
          <c:showPercent val="0"/>
          <c:showBubbleSize val="0"/>
        </c:dLbls>
        <c:gapWidth val="219"/>
        <c:overlap val="-27"/>
        <c:axId val="351576440"/>
        <c:axId val="351582712"/>
      </c:barChart>
      <c:catAx>
        <c:axId val="3515764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b="1">
                    <a:solidFill>
                      <a:sysClr val="windowText" lastClr="000000"/>
                    </a:solidFill>
                  </a:rPr>
                  <a:t>Reasons for inappropriate prescribing</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51582712"/>
        <c:crosses val="autoZero"/>
        <c:auto val="1"/>
        <c:lblAlgn val="ctr"/>
        <c:lblOffset val="100"/>
        <c:noMultiLvlLbl val="0"/>
      </c:catAx>
      <c:valAx>
        <c:axId val="351582712"/>
        <c:scaling>
          <c:orientation val="minMax"/>
        </c:scaling>
        <c:delete val="1"/>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b="1">
                    <a:solidFill>
                      <a:sysClr val="windowText" lastClr="000000"/>
                    </a:solidFill>
                  </a:rPr>
                  <a:t>Percentage of prescriptions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3515764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'Figure A2.1'!$A$4</c:f>
              <c:strCache>
                <c:ptCount val="1"/>
                <c:pt idx="0">
                  <c:v>ACT</c:v>
                </c:pt>
              </c:strCache>
            </c:strRef>
          </c:tx>
          <c:spPr>
            <a:ln w="28575" cap="rnd">
              <a:solidFill>
                <a:schemeClr val="accent1"/>
              </a:solidFill>
              <a:round/>
            </a:ln>
            <a:effectLst/>
          </c:spPr>
          <c:marker>
            <c:symbol val="none"/>
          </c:marker>
          <c:cat>
            <c:numRef>
              <c:f>'Figure A2.1'!$B$3:$G$3</c:f>
              <c:numCache>
                <c:formatCode>General</c:formatCode>
                <c:ptCount val="6"/>
                <c:pt idx="0">
                  <c:v>2016</c:v>
                </c:pt>
                <c:pt idx="1">
                  <c:v>2017</c:v>
                </c:pt>
                <c:pt idx="2">
                  <c:v>2018</c:v>
                </c:pt>
                <c:pt idx="3">
                  <c:v>2019</c:v>
                </c:pt>
                <c:pt idx="4">
                  <c:v>2020</c:v>
                </c:pt>
                <c:pt idx="5">
                  <c:v>2021</c:v>
                </c:pt>
              </c:numCache>
            </c:numRef>
          </c:cat>
          <c:val>
            <c:numRef>
              <c:f>'Figure A2.1'!$B$4:$G$4</c:f>
              <c:numCache>
                <c:formatCode>0.0</c:formatCode>
                <c:ptCount val="6"/>
                <c:pt idx="0">
                  <c:v>10</c:v>
                </c:pt>
                <c:pt idx="1">
                  <c:v>0</c:v>
                </c:pt>
                <c:pt idx="2">
                  <c:v>30</c:v>
                </c:pt>
                <c:pt idx="3">
                  <c:v>10</c:v>
                </c:pt>
                <c:pt idx="4">
                  <c:v>10</c:v>
                </c:pt>
                <c:pt idx="5">
                  <c:v>20</c:v>
                </c:pt>
              </c:numCache>
            </c:numRef>
          </c:val>
          <c:smooth val="0"/>
          <c:extLst>
            <c:ext xmlns:c16="http://schemas.microsoft.com/office/drawing/2014/chart" uri="{C3380CC4-5D6E-409C-BE32-E72D297353CC}">
              <c16:uniqueId val="{00000000-F4F9-49BC-9130-3062F2D39AB7}"/>
            </c:ext>
          </c:extLst>
        </c:ser>
        <c:ser>
          <c:idx val="1"/>
          <c:order val="1"/>
          <c:tx>
            <c:strRef>
              <c:f>'Figure A2.1'!$A$5</c:f>
              <c:strCache>
                <c:ptCount val="1"/>
                <c:pt idx="0">
                  <c:v>NSW</c:v>
                </c:pt>
              </c:strCache>
            </c:strRef>
          </c:tx>
          <c:spPr>
            <a:ln w="28575" cap="rnd">
              <a:solidFill>
                <a:schemeClr val="accent2"/>
              </a:solidFill>
              <a:round/>
            </a:ln>
            <a:effectLst/>
          </c:spPr>
          <c:marker>
            <c:symbol val="none"/>
          </c:marker>
          <c:cat>
            <c:numRef>
              <c:f>'Figure A2.1'!$B$3:$G$3</c:f>
              <c:numCache>
                <c:formatCode>General</c:formatCode>
                <c:ptCount val="6"/>
                <c:pt idx="0">
                  <c:v>2016</c:v>
                </c:pt>
                <c:pt idx="1">
                  <c:v>2017</c:v>
                </c:pt>
                <c:pt idx="2">
                  <c:v>2018</c:v>
                </c:pt>
                <c:pt idx="3">
                  <c:v>2019</c:v>
                </c:pt>
                <c:pt idx="4">
                  <c:v>2020</c:v>
                </c:pt>
                <c:pt idx="5">
                  <c:v>2021</c:v>
                </c:pt>
              </c:numCache>
            </c:numRef>
          </c:cat>
          <c:val>
            <c:numRef>
              <c:f>'Figure A2.1'!$B$5:$G$5</c:f>
              <c:numCache>
                <c:formatCode>0.0</c:formatCode>
                <c:ptCount val="6"/>
                <c:pt idx="0">
                  <c:v>6.0498220640569391</c:v>
                </c:pt>
                <c:pt idx="1">
                  <c:v>12.099644128113878</c:v>
                </c:pt>
                <c:pt idx="2">
                  <c:v>14.23487544483986</c:v>
                </c:pt>
                <c:pt idx="3">
                  <c:v>17.437722419928825</c:v>
                </c:pt>
                <c:pt idx="4">
                  <c:v>19.217081850533805</c:v>
                </c:pt>
                <c:pt idx="5">
                  <c:v>19.217081850533805</c:v>
                </c:pt>
              </c:numCache>
            </c:numRef>
          </c:val>
          <c:smooth val="0"/>
          <c:extLst>
            <c:ext xmlns:c16="http://schemas.microsoft.com/office/drawing/2014/chart" uri="{C3380CC4-5D6E-409C-BE32-E72D297353CC}">
              <c16:uniqueId val="{00000001-F4F9-49BC-9130-3062F2D39AB7}"/>
            </c:ext>
          </c:extLst>
        </c:ser>
        <c:ser>
          <c:idx val="2"/>
          <c:order val="2"/>
          <c:tx>
            <c:strRef>
              <c:f>'Figure A2.1'!$A$6</c:f>
              <c:strCache>
                <c:ptCount val="1"/>
                <c:pt idx="0">
                  <c:v>NT</c:v>
                </c:pt>
              </c:strCache>
            </c:strRef>
          </c:tx>
          <c:spPr>
            <a:ln w="28575" cap="rnd">
              <a:solidFill>
                <a:schemeClr val="accent3"/>
              </a:solidFill>
              <a:round/>
            </a:ln>
            <a:effectLst/>
          </c:spPr>
          <c:marker>
            <c:symbol val="none"/>
          </c:marker>
          <c:cat>
            <c:numRef>
              <c:f>'Figure A2.1'!$B$3:$G$3</c:f>
              <c:numCache>
                <c:formatCode>General</c:formatCode>
                <c:ptCount val="6"/>
                <c:pt idx="0">
                  <c:v>2016</c:v>
                </c:pt>
                <c:pt idx="1">
                  <c:v>2017</c:v>
                </c:pt>
                <c:pt idx="2">
                  <c:v>2018</c:v>
                </c:pt>
                <c:pt idx="3">
                  <c:v>2019</c:v>
                </c:pt>
                <c:pt idx="4">
                  <c:v>2020</c:v>
                </c:pt>
                <c:pt idx="5">
                  <c:v>2021</c:v>
                </c:pt>
              </c:numCache>
            </c:numRef>
          </c:cat>
          <c:val>
            <c:numRef>
              <c:f>'Figure A2.1'!$B$6:$G$6</c:f>
              <c:numCache>
                <c:formatCode>0.0</c:formatCode>
                <c:ptCount val="6"/>
                <c:pt idx="0">
                  <c:v>0</c:v>
                </c:pt>
                <c:pt idx="1">
                  <c:v>14.285714285714285</c:v>
                </c:pt>
                <c:pt idx="2">
                  <c:v>14.285714285714285</c:v>
                </c:pt>
                <c:pt idx="3">
                  <c:v>28.571428571428569</c:v>
                </c:pt>
                <c:pt idx="4">
                  <c:v>28.571428571428569</c:v>
                </c:pt>
                <c:pt idx="5">
                  <c:v>14.285714285714285</c:v>
                </c:pt>
              </c:numCache>
            </c:numRef>
          </c:val>
          <c:smooth val="0"/>
          <c:extLst>
            <c:ext xmlns:c16="http://schemas.microsoft.com/office/drawing/2014/chart" uri="{C3380CC4-5D6E-409C-BE32-E72D297353CC}">
              <c16:uniqueId val="{00000002-F4F9-49BC-9130-3062F2D39AB7}"/>
            </c:ext>
          </c:extLst>
        </c:ser>
        <c:ser>
          <c:idx val="3"/>
          <c:order val="3"/>
          <c:tx>
            <c:strRef>
              <c:f>'Figure A2.1'!$A$7</c:f>
              <c:strCache>
                <c:ptCount val="1"/>
                <c:pt idx="0">
                  <c:v>Qld</c:v>
                </c:pt>
              </c:strCache>
            </c:strRef>
          </c:tx>
          <c:spPr>
            <a:ln w="28575" cap="rnd">
              <a:solidFill>
                <a:schemeClr val="accent4"/>
              </a:solidFill>
              <a:round/>
            </a:ln>
            <a:effectLst/>
          </c:spPr>
          <c:marker>
            <c:symbol val="none"/>
          </c:marker>
          <c:cat>
            <c:numRef>
              <c:f>'Figure A2.1'!$B$3:$G$3</c:f>
              <c:numCache>
                <c:formatCode>General</c:formatCode>
                <c:ptCount val="6"/>
                <c:pt idx="0">
                  <c:v>2016</c:v>
                </c:pt>
                <c:pt idx="1">
                  <c:v>2017</c:v>
                </c:pt>
                <c:pt idx="2">
                  <c:v>2018</c:v>
                </c:pt>
                <c:pt idx="3">
                  <c:v>2019</c:v>
                </c:pt>
                <c:pt idx="4">
                  <c:v>2020</c:v>
                </c:pt>
                <c:pt idx="5">
                  <c:v>2021</c:v>
                </c:pt>
              </c:numCache>
            </c:numRef>
          </c:cat>
          <c:val>
            <c:numRef>
              <c:f>'Figure A2.1'!$B$7:$G$7</c:f>
              <c:numCache>
                <c:formatCode>0.0</c:formatCode>
                <c:ptCount val="6"/>
                <c:pt idx="0">
                  <c:v>11.173184357541899</c:v>
                </c:pt>
                <c:pt idx="1">
                  <c:v>7.8212290502793298</c:v>
                </c:pt>
                <c:pt idx="2">
                  <c:v>6.7039106145251397</c:v>
                </c:pt>
                <c:pt idx="3">
                  <c:v>11.173184357541899</c:v>
                </c:pt>
                <c:pt idx="4">
                  <c:v>12.290502793296088</c:v>
                </c:pt>
                <c:pt idx="5">
                  <c:v>13.966480446927374</c:v>
                </c:pt>
              </c:numCache>
            </c:numRef>
          </c:val>
          <c:smooth val="0"/>
          <c:extLst>
            <c:ext xmlns:c16="http://schemas.microsoft.com/office/drawing/2014/chart" uri="{C3380CC4-5D6E-409C-BE32-E72D297353CC}">
              <c16:uniqueId val="{00000003-F4F9-49BC-9130-3062F2D39AB7}"/>
            </c:ext>
          </c:extLst>
        </c:ser>
        <c:ser>
          <c:idx val="4"/>
          <c:order val="4"/>
          <c:tx>
            <c:strRef>
              <c:f>'Figure A2.1'!$A$8</c:f>
              <c:strCache>
                <c:ptCount val="1"/>
                <c:pt idx="0">
                  <c:v>SA</c:v>
                </c:pt>
              </c:strCache>
            </c:strRef>
          </c:tx>
          <c:spPr>
            <a:ln w="28575" cap="rnd">
              <a:solidFill>
                <a:schemeClr val="accent5"/>
              </a:solidFill>
              <a:round/>
            </a:ln>
            <a:effectLst/>
          </c:spPr>
          <c:marker>
            <c:symbol val="none"/>
          </c:marker>
          <c:cat>
            <c:numRef>
              <c:f>'Figure A2.1'!$B$3:$G$3</c:f>
              <c:numCache>
                <c:formatCode>General</c:formatCode>
                <c:ptCount val="6"/>
                <c:pt idx="0">
                  <c:v>2016</c:v>
                </c:pt>
                <c:pt idx="1">
                  <c:v>2017</c:v>
                </c:pt>
                <c:pt idx="2">
                  <c:v>2018</c:v>
                </c:pt>
                <c:pt idx="3">
                  <c:v>2019</c:v>
                </c:pt>
                <c:pt idx="4">
                  <c:v>2020</c:v>
                </c:pt>
                <c:pt idx="5">
                  <c:v>2021</c:v>
                </c:pt>
              </c:numCache>
            </c:numRef>
          </c:cat>
          <c:val>
            <c:numRef>
              <c:f>'Figure A2.1'!$B$8:$G$8</c:f>
              <c:numCache>
                <c:formatCode>0.0</c:formatCode>
                <c:ptCount val="6"/>
                <c:pt idx="0">
                  <c:v>6.3157894736842106</c:v>
                </c:pt>
                <c:pt idx="1">
                  <c:v>10.526315789473683</c:v>
                </c:pt>
                <c:pt idx="2">
                  <c:v>7.3684210526315779</c:v>
                </c:pt>
                <c:pt idx="3">
                  <c:v>9.4736842105263168</c:v>
                </c:pt>
                <c:pt idx="4">
                  <c:v>17.894736842105264</c:v>
                </c:pt>
                <c:pt idx="5">
                  <c:v>15.789473684210526</c:v>
                </c:pt>
              </c:numCache>
            </c:numRef>
          </c:val>
          <c:smooth val="0"/>
          <c:extLst>
            <c:ext xmlns:c16="http://schemas.microsoft.com/office/drawing/2014/chart" uri="{C3380CC4-5D6E-409C-BE32-E72D297353CC}">
              <c16:uniqueId val="{00000004-F4F9-49BC-9130-3062F2D39AB7}"/>
            </c:ext>
          </c:extLst>
        </c:ser>
        <c:ser>
          <c:idx val="5"/>
          <c:order val="5"/>
          <c:tx>
            <c:strRef>
              <c:f>'Figure A2.1'!$A$9</c:f>
              <c:strCache>
                <c:ptCount val="1"/>
                <c:pt idx="0">
                  <c:v>Tas</c:v>
                </c:pt>
              </c:strCache>
            </c:strRef>
          </c:tx>
          <c:spPr>
            <a:ln w="28575" cap="rnd">
              <a:solidFill>
                <a:schemeClr val="accent6"/>
              </a:solidFill>
              <a:round/>
            </a:ln>
            <a:effectLst/>
          </c:spPr>
          <c:marker>
            <c:symbol val="none"/>
          </c:marker>
          <c:cat>
            <c:numRef>
              <c:f>'Figure A2.1'!$B$3:$G$3</c:f>
              <c:numCache>
                <c:formatCode>General</c:formatCode>
                <c:ptCount val="6"/>
                <c:pt idx="0">
                  <c:v>2016</c:v>
                </c:pt>
                <c:pt idx="1">
                  <c:v>2017</c:v>
                </c:pt>
                <c:pt idx="2">
                  <c:v>2018</c:v>
                </c:pt>
                <c:pt idx="3">
                  <c:v>2019</c:v>
                </c:pt>
                <c:pt idx="4">
                  <c:v>2020</c:v>
                </c:pt>
                <c:pt idx="5">
                  <c:v>2021</c:v>
                </c:pt>
              </c:numCache>
            </c:numRef>
          </c:cat>
          <c:val>
            <c:numRef>
              <c:f>'Figure A2.1'!$B$9:$G$9</c:f>
              <c:numCache>
                <c:formatCode>0.0</c:formatCode>
                <c:ptCount val="6"/>
                <c:pt idx="0">
                  <c:v>5</c:v>
                </c:pt>
                <c:pt idx="1">
                  <c:v>5</c:v>
                </c:pt>
                <c:pt idx="2">
                  <c:v>0</c:v>
                </c:pt>
                <c:pt idx="3">
                  <c:v>0</c:v>
                </c:pt>
                <c:pt idx="4">
                  <c:v>15</c:v>
                </c:pt>
                <c:pt idx="5">
                  <c:v>10</c:v>
                </c:pt>
              </c:numCache>
            </c:numRef>
          </c:val>
          <c:smooth val="0"/>
          <c:extLst>
            <c:ext xmlns:c16="http://schemas.microsoft.com/office/drawing/2014/chart" uri="{C3380CC4-5D6E-409C-BE32-E72D297353CC}">
              <c16:uniqueId val="{00000005-F4F9-49BC-9130-3062F2D39AB7}"/>
            </c:ext>
          </c:extLst>
        </c:ser>
        <c:ser>
          <c:idx val="6"/>
          <c:order val="6"/>
          <c:tx>
            <c:strRef>
              <c:f>'Figure A2.1'!$A$10</c:f>
              <c:strCache>
                <c:ptCount val="1"/>
                <c:pt idx="0">
                  <c:v>Vic</c:v>
                </c:pt>
              </c:strCache>
            </c:strRef>
          </c:tx>
          <c:spPr>
            <a:ln w="28575" cap="rnd">
              <a:solidFill>
                <a:schemeClr val="accent1">
                  <a:lumMod val="60000"/>
                </a:schemeClr>
              </a:solidFill>
              <a:round/>
            </a:ln>
            <a:effectLst/>
          </c:spPr>
          <c:marker>
            <c:symbol val="none"/>
          </c:marker>
          <c:cat>
            <c:numRef>
              <c:f>'Figure A2.1'!$B$3:$G$3</c:f>
              <c:numCache>
                <c:formatCode>General</c:formatCode>
                <c:ptCount val="6"/>
                <c:pt idx="0">
                  <c:v>2016</c:v>
                </c:pt>
                <c:pt idx="1">
                  <c:v>2017</c:v>
                </c:pt>
                <c:pt idx="2">
                  <c:v>2018</c:v>
                </c:pt>
                <c:pt idx="3">
                  <c:v>2019</c:v>
                </c:pt>
                <c:pt idx="4">
                  <c:v>2020</c:v>
                </c:pt>
                <c:pt idx="5">
                  <c:v>2021</c:v>
                </c:pt>
              </c:numCache>
            </c:numRef>
          </c:cat>
          <c:val>
            <c:numRef>
              <c:f>'Figure A2.1'!$B$10:$G$10</c:f>
              <c:numCache>
                <c:formatCode>0.0</c:formatCode>
                <c:ptCount val="6"/>
                <c:pt idx="0">
                  <c:v>14.213197969543149</c:v>
                </c:pt>
                <c:pt idx="1">
                  <c:v>17.766497461928935</c:v>
                </c:pt>
                <c:pt idx="2">
                  <c:v>14.213197969543149</c:v>
                </c:pt>
                <c:pt idx="3">
                  <c:v>23.350253807106601</c:v>
                </c:pt>
                <c:pt idx="4">
                  <c:v>18.781725888324875</c:v>
                </c:pt>
                <c:pt idx="5">
                  <c:v>29.949238578680205</c:v>
                </c:pt>
              </c:numCache>
            </c:numRef>
          </c:val>
          <c:smooth val="0"/>
          <c:extLst>
            <c:ext xmlns:c16="http://schemas.microsoft.com/office/drawing/2014/chart" uri="{C3380CC4-5D6E-409C-BE32-E72D297353CC}">
              <c16:uniqueId val="{00000006-F4F9-49BC-9130-3062F2D39AB7}"/>
            </c:ext>
          </c:extLst>
        </c:ser>
        <c:ser>
          <c:idx val="7"/>
          <c:order val="7"/>
          <c:tx>
            <c:strRef>
              <c:f>'Figure A2.1'!$A$11</c:f>
              <c:strCache>
                <c:ptCount val="1"/>
                <c:pt idx="0">
                  <c:v>WA</c:v>
                </c:pt>
              </c:strCache>
            </c:strRef>
          </c:tx>
          <c:spPr>
            <a:ln w="28575" cap="rnd">
              <a:solidFill>
                <a:schemeClr val="accent2">
                  <a:lumMod val="60000"/>
                </a:schemeClr>
              </a:solidFill>
              <a:round/>
            </a:ln>
            <a:effectLst/>
          </c:spPr>
          <c:marker>
            <c:symbol val="none"/>
          </c:marker>
          <c:cat>
            <c:numRef>
              <c:f>'Figure A2.1'!$B$3:$G$3</c:f>
              <c:numCache>
                <c:formatCode>General</c:formatCode>
                <c:ptCount val="6"/>
                <c:pt idx="0">
                  <c:v>2016</c:v>
                </c:pt>
                <c:pt idx="1">
                  <c:v>2017</c:v>
                </c:pt>
                <c:pt idx="2">
                  <c:v>2018</c:v>
                </c:pt>
                <c:pt idx="3">
                  <c:v>2019</c:v>
                </c:pt>
                <c:pt idx="4">
                  <c:v>2020</c:v>
                </c:pt>
                <c:pt idx="5">
                  <c:v>2021</c:v>
                </c:pt>
              </c:numCache>
            </c:numRef>
          </c:cat>
          <c:val>
            <c:numRef>
              <c:f>'Figure A2.1'!$B$11:$G$11</c:f>
              <c:numCache>
                <c:formatCode>0.0</c:formatCode>
                <c:ptCount val="6"/>
                <c:pt idx="0">
                  <c:v>13.414634146341465</c:v>
                </c:pt>
                <c:pt idx="1">
                  <c:v>18.292682926829269</c:v>
                </c:pt>
                <c:pt idx="2">
                  <c:v>29.268292682926827</c:v>
                </c:pt>
                <c:pt idx="3">
                  <c:v>28.04878048780488</c:v>
                </c:pt>
                <c:pt idx="4">
                  <c:v>25.609756097560975</c:v>
                </c:pt>
                <c:pt idx="5">
                  <c:v>28.04878048780488</c:v>
                </c:pt>
              </c:numCache>
            </c:numRef>
          </c:val>
          <c:smooth val="0"/>
          <c:extLst>
            <c:ext xmlns:c16="http://schemas.microsoft.com/office/drawing/2014/chart" uri="{C3380CC4-5D6E-409C-BE32-E72D297353CC}">
              <c16:uniqueId val="{00000007-F4F9-49BC-9130-3062F2D39AB7}"/>
            </c:ext>
          </c:extLst>
        </c:ser>
        <c:dLbls>
          <c:showLegendKey val="0"/>
          <c:showVal val="0"/>
          <c:showCatName val="0"/>
          <c:showSerName val="0"/>
          <c:showPercent val="0"/>
          <c:showBubbleSize val="0"/>
        </c:dLbls>
        <c:smooth val="0"/>
        <c:axId val="351579968"/>
        <c:axId val="351580752"/>
      </c:lineChart>
      <c:catAx>
        <c:axId val="3515799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Year of contribution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1580752"/>
        <c:crossesAt val="0"/>
        <c:auto val="1"/>
        <c:lblAlgn val="ctr"/>
        <c:lblOffset val="100"/>
        <c:noMultiLvlLbl val="0"/>
      </c:catAx>
      <c:valAx>
        <c:axId val="3515807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Percentage contribution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157996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'[Level D Data_SurgicalNAPS2021_TablesFigures_Table3Updated_23012023_Fig5Updated_09032023.xlsx]Figure A2.2'!$B$3</c:f>
              <c:strCache>
                <c:ptCount val="1"/>
                <c:pt idx="0">
                  <c:v>Public hospitals</c:v>
                </c:pt>
              </c:strCache>
            </c:strRef>
          </c:tx>
          <c:spPr>
            <a:ln w="28575" cap="rnd">
              <a:solidFill>
                <a:schemeClr val="bg1"/>
              </a:solidFill>
              <a:round/>
            </a:ln>
            <a:effectLst/>
          </c:spPr>
          <c:marker>
            <c:symbol val="none"/>
          </c:marker>
          <c:cat>
            <c:numRef>
              <c:f>'[Level D Data_SurgicalNAPS2021_TablesFigures_Table3Updated_23012023_Fig5Updated_09032023.xlsx]Figure A2.2'!$C$2:$H$2</c:f>
              <c:numCache>
                <c:formatCode>General</c:formatCode>
                <c:ptCount val="6"/>
                <c:pt idx="0">
                  <c:v>2016</c:v>
                </c:pt>
                <c:pt idx="1">
                  <c:v>2017</c:v>
                </c:pt>
                <c:pt idx="2">
                  <c:v>2018</c:v>
                </c:pt>
                <c:pt idx="3">
                  <c:v>2019</c:v>
                </c:pt>
                <c:pt idx="4">
                  <c:v>2020</c:v>
                </c:pt>
                <c:pt idx="5">
                  <c:v>2021</c:v>
                </c:pt>
              </c:numCache>
            </c:numRef>
          </c:cat>
          <c:val>
            <c:numRef>
              <c:f>'[Level D Data_SurgicalNAPS2021_TablesFigures_Table3Updated_23012023_Fig5Updated_09032023.xlsx]Figure A2.2'!$C$3:$H$3</c:f>
              <c:numCache>
                <c:formatCode>General</c:formatCode>
                <c:ptCount val="6"/>
              </c:numCache>
            </c:numRef>
          </c:val>
          <c:smooth val="0"/>
          <c:extLst>
            <c:ext xmlns:c16="http://schemas.microsoft.com/office/drawing/2014/chart" uri="{C3380CC4-5D6E-409C-BE32-E72D297353CC}">
              <c16:uniqueId val="{00000000-1746-404C-A8B0-0CF6B44A00E9}"/>
            </c:ext>
          </c:extLst>
        </c:ser>
        <c:ser>
          <c:idx val="1"/>
          <c:order val="1"/>
          <c:tx>
            <c:strRef>
              <c:f>'[Level D Data_SurgicalNAPS2021_TablesFigures_Table3Updated_23012023_Fig5Updated_09032023.xlsx]Figure A2.2'!$B$4</c:f>
              <c:strCache>
                <c:ptCount val="1"/>
                <c:pt idx="0">
                  <c:v>Principal referral</c:v>
                </c:pt>
              </c:strCache>
            </c:strRef>
          </c:tx>
          <c:spPr>
            <a:ln w="28575" cap="rnd">
              <a:solidFill>
                <a:schemeClr val="accent2"/>
              </a:solidFill>
              <a:round/>
            </a:ln>
            <a:effectLst/>
          </c:spPr>
          <c:marker>
            <c:symbol val="none"/>
          </c:marker>
          <c:cat>
            <c:numRef>
              <c:f>'[Level D Data_SurgicalNAPS2021_TablesFigures_Table3Updated_23012023_Fig5Updated_09032023.xlsx]Figure A2.2'!$C$2:$H$2</c:f>
              <c:numCache>
                <c:formatCode>General</c:formatCode>
                <c:ptCount val="6"/>
                <c:pt idx="0">
                  <c:v>2016</c:v>
                </c:pt>
                <c:pt idx="1">
                  <c:v>2017</c:v>
                </c:pt>
                <c:pt idx="2">
                  <c:v>2018</c:v>
                </c:pt>
                <c:pt idx="3">
                  <c:v>2019</c:v>
                </c:pt>
                <c:pt idx="4">
                  <c:v>2020</c:v>
                </c:pt>
                <c:pt idx="5">
                  <c:v>2021</c:v>
                </c:pt>
              </c:numCache>
            </c:numRef>
          </c:cat>
          <c:val>
            <c:numRef>
              <c:f>'[Level D Data_SurgicalNAPS2021_TablesFigures_Table3Updated_23012023_Fig5Updated_09032023.xlsx]Figure A2.2'!$C$4:$H$4</c:f>
              <c:numCache>
                <c:formatCode>0.0</c:formatCode>
                <c:ptCount val="6"/>
                <c:pt idx="0">
                  <c:v>27.586206896551722</c:v>
                </c:pt>
                <c:pt idx="1">
                  <c:v>44.827586206896555</c:v>
                </c:pt>
                <c:pt idx="2">
                  <c:v>41.379310344827587</c:v>
                </c:pt>
                <c:pt idx="3">
                  <c:v>48.275862068965516</c:v>
                </c:pt>
                <c:pt idx="4">
                  <c:v>37.931034482758619</c:v>
                </c:pt>
                <c:pt idx="5">
                  <c:v>31.03448275862069</c:v>
                </c:pt>
              </c:numCache>
            </c:numRef>
          </c:val>
          <c:smooth val="0"/>
          <c:extLst>
            <c:ext xmlns:c16="http://schemas.microsoft.com/office/drawing/2014/chart" uri="{C3380CC4-5D6E-409C-BE32-E72D297353CC}">
              <c16:uniqueId val="{00000001-1746-404C-A8B0-0CF6B44A00E9}"/>
            </c:ext>
          </c:extLst>
        </c:ser>
        <c:ser>
          <c:idx val="2"/>
          <c:order val="2"/>
          <c:tx>
            <c:strRef>
              <c:f>'[Level D Data_SurgicalNAPS2021_TablesFigures_Table3Updated_23012023_Fig5Updated_09032023.xlsx]Figure A2.2'!$B$5</c:f>
              <c:strCache>
                <c:ptCount val="1"/>
                <c:pt idx="0">
                  <c:v>Public acute group A</c:v>
                </c:pt>
              </c:strCache>
            </c:strRef>
          </c:tx>
          <c:spPr>
            <a:ln w="28575" cap="rnd">
              <a:solidFill>
                <a:schemeClr val="accent3"/>
              </a:solidFill>
              <a:round/>
            </a:ln>
            <a:effectLst/>
          </c:spPr>
          <c:marker>
            <c:symbol val="none"/>
          </c:marker>
          <c:cat>
            <c:numRef>
              <c:f>'[Level D Data_SurgicalNAPS2021_TablesFigures_Table3Updated_23012023_Fig5Updated_09032023.xlsx]Figure A2.2'!$C$2:$H$2</c:f>
              <c:numCache>
                <c:formatCode>General</c:formatCode>
                <c:ptCount val="6"/>
                <c:pt idx="0">
                  <c:v>2016</c:v>
                </c:pt>
                <c:pt idx="1">
                  <c:v>2017</c:v>
                </c:pt>
                <c:pt idx="2">
                  <c:v>2018</c:v>
                </c:pt>
                <c:pt idx="3">
                  <c:v>2019</c:v>
                </c:pt>
                <c:pt idx="4">
                  <c:v>2020</c:v>
                </c:pt>
                <c:pt idx="5">
                  <c:v>2021</c:v>
                </c:pt>
              </c:numCache>
            </c:numRef>
          </c:cat>
          <c:val>
            <c:numRef>
              <c:f>'[Level D Data_SurgicalNAPS2021_TablesFigures_Table3Updated_23012023_Fig5Updated_09032023.xlsx]Figure A2.2'!$C$5:$H$5</c:f>
              <c:numCache>
                <c:formatCode>0.0</c:formatCode>
                <c:ptCount val="6"/>
                <c:pt idx="0">
                  <c:v>27.419354838709676</c:v>
                </c:pt>
                <c:pt idx="1">
                  <c:v>25.806451612903224</c:v>
                </c:pt>
                <c:pt idx="2">
                  <c:v>33.87096774193548</c:v>
                </c:pt>
                <c:pt idx="3">
                  <c:v>35.483870967741936</c:v>
                </c:pt>
                <c:pt idx="4">
                  <c:v>30.64516129032258</c:v>
                </c:pt>
                <c:pt idx="5">
                  <c:v>38.70967741935484</c:v>
                </c:pt>
              </c:numCache>
            </c:numRef>
          </c:val>
          <c:smooth val="0"/>
          <c:extLst>
            <c:ext xmlns:c16="http://schemas.microsoft.com/office/drawing/2014/chart" uri="{C3380CC4-5D6E-409C-BE32-E72D297353CC}">
              <c16:uniqueId val="{00000002-1746-404C-A8B0-0CF6B44A00E9}"/>
            </c:ext>
          </c:extLst>
        </c:ser>
        <c:ser>
          <c:idx val="3"/>
          <c:order val="3"/>
          <c:tx>
            <c:strRef>
              <c:f>'[Level D Data_SurgicalNAPS2021_TablesFigures_Table3Updated_23012023_Fig5Updated_09032023.xlsx]Figure A2.2'!$B$6</c:f>
              <c:strCache>
                <c:ptCount val="1"/>
                <c:pt idx="0">
                  <c:v>Public acute group B</c:v>
                </c:pt>
              </c:strCache>
            </c:strRef>
          </c:tx>
          <c:spPr>
            <a:ln w="28575" cap="rnd">
              <a:solidFill>
                <a:schemeClr val="accent4"/>
              </a:solidFill>
              <a:round/>
            </a:ln>
            <a:effectLst/>
          </c:spPr>
          <c:marker>
            <c:symbol val="none"/>
          </c:marker>
          <c:cat>
            <c:numRef>
              <c:f>'[Level D Data_SurgicalNAPS2021_TablesFigures_Table3Updated_23012023_Fig5Updated_09032023.xlsx]Figure A2.2'!$C$2:$H$2</c:f>
              <c:numCache>
                <c:formatCode>General</c:formatCode>
                <c:ptCount val="6"/>
                <c:pt idx="0">
                  <c:v>2016</c:v>
                </c:pt>
                <c:pt idx="1">
                  <c:v>2017</c:v>
                </c:pt>
                <c:pt idx="2">
                  <c:v>2018</c:v>
                </c:pt>
                <c:pt idx="3">
                  <c:v>2019</c:v>
                </c:pt>
                <c:pt idx="4">
                  <c:v>2020</c:v>
                </c:pt>
                <c:pt idx="5">
                  <c:v>2021</c:v>
                </c:pt>
              </c:numCache>
            </c:numRef>
          </c:cat>
          <c:val>
            <c:numRef>
              <c:f>'[Level D Data_SurgicalNAPS2021_TablesFigures_Table3Updated_23012023_Fig5Updated_09032023.xlsx]Figure A2.2'!$C$6:$H$6</c:f>
              <c:numCache>
                <c:formatCode>0.0</c:formatCode>
                <c:ptCount val="6"/>
                <c:pt idx="0">
                  <c:v>11.363636363636363</c:v>
                </c:pt>
                <c:pt idx="1">
                  <c:v>18.181818181818183</c:v>
                </c:pt>
                <c:pt idx="2">
                  <c:v>13.636363636363635</c:v>
                </c:pt>
                <c:pt idx="3">
                  <c:v>22.727272727272727</c:v>
                </c:pt>
                <c:pt idx="4">
                  <c:v>27.27272727272727</c:v>
                </c:pt>
                <c:pt idx="5">
                  <c:v>40.909090909090914</c:v>
                </c:pt>
              </c:numCache>
            </c:numRef>
          </c:val>
          <c:smooth val="0"/>
          <c:extLst>
            <c:ext xmlns:c16="http://schemas.microsoft.com/office/drawing/2014/chart" uri="{C3380CC4-5D6E-409C-BE32-E72D297353CC}">
              <c16:uniqueId val="{00000003-1746-404C-A8B0-0CF6B44A00E9}"/>
            </c:ext>
          </c:extLst>
        </c:ser>
        <c:ser>
          <c:idx val="4"/>
          <c:order val="4"/>
          <c:tx>
            <c:strRef>
              <c:f>'[Level D Data_SurgicalNAPS2021_TablesFigures_Table3Updated_23012023_Fig5Updated_09032023.xlsx]Figure A2.2'!$B$7</c:f>
              <c:strCache>
                <c:ptCount val="1"/>
                <c:pt idx="0">
                  <c:v>Public acute group C</c:v>
                </c:pt>
              </c:strCache>
            </c:strRef>
          </c:tx>
          <c:spPr>
            <a:ln w="28575" cap="rnd">
              <a:solidFill>
                <a:schemeClr val="accent5"/>
              </a:solidFill>
              <a:round/>
            </a:ln>
            <a:effectLst/>
          </c:spPr>
          <c:marker>
            <c:symbol val="none"/>
          </c:marker>
          <c:cat>
            <c:numRef>
              <c:f>'[Level D Data_SurgicalNAPS2021_TablesFigures_Table3Updated_23012023_Fig5Updated_09032023.xlsx]Figure A2.2'!$C$2:$H$2</c:f>
              <c:numCache>
                <c:formatCode>General</c:formatCode>
                <c:ptCount val="6"/>
                <c:pt idx="0">
                  <c:v>2016</c:v>
                </c:pt>
                <c:pt idx="1">
                  <c:v>2017</c:v>
                </c:pt>
                <c:pt idx="2">
                  <c:v>2018</c:v>
                </c:pt>
                <c:pt idx="3">
                  <c:v>2019</c:v>
                </c:pt>
                <c:pt idx="4">
                  <c:v>2020</c:v>
                </c:pt>
                <c:pt idx="5">
                  <c:v>2021</c:v>
                </c:pt>
              </c:numCache>
            </c:numRef>
          </c:cat>
          <c:val>
            <c:numRef>
              <c:f>'[Level D Data_SurgicalNAPS2021_TablesFigures_Table3Updated_23012023_Fig5Updated_09032023.xlsx]Figure A2.2'!$C$7:$H$7</c:f>
              <c:numCache>
                <c:formatCode>0.0</c:formatCode>
                <c:ptCount val="6"/>
                <c:pt idx="0">
                  <c:v>8.3916083916083917</c:v>
                </c:pt>
                <c:pt idx="1">
                  <c:v>9.79020979020979</c:v>
                </c:pt>
                <c:pt idx="2">
                  <c:v>14.685314685314685</c:v>
                </c:pt>
                <c:pt idx="3">
                  <c:v>16.783216783216783</c:v>
                </c:pt>
                <c:pt idx="4">
                  <c:v>16.783216783216783</c:v>
                </c:pt>
                <c:pt idx="5">
                  <c:v>21.678321678321677</c:v>
                </c:pt>
              </c:numCache>
            </c:numRef>
          </c:val>
          <c:smooth val="0"/>
          <c:extLst>
            <c:ext xmlns:c16="http://schemas.microsoft.com/office/drawing/2014/chart" uri="{C3380CC4-5D6E-409C-BE32-E72D297353CC}">
              <c16:uniqueId val="{00000004-1746-404C-A8B0-0CF6B44A00E9}"/>
            </c:ext>
          </c:extLst>
        </c:ser>
        <c:ser>
          <c:idx val="5"/>
          <c:order val="5"/>
          <c:tx>
            <c:strRef>
              <c:f>'[Level D Data_SurgicalNAPS2021_TablesFigures_Table3Updated_23012023_Fig5Updated_09032023.xlsx]Figure A2.2'!$B$8</c:f>
              <c:strCache>
                <c:ptCount val="1"/>
                <c:pt idx="0">
                  <c:v>Public acute group D</c:v>
                </c:pt>
              </c:strCache>
            </c:strRef>
          </c:tx>
          <c:spPr>
            <a:ln w="28575" cap="rnd">
              <a:solidFill>
                <a:schemeClr val="accent6"/>
              </a:solidFill>
              <a:round/>
            </a:ln>
            <a:effectLst/>
          </c:spPr>
          <c:marker>
            <c:symbol val="none"/>
          </c:marker>
          <c:cat>
            <c:numRef>
              <c:f>'[Level D Data_SurgicalNAPS2021_TablesFigures_Table3Updated_23012023_Fig5Updated_09032023.xlsx]Figure A2.2'!$C$2:$H$2</c:f>
              <c:numCache>
                <c:formatCode>General</c:formatCode>
                <c:ptCount val="6"/>
                <c:pt idx="0">
                  <c:v>2016</c:v>
                </c:pt>
                <c:pt idx="1">
                  <c:v>2017</c:v>
                </c:pt>
                <c:pt idx="2">
                  <c:v>2018</c:v>
                </c:pt>
                <c:pt idx="3">
                  <c:v>2019</c:v>
                </c:pt>
                <c:pt idx="4">
                  <c:v>2020</c:v>
                </c:pt>
                <c:pt idx="5">
                  <c:v>2021</c:v>
                </c:pt>
              </c:numCache>
            </c:numRef>
          </c:cat>
          <c:val>
            <c:numRef>
              <c:f>'[Level D Data_SurgicalNAPS2021_TablesFigures_Table3Updated_23012023_Fig5Updated_09032023.xlsx]Figure A2.2'!$C$8:$H$8</c:f>
              <c:numCache>
                <c:formatCode>0.0</c:formatCode>
                <c:ptCount val="6"/>
                <c:pt idx="0">
                  <c:v>0</c:v>
                </c:pt>
                <c:pt idx="1">
                  <c:v>1.0471204188481675</c:v>
                </c:pt>
                <c:pt idx="2">
                  <c:v>1.0471204188481675</c:v>
                </c:pt>
                <c:pt idx="3">
                  <c:v>1.0471204188481675</c:v>
                </c:pt>
                <c:pt idx="4">
                  <c:v>1.5706806282722512</c:v>
                </c:pt>
                <c:pt idx="5">
                  <c:v>0.52356020942408377</c:v>
                </c:pt>
              </c:numCache>
            </c:numRef>
          </c:val>
          <c:smooth val="0"/>
          <c:extLst>
            <c:ext xmlns:c16="http://schemas.microsoft.com/office/drawing/2014/chart" uri="{C3380CC4-5D6E-409C-BE32-E72D297353CC}">
              <c16:uniqueId val="{00000005-1746-404C-A8B0-0CF6B44A00E9}"/>
            </c:ext>
          </c:extLst>
        </c:ser>
        <c:ser>
          <c:idx val="6"/>
          <c:order val="6"/>
          <c:tx>
            <c:strRef>
              <c:f>'[Level D Data_SurgicalNAPS2021_TablesFigures_Table3Updated_23012023_Fig5Updated_09032023.xlsx]Figure A2.2'!$B$9</c:f>
              <c:strCache>
                <c:ptCount val="1"/>
                <c:pt idx="0">
                  <c:v>Women’s &amp; children’s</c:v>
                </c:pt>
              </c:strCache>
            </c:strRef>
          </c:tx>
          <c:spPr>
            <a:ln w="28575" cap="rnd">
              <a:solidFill>
                <a:schemeClr val="accent1">
                  <a:lumMod val="60000"/>
                </a:schemeClr>
              </a:solidFill>
              <a:round/>
            </a:ln>
            <a:effectLst/>
          </c:spPr>
          <c:marker>
            <c:symbol val="none"/>
          </c:marker>
          <c:cat>
            <c:numRef>
              <c:f>'[Level D Data_SurgicalNAPS2021_TablesFigures_Table3Updated_23012023_Fig5Updated_09032023.xlsx]Figure A2.2'!$C$2:$H$2</c:f>
              <c:numCache>
                <c:formatCode>General</c:formatCode>
                <c:ptCount val="6"/>
                <c:pt idx="0">
                  <c:v>2016</c:v>
                </c:pt>
                <c:pt idx="1">
                  <c:v>2017</c:v>
                </c:pt>
                <c:pt idx="2">
                  <c:v>2018</c:v>
                </c:pt>
                <c:pt idx="3">
                  <c:v>2019</c:v>
                </c:pt>
                <c:pt idx="4">
                  <c:v>2020</c:v>
                </c:pt>
                <c:pt idx="5">
                  <c:v>2021</c:v>
                </c:pt>
              </c:numCache>
            </c:numRef>
          </c:cat>
          <c:val>
            <c:numRef>
              <c:f>'[Level D Data_SurgicalNAPS2021_TablesFigures_Table3Updated_23012023_Fig5Updated_09032023.xlsx]Figure A2.2'!$C$9:$H$9</c:f>
              <c:numCache>
                <c:formatCode>0.0</c:formatCode>
                <c:ptCount val="6"/>
                <c:pt idx="0">
                  <c:v>27.27272727272727</c:v>
                </c:pt>
                <c:pt idx="1">
                  <c:v>36.363636363636367</c:v>
                </c:pt>
                <c:pt idx="2">
                  <c:v>27.27272727272727</c:v>
                </c:pt>
                <c:pt idx="3">
                  <c:v>45.454545454545453</c:v>
                </c:pt>
                <c:pt idx="4">
                  <c:v>36.363636363636367</c:v>
                </c:pt>
                <c:pt idx="5">
                  <c:v>36.363636363636367</c:v>
                </c:pt>
              </c:numCache>
            </c:numRef>
          </c:val>
          <c:smooth val="0"/>
          <c:extLst>
            <c:ext xmlns:c16="http://schemas.microsoft.com/office/drawing/2014/chart" uri="{C3380CC4-5D6E-409C-BE32-E72D297353CC}">
              <c16:uniqueId val="{00000006-1746-404C-A8B0-0CF6B44A00E9}"/>
            </c:ext>
          </c:extLst>
        </c:ser>
        <c:ser>
          <c:idx val="7"/>
          <c:order val="7"/>
          <c:tx>
            <c:strRef>
              <c:f>'[Level D Data_SurgicalNAPS2021_TablesFigures_Table3Updated_23012023_Fig5Updated_09032023.xlsx]Figure A2.2'!$B$10</c:f>
              <c:strCache>
                <c:ptCount val="1"/>
                <c:pt idx="0">
                  <c:v>Other public</c:v>
                </c:pt>
              </c:strCache>
            </c:strRef>
          </c:tx>
          <c:spPr>
            <a:ln w="28575" cap="rnd">
              <a:solidFill>
                <a:schemeClr val="accent2">
                  <a:lumMod val="60000"/>
                </a:schemeClr>
              </a:solidFill>
              <a:round/>
            </a:ln>
            <a:effectLst/>
          </c:spPr>
          <c:marker>
            <c:symbol val="none"/>
          </c:marker>
          <c:cat>
            <c:numRef>
              <c:f>'[Level D Data_SurgicalNAPS2021_TablesFigures_Table3Updated_23012023_Fig5Updated_09032023.xlsx]Figure A2.2'!$C$2:$H$2</c:f>
              <c:numCache>
                <c:formatCode>General</c:formatCode>
                <c:ptCount val="6"/>
                <c:pt idx="0">
                  <c:v>2016</c:v>
                </c:pt>
                <c:pt idx="1">
                  <c:v>2017</c:v>
                </c:pt>
                <c:pt idx="2">
                  <c:v>2018</c:v>
                </c:pt>
                <c:pt idx="3">
                  <c:v>2019</c:v>
                </c:pt>
                <c:pt idx="4">
                  <c:v>2020</c:v>
                </c:pt>
                <c:pt idx="5">
                  <c:v>2021</c:v>
                </c:pt>
              </c:numCache>
            </c:numRef>
          </c:cat>
          <c:val>
            <c:numRef>
              <c:f>'[Level D Data_SurgicalNAPS2021_TablesFigures_Table3Updated_23012023_Fig5Updated_09032023.xlsx]Figure A2.2'!$C$10:$H$10</c:f>
              <c:numCache>
                <c:formatCode>0.0</c:formatCode>
                <c:ptCount val="6"/>
                <c:pt idx="0">
                  <c:v>23.076923076923077</c:v>
                </c:pt>
                <c:pt idx="1">
                  <c:v>15.384615384615385</c:v>
                </c:pt>
                <c:pt idx="2">
                  <c:v>7.6923076923076925</c:v>
                </c:pt>
                <c:pt idx="3">
                  <c:v>15.384615384615385</c:v>
                </c:pt>
                <c:pt idx="4">
                  <c:v>15.384615384615385</c:v>
                </c:pt>
                <c:pt idx="5">
                  <c:v>23.076923076923077</c:v>
                </c:pt>
              </c:numCache>
            </c:numRef>
          </c:val>
          <c:smooth val="0"/>
          <c:extLst>
            <c:ext xmlns:c16="http://schemas.microsoft.com/office/drawing/2014/chart" uri="{C3380CC4-5D6E-409C-BE32-E72D297353CC}">
              <c16:uniqueId val="{00000007-1746-404C-A8B0-0CF6B44A00E9}"/>
            </c:ext>
          </c:extLst>
        </c:ser>
        <c:ser>
          <c:idx val="8"/>
          <c:order val="8"/>
          <c:tx>
            <c:strRef>
              <c:f>'[Level D Data_SurgicalNAPS2021_TablesFigures_Table3Updated_23012023_Fig5Updated_09032023.xlsx]Figure A2.2'!$B$11</c:f>
              <c:strCache>
                <c:ptCount val="1"/>
              </c:strCache>
            </c:strRef>
          </c:tx>
          <c:spPr>
            <a:ln w="28575" cap="rnd">
              <a:solidFill>
                <a:schemeClr val="bg1"/>
              </a:solidFill>
              <a:round/>
            </a:ln>
            <a:effectLst/>
          </c:spPr>
          <c:marker>
            <c:symbol val="none"/>
          </c:marker>
          <c:cat>
            <c:numRef>
              <c:f>'[Level D Data_SurgicalNAPS2021_TablesFigures_Table3Updated_23012023_Fig5Updated_09032023.xlsx]Figure A2.2'!$C$2:$H$2</c:f>
              <c:numCache>
                <c:formatCode>General</c:formatCode>
                <c:ptCount val="6"/>
                <c:pt idx="0">
                  <c:v>2016</c:v>
                </c:pt>
                <c:pt idx="1">
                  <c:v>2017</c:v>
                </c:pt>
                <c:pt idx="2">
                  <c:v>2018</c:v>
                </c:pt>
                <c:pt idx="3">
                  <c:v>2019</c:v>
                </c:pt>
                <c:pt idx="4">
                  <c:v>2020</c:v>
                </c:pt>
                <c:pt idx="5">
                  <c:v>2021</c:v>
                </c:pt>
              </c:numCache>
            </c:numRef>
          </c:cat>
          <c:val>
            <c:numRef>
              <c:f>'[Level D Data_SurgicalNAPS2021_TablesFigures_Table3Updated_23012023_Fig5Updated_09032023.xlsx]Figure A2.2'!$C$11:$H$11</c:f>
              <c:numCache>
                <c:formatCode>General</c:formatCode>
                <c:ptCount val="6"/>
              </c:numCache>
            </c:numRef>
          </c:val>
          <c:smooth val="0"/>
          <c:extLst>
            <c:ext xmlns:c16="http://schemas.microsoft.com/office/drawing/2014/chart" uri="{C3380CC4-5D6E-409C-BE32-E72D297353CC}">
              <c16:uniqueId val="{00000008-1746-404C-A8B0-0CF6B44A00E9}"/>
            </c:ext>
          </c:extLst>
        </c:ser>
        <c:ser>
          <c:idx val="9"/>
          <c:order val="9"/>
          <c:tx>
            <c:strRef>
              <c:f>'[Level D Data_SurgicalNAPS2021_TablesFigures_Table3Updated_23012023_Fig5Updated_09032023.xlsx]Figure A2.2'!$B$12</c:f>
              <c:strCache>
                <c:ptCount val="1"/>
                <c:pt idx="0">
                  <c:v>Private hospitals</c:v>
                </c:pt>
              </c:strCache>
            </c:strRef>
          </c:tx>
          <c:spPr>
            <a:ln w="28575" cap="rnd">
              <a:solidFill>
                <a:schemeClr val="bg1"/>
              </a:solidFill>
              <a:round/>
            </a:ln>
            <a:effectLst/>
          </c:spPr>
          <c:marker>
            <c:symbol val="none"/>
          </c:marker>
          <c:cat>
            <c:numRef>
              <c:f>'[Level D Data_SurgicalNAPS2021_TablesFigures_Table3Updated_23012023_Fig5Updated_09032023.xlsx]Figure A2.2'!$C$2:$H$2</c:f>
              <c:numCache>
                <c:formatCode>General</c:formatCode>
                <c:ptCount val="6"/>
                <c:pt idx="0">
                  <c:v>2016</c:v>
                </c:pt>
                <c:pt idx="1">
                  <c:v>2017</c:v>
                </c:pt>
                <c:pt idx="2">
                  <c:v>2018</c:v>
                </c:pt>
                <c:pt idx="3">
                  <c:v>2019</c:v>
                </c:pt>
                <c:pt idx="4">
                  <c:v>2020</c:v>
                </c:pt>
                <c:pt idx="5">
                  <c:v>2021</c:v>
                </c:pt>
              </c:numCache>
            </c:numRef>
          </c:cat>
          <c:val>
            <c:numRef>
              <c:f>'[Level D Data_SurgicalNAPS2021_TablesFigures_Table3Updated_23012023_Fig5Updated_09032023.xlsx]Figure A2.2'!$C$12:$H$12</c:f>
              <c:numCache>
                <c:formatCode>General</c:formatCode>
                <c:ptCount val="6"/>
              </c:numCache>
            </c:numRef>
          </c:val>
          <c:smooth val="0"/>
          <c:extLst>
            <c:ext xmlns:c16="http://schemas.microsoft.com/office/drawing/2014/chart" uri="{C3380CC4-5D6E-409C-BE32-E72D297353CC}">
              <c16:uniqueId val="{00000009-1746-404C-A8B0-0CF6B44A00E9}"/>
            </c:ext>
          </c:extLst>
        </c:ser>
        <c:ser>
          <c:idx val="10"/>
          <c:order val="10"/>
          <c:tx>
            <c:strRef>
              <c:f>'[Level D Data_SurgicalNAPS2021_TablesFigures_Table3Updated_23012023_Fig5Updated_09032023.xlsx]Figure A2.2'!$B$13</c:f>
              <c:strCache>
                <c:ptCount val="1"/>
                <c:pt idx="0">
                  <c:v>Private acute group A</c:v>
                </c:pt>
              </c:strCache>
            </c:strRef>
          </c:tx>
          <c:spPr>
            <a:ln w="28575" cap="rnd">
              <a:solidFill>
                <a:schemeClr val="accent5">
                  <a:lumMod val="60000"/>
                </a:schemeClr>
              </a:solidFill>
              <a:prstDash val="dash"/>
              <a:round/>
            </a:ln>
            <a:effectLst/>
          </c:spPr>
          <c:marker>
            <c:symbol val="none"/>
          </c:marker>
          <c:cat>
            <c:numRef>
              <c:f>'[Level D Data_SurgicalNAPS2021_TablesFigures_Table3Updated_23012023_Fig5Updated_09032023.xlsx]Figure A2.2'!$C$2:$H$2</c:f>
              <c:numCache>
                <c:formatCode>General</c:formatCode>
                <c:ptCount val="6"/>
                <c:pt idx="0">
                  <c:v>2016</c:v>
                </c:pt>
                <c:pt idx="1">
                  <c:v>2017</c:v>
                </c:pt>
                <c:pt idx="2">
                  <c:v>2018</c:v>
                </c:pt>
                <c:pt idx="3">
                  <c:v>2019</c:v>
                </c:pt>
                <c:pt idx="4">
                  <c:v>2020</c:v>
                </c:pt>
                <c:pt idx="5">
                  <c:v>2021</c:v>
                </c:pt>
              </c:numCache>
            </c:numRef>
          </c:cat>
          <c:val>
            <c:numRef>
              <c:f>'[Level D Data_SurgicalNAPS2021_TablesFigures_Table3Updated_23012023_Fig5Updated_09032023.xlsx]Figure A2.2'!$C$13:$H$13</c:f>
              <c:numCache>
                <c:formatCode>0.0</c:formatCode>
                <c:ptCount val="6"/>
                <c:pt idx="0">
                  <c:v>18.181818181818183</c:v>
                </c:pt>
                <c:pt idx="1">
                  <c:v>22.727272727272727</c:v>
                </c:pt>
                <c:pt idx="2">
                  <c:v>27.27272727272727</c:v>
                </c:pt>
                <c:pt idx="3">
                  <c:v>27.27272727272727</c:v>
                </c:pt>
                <c:pt idx="4">
                  <c:v>36.363636363636367</c:v>
                </c:pt>
                <c:pt idx="5">
                  <c:v>40.909090909090914</c:v>
                </c:pt>
              </c:numCache>
            </c:numRef>
          </c:val>
          <c:smooth val="0"/>
          <c:extLst>
            <c:ext xmlns:c16="http://schemas.microsoft.com/office/drawing/2014/chart" uri="{C3380CC4-5D6E-409C-BE32-E72D297353CC}">
              <c16:uniqueId val="{0000000A-1746-404C-A8B0-0CF6B44A00E9}"/>
            </c:ext>
          </c:extLst>
        </c:ser>
        <c:ser>
          <c:idx val="11"/>
          <c:order val="11"/>
          <c:tx>
            <c:strRef>
              <c:f>'[Level D Data_SurgicalNAPS2021_TablesFigures_Table3Updated_23012023_Fig5Updated_09032023.xlsx]Figure A2.2'!$B$14</c:f>
              <c:strCache>
                <c:ptCount val="1"/>
                <c:pt idx="0">
                  <c:v>Private acute group B</c:v>
                </c:pt>
              </c:strCache>
            </c:strRef>
          </c:tx>
          <c:spPr>
            <a:ln w="28575" cap="rnd">
              <a:solidFill>
                <a:schemeClr val="accent6">
                  <a:lumMod val="60000"/>
                </a:schemeClr>
              </a:solidFill>
              <a:prstDash val="dash"/>
              <a:round/>
            </a:ln>
            <a:effectLst/>
          </c:spPr>
          <c:marker>
            <c:symbol val="none"/>
          </c:marker>
          <c:cat>
            <c:numRef>
              <c:f>'[Level D Data_SurgicalNAPS2021_TablesFigures_Table3Updated_23012023_Fig5Updated_09032023.xlsx]Figure A2.2'!$C$2:$H$2</c:f>
              <c:numCache>
                <c:formatCode>General</c:formatCode>
                <c:ptCount val="6"/>
                <c:pt idx="0">
                  <c:v>2016</c:v>
                </c:pt>
                <c:pt idx="1">
                  <c:v>2017</c:v>
                </c:pt>
                <c:pt idx="2">
                  <c:v>2018</c:v>
                </c:pt>
                <c:pt idx="3">
                  <c:v>2019</c:v>
                </c:pt>
                <c:pt idx="4">
                  <c:v>2020</c:v>
                </c:pt>
                <c:pt idx="5">
                  <c:v>2021</c:v>
                </c:pt>
              </c:numCache>
            </c:numRef>
          </c:cat>
          <c:val>
            <c:numRef>
              <c:f>'[Level D Data_SurgicalNAPS2021_TablesFigures_Table3Updated_23012023_Fig5Updated_09032023.xlsx]Figure A2.2'!$C$14:$H$14</c:f>
              <c:numCache>
                <c:formatCode>0.0</c:formatCode>
                <c:ptCount val="6"/>
                <c:pt idx="0">
                  <c:v>25</c:v>
                </c:pt>
                <c:pt idx="1">
                  <c:v>27.777777777777779</c:v>
                </c:pt>
                <c:pt idx="2">
                  <c:v>25</c:v>
                </c:pt>
                <c:pt idx="3">
                  <c:v>44.444444444444443</c:v>
                </c:pt>
                <c:pt idx="4">
                  <c:v>47.222222222222221</c:v>
                </c:pt>
                <c:pt idx="5">
                  <c:v>50</c:v>
                </c:pt>
              </c:numCache>
            </c:numRef>
          </c:val>
          <c:smooth val="0"/>
          <c:extLst>
            <c:ext xmlns:c16="http://schemas.microsoft.com/office/drawing/2014/chart" uri="{C3380CC4-5D6E-409C-BE32-E72D297353CC}">
              <c16:uniqueId val="{0000000B-1746-404C-A8B0-0CF6B44A00E9}"/>
            </c:ext>
          </c:extLst>
        </c:ser>
        <c:ser>
          <c:idx val="12"/>
          <c:order val="12"/>
          <c:tx>
            <c:strRef>
              <c:f>'[Level D Data_SurgicalNAPS2021_TablesFigures_Table3Updated_23012023_Fig5Updated_09032023.xlsx]Figure A2.2'!$B$15</c:f>
              <c:strCache>
                <c:ptCount val="1"/>
                <c:pt idx="0">
                  <c:v>Private acute group C</c:v>
                </c:pt>
              </c:strCache>
            </c:strRef>
          </c:tx>
          <c:spPr>
            <a:ln w="28575" cap="rnd">
              <a:solidFill>
                <a:schemeClr val="accent1">
                  <a:lumMod val="80000"/>
                  <a:lumOff val="20000"/>
                </a:schemeClr>
              </a:solidFill>
              <a:prstDash val="dash"/>
              <a:round/>
            </a:ln>
            <a:effectLst/>
          </c:spPr>
          <c:marker>
            <c:symbol val="none"/>
          </c:marker>
          <c:cat>
            <c:numRef>
              <c:f>'[Level D Data_SurgicalNAPS2021_TablesFigures_Table3Updated_23012023_Fig5Updated_09032023.xlsx]Figure A2.2'!$C$2:$H$2</c:f>
              <c:numCache>
                <c:formatCode>General</c:formatCode>
                <c:ptCount val="6"/>
                <c:pt idx="0">
                  <c:v>2016</c:v>
                </c:pt>
                <c:pt idx="1">
                  <c:v>2017</c:v>
                </c:pt>
                <c:pt idx="2">
                  <c:v>2018</c:v>
                </c:pt>
                <c:pt idx="3">
                  <c:v>2019</c:v>
                </c:pt>
                <c:pt idx="4">
                  <c:v>2020</c:v>
                </c:pt>
                <c:pt idx="5">
                  <c:v>2021</c:v>
                </c:pt>
              </c:numCache>
            </c:numRef>
          </c:cat>
          <c:val>
            <c:numRef>
              <c:f>'[Level D Data_SurgicalNAPS2021_TablesFigures_Table3Updated_23012023_Fig5Updated_09032023.xlsx]Figure A2.2'!$C$15:$H$15</c:f>
              <c:numCache>
                <c:formatCode>0.0</c:formatCode>
                <c:ptCount val="6"/>
                <c:pt idx="0">
                  <c:v>22.448979591836736</c:v>
                </c:pt>
                <c:pt idx="1">
                  <c:v>24.489795918367346</c:v>
                </c:pt>
                <c:pt idx="2">
                  <c:v>30.612244897959183</c:v>
                </c:pt>
                <c:pt idx="3">
                  <c:v>30.612244897959183</c:v>
                </c:pt>
                <c:pt idx="4">
                  <c:v>34.693877551020407</c:v>
                </c:pt>
                <c:pt idx="5">
                  <c:v>42.857142857142854</c:v>
                </c:pt>
              </c:numCache>
            </c:numRef>
          </c:val>
          <c:smooth val="0"/>
          <c:extLst>
            <c:ext xmlns:c16="http://schemas.microsoft.com/office/drawing/2014/chart" uri="{C3380CC4-5D6E-409C-BE32-E72D297353CC}">
              <c16:uniqueId val="{0000000C-1746-404C-A8B0-0CF6B44A00E9}"/>
            </c:ext>
          </c:extLst>
        </c:ser>
        <c:ser>
          <c:idx val="13"/>
          <c:order val="13"/>
          <c:tx>
            <c:strRef>
              <c:f>'[Level D Data_SurgicalNAPS2021_TablesFigures_Table3Updated_23012023_Fig5Updated_09032023.xlsx]Figure A2.2'!$B$16</c:f>
              <c:strCache>
                <c:ptCount val="1"/>
                <c:pt idx="0">
                  <c:v>Private acute group D</c:v>
                </c:pt>
              </c:strCache>
            </c:strRef>
          </c:tx>
          <c:spPr>
            <a:ln w="28575" cap="rnd">
              <a:solidFill>
                <a:schemeClr val="accent2">
                  <a:lumMod val="80000"/>
                  <a:lumOff val="20000"/>
                </a:schemeClr>
              </a:solidFill>
              <a:prstDash val="dash"/>
              <a:round/>
            </a:ln>
            <a:effectLst/>
          </c:spPr>
          <c:marker>
            <c:symbol val="none"/>
          </c:marker>
          <c:cat>
            <c:numRef>
              <c:f>'[Level D Data_SurgicalNAPS2021_TablesFigures_Table3Updated_23012023_Fig5Updated_09032023.xlsx]Figure A2.2'!$C$2:$H$2</c:f>
              <c:numCache>
                <c:formatCode>General</c:formatCode>
                <c:ptCount val="6"/>
                <c:pt idx="0">
                  <c:v>2016</c:v>
                </c:pt>
                <c:pt idx="1">
                  <c:v>2017</c:v>
                </c:pt>
                <c:pt idx="2">
                  <c:v>2018</c:v>
                </c:pt>
                <c:pt idx="3">
                  <c:v>2019</c:v>
                </c:pt>
                <c:pt idx="4">
                  <c:v>2020</c:v>
                </c:pt>
                <c:pt idx="5">
                  <c:v>2021</c:v>
                </c:pt>
              </c:numCache>
            </c:numRef>
          </c:cat>
          <c:val>
            <c:numRef>
              <c:f>'[Level D Data_SurgicalNAPS2021_TablesFigures_Table3Updated_23012023_Fig5Updated_09032023.xlsx]Figure A2.2'!$C$16:$H$16</c:f>
              <c:numCache>
                <c:formatCode>0.0</c:formatCode>
                <c:ptCount val="6"/>
                <c:pt idx="0">
                  <c:v>11.594202898550725</c:v>
                </c:pt>
                <c:pt idx="1">
                  <c:v>23.188405797101449</c:v>
                </c:pt>
                <c:pt idx="2">
                  <c:v>15.942028985507244</c:v>
                </c:pt>
                <c:pt idx="3">
                  <c:v>23.188405797101449</c:v>
                </c:pt>
                <c:pt idx="4">
                  <c:v>26.086956521739129</c:v>
                </c:pt>
                <c:pt idx="5">
                  <c:v>24.637681159420293</c:v>
                </c:pt>
              </c:numCache>
            </c:numRef>
          </c:val>
          <c:smooth val="0"/>
          <c:extLst>
            <c:ext xmlns:c16="http://schemas.microsoft.com/office/drawing/2014/chart" uri="{C3380CC4-5D6E-409C-BE32-E72D297353CC}">
              <c16:uniqueId val="{0000000D-1746-404C-A8B0-0CF6B44A00E9}"/>
            </c:ext>
          </c:extLst>
        </c:ser>
        <c:ser>
          <c:idx val="14"/>
          <c:order val="14"/>
          <c:tx>
            <c:strRef>
              <c:f>'[Level D Data_SurgicalNAPS2021_TablesFigures_Table3Updated_23012023_Fig5Updated_09032023.xlsx]Figure A2.2'!$B$17</c:f>
              <c:strCache>
                <c:ptCount val="1"/>
                <c:pt idx="0">
                  <c:v>Eye surgery centres</c:v>
                </c:pt>
              </c:strCache>
            </c:strRef>
          </c:tx>
          <c:spPr>
            <a:ln w="28575" cap="rnd">
              <a:solidFill>
                <a:schemeClr val="accent3">
                  <a:lumMod val="80000"/>
                  <a:lumOff val="20000"/>
                </a:schemeClr>
              </a:solidFill>
              <a:prstDash val="dash"/>
              <a:round/>
            </a:ln>
            <a:effectLst/>
          </c:spPr>
          <c:marker>
            <c:symbol val="none"/>
          </c:marker>
          <c:cat>
            <c:numRef>
              <c:f>'[Level D Data_SurgicalNAPS2021_TablesFigures_Table3Updated_23012023_Fig5Updated_09032023.xlsx]Figure A2.2'!$C$2:$H$2</c:f>
              <c:numCache>
                <c:formatCode>General</c:formatCode>
                <c:ptCount val="6"/>
                <c:pt idx="0">
                  <c:v>2016</c:v>
                </c:pt>
                <c:pt idx="1">
                  <c:v>2017</c:v>
                </c:pt>
                <c:pt idx="2">
                  <c:v>2018</c:v>
                </c:pt>
                <c:pt idx="3">
                  <c:v>2019</c:v>
                </c:pt>
                <c:pt idx="4">
                  <c:v>2020</c:v>
                </c:pt>
                <c:pt idx="5">
                  <c:v>2021</c:v>
                </c:pt>
              </c:numCache>
            </c:numRef>
          </c:cat>
          <c:val>
            <c:numRef>
              <c:f>'[Level D Data_SurgicalNAPS2021_TablesFigures_Table3Updated_23012023_Fig5Updated_09032023.xlsx]Figure A2.2'!$C$17:$H$17</c:f>
              <c:numCache>
                <c:formatCode>0.0</c:formatCode>
                <c:ptCount val="6"/>
                <c:pt idx="0">
                  <c:v>0</c:v>
                </c:pt>
                <c:pt idx="1">
                  <c:v>4.7619047619047619</c:v>
                </c:pt>
                <c:pt idx="2">
                  <c:v>11.904761904761903</c:v>
                </c:pt>
                <c:pt idx="3">
                  <c:v>21.428571428571427</c:v>
                </c:pt>
                <c:pt idx="4">
                  <c:v>21.428571428571427</c:v>
                </c:pt>
                <c:pt idx="5">
                  <c:v>26.190476190476193</c:v>
                </c:pt>
              </c:numCache>
            </c:numRef>
          </c:val>
          <c:smooth val="0"/>
          <c:extLst>
            <c:ext xmlns:c16="http://schemas.microsoft.com/office/drawing/2014/chart" uri="{C3380CC4-5D6E-409C-BE32-E72D297353CC}">
              <c16:uniqueId val="{0000000E-1746-404C-A8B0-0CF6B44A00E9}"/>
            </c:ext>
          </c:extLst>
        </c:ser>
        <c:ser>
          <c:idx val="15"/>
          <c:order val="15"/>
          <c:tx>
            <c:strRef>
              <c:f>'[Level D Data_SurgicalNAPS2021_TablesFigures_Table3Updated_23012023_Fig5Updated_09032023.xlsx]Figure A2.2'!$B$18</c:f>
              <c:strCache>
                <c:ptCount val="1"/>
                <c:pt idx="0">
                  <c:v>Other private</c:v>
                </c:pt>
              </c:strCache>
            </c:strRef>
          </c:tx>
          <c:spPr>
            <a:ln w="28575" cap="rnd">
              <a:solidFill>
                <a:schemeClr val="accent4">
                  <a:lumMod val="80000"/>
                  <a:lumOff val="20000"/>
                </a:schemeClr>
              </a:solidFill>
              <a:prstDash val="dash"/>
              <a:round/>
            </a:ln>
            <a:effectLst/>
          </c:spPr>
          <c:marker>
            <c:symbol val="none"/>
          </c:marker>
          <c:cat>
            <c:numRef>
              <c:f>'[Level D Data_SurgicalNAPS2021_TablesFigures_Table3Updated_23012023_Fig5Updated_09032023.xlsx]Figure A2.2'!$C$2:$H$2</c:f>
              <c:numCache>
                <c:formatCode>General</c:formatCode>
                <c:ptCount val="6"/>
                <c:pt idx="0">
                  <c:v>2016</c:v>
                </c:pt>
                <c:pt idx="1">
                  <c:v>2017</c:v>
                </c:pt>
                <c:pt idx="2">
                  <c:v>2018</c:v>
                </c:pt>
                <c:pt idx="3">
                  <c:v>2019</c:v>
                </c:pt>
                <c:pt idx="4">
                  <c:v>2020</c:v>
                </c:pt>
                <c:pt idx="5">
                  <c:v>2021</c:v>
                </c:pt>
              </c:numCache>
            </c:numRef>
          </c:cat>
          <c:val>
            <c:numRef>
              <c:f>'[Level D Data_SurgicalNAPS2021_TablesFigures_Table3Updated_23012023_Fig5Updated_09032023.xlsx]Figure A2.2'!$C$18:$H$18</c:f>
              <c:numCache>
                <c:formatCode>0.0</c:formatCode>
                <c:ptCount val="6"/>
                <c:pt idx="0">
                  <c:v>4</c:v>
                </c:pt>
                <c:pt idx="1">
                  <c:v>6</c:v>
                </c:pt>
                <c:pt idx="2">
                  <c:v>3</c:v>
                </c:pt>
                <c:pt idx="3">
                  <c:v>9</c:v>
                </c:pt>
                <c:pt idx="4">
                  <c:v>13</c:v>
                </c:pt>
                <c:pt idx="5">
                  <c:v>15</c:v>
                </c:pt>
              </c:numCache>
            </c:numRef>
          </c:val>
          <c:smooth val="0"/>
          <c:extLst>
            <c:ext xmlns:c16="http://schemas.microsoft.com/office/drawing/2014/chart" uri="{C3380CC4-5D6E-409C-BE32-E72D297353CC}">
              <c16:uniqueId val="{0000000F-1746-404C-A8B0-0CF6B44A00E9}"/>
            </c:ext>
          </c:extLst>
        </c:ser>
        <c:dLbls>
          <c:showLegendKey val="0"/>
          <c:showVal val="0"/>
          <c:showCatName val="0"/>
          <c:showSerName val="0"/>
          <c:showPercent val="0"/>
          <c:showBubbleSize val="0"/>
        </c:dLbls>
        <c:smooth val="0"/>
        <c:axId val="398960568"/>
        <c:axId val="398964488"/>
      </c:lineChart>
      <c:catAx>
        <c:axId val="3989605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t>Year of contribution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8964488"/>
        <c:crosses val="autoZero"/>
        <c:auto val="1"/>
        <c:lblAlgn val="ctr"/>
        <c:lblOffset val="100"/>
        <c:noMultiLvlLbl val="0"/>
      </c:catAx>
      <c:valAx>
        <c:axId val="3989644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b="1"/>
                  <a:t>Percentage of contribution</a:t>
                </a:r>
                <a:r>
                  <a:rPr lang="en-AU" b="1" baseline="0"/>
                  <a:t> (%)</a:t>
                </a:r>
                <a:endParaRPr lang="en-AU" b="1"/>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8960568"/>
        <c:crosses val="autoZero"/>
        <c:crossBetween val="between"/>
      </c:valAx>
      <c:spPr>
        <a:noFill/>
        <a:ln>
          <a:noFill/>
        </a:ln>
        <a:effectLst/>
      </c:spPr>
    </c:plotArea>
    <c:legend>
      <c:legendPos val="r"/>
      <c:legendEntry>
        <c:idx val="0"/>
        <c:txPr>
          <a:bodyPr rot="0" spcFirstLastPara="1" vertOverflow="ellipsis" vert="horz" wrap="square" anchor="ctr" anchorCtr="1"/>
          <a:lstStyle/>
          <a:p>
            <a:pPr>
              <a:defRPr sz="900" b="1" i="0" u="none" strike="noStrike" kern="1200" baseline="0">
                <a:ln>
                  <a:noFill/>
                </a:ln>
                <a:solidFill>
                  <a:schemeClr val="tx1"/>
                </a:solidFill>
                <a:latin typeface="+mn-lt"/>
                <a:ea typeface="+mn-ea"/>
                <a:cs typeface="+mn-cs"/>
              </a:defRPr>
            </a:pPr>
            <a:endParaRPr lang="en-US"/>
          </a:p>
        </c:txPr>
      </c:legendEntry>
      <c:legendEntry>
        <c:idx val="8"/>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legendEntry>
      <c:legendEntry>
        <c:idx val="9"/>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'Figure A3.3'!$A$21</c:f>
              <c:strCache>
                <c:ptCount val="1"/>
                <c:pt idx="0">
                  <c:v>Major cities</c:v>
                </c:pt>
              </c:strCache>
            </c:strRef>
          </c:tx>
          <c:spPr>
            <a:ln w="28575" cap="rnd">
              <a:solidFill>
                <a:schemeClr val="accent1"/>
              </a:solidFill>
              <a:round/>
            </a:ln>
            <a:effectLst/>
          </c:spPr>
          <c:marker>
            <c:symbol val="none"/>
          </c:marker>
          <c:cat>
            <c:numRef>
              <c:f>'Figure A3.3'!$B$20:$G$20</c:f>
              <c:numCache>
                <c:formatCode>General</c:formatCode>
                <c:ptCount val="6"/>
                <c:pt idx="0">
                  <c:v>2016</c:v>
                </c:pt>
                <c:pt idx="1">
                  <c:v>2017</c:v>
                </c:pt>
                <c:pt idx="2">
                  <c:v>2018</c:v>
                </c:pt>
                <c:pt idx="3">
                  <c:v>2019</c:v>
                </c:pt>
                <c:pt idx="4">
                  <c:v>2020</c:v>
                </c:pt>
                <c:pt idx="5">
                  <c:v>2021</c:v>
                </c:pt>
              </c:numCache>
            </c:numRef>
          </c:cat>
          <c:val>
            <c:numRef>
              <c:f>'Figure A3.3'!$B$21:$G$21</c:f>
              <c:numCache>
                <c:formatCode>0.0</c:formatCode>
                <c:ptCount val="6"/>
                <c:pt idx="0">
                  <c:v>13.429256594724221</c:v>
                </c:pt>
                <c:pt idx="1">
                  <c:v>17.505995203836928</c:v>
                </c:pt>
                <c:pt idx="2">
                  <c:v>16.067146282973621</c:v>
                </c:pt>
                <c:pt idx="3">
                  <c:v>23.021582733812952</c:v>
                </c:pt>
                <c:pt idx="4">
                  <c:v>22.781774580335732</c:v>
                </c:pt>
                <c:pt idx="5">
                  <c:v>25.65947242206235</c:v>
                </c:pt>
              </c:numCache>
            </c:numRef>
          </c:val>
          <c:smooth val="0"/>
          <c:extLst>
            <c:ext xmlns:c16="http://schemas.microsoft.com/office/drawing/2014/chart" uri="{C3380CC4-5D6E-409C-BE32-E72D297353CC}">
              <c16:uniqueId val="{00000000-2313-40CD-98CD-026E1E5CDCEB}"/>
            </c:ext>
          </c:extLst>
        </c:ser>
        <c:ser>
          <c:idx val="1"/>
          <c:order val="1"/>
          <c:tx>
            <c:strRef>
              <c:f>'Figure A3.3'!$A$22</c:f>
              <c:strCache>
                <c:ptCount val="1"/>
                <c:pt idx="0">
                  <c:v>Inner regional</c:v>
                </c:pt>
              </c:strCache>
            </c:strRef>
          </c:tx>
          <c:spPr>
            <a:ln w="28575" cap="rnd">
              <a:solidFill>
                <a:schemeClr val="accent2"/>
              </a:solidFill>
              <a:round/>
            </a:ln>
            <a:effectLst/>
          </c:spPr>
          <c:marker>
            <c:symbol val="none"/>
          </c:marker>
          <c:cat>
            <c:numRef>
              <c:f>'Figure A3.3'!$B$20:$G$20</c:f>
              <c:numCache>
                <c:formatCode>General</c:formatCode>
                <c:ptCount val="6"/>
                <c:pt idx="0">
                  <c:v>2016</c:v>
                </c:pt>
                <c:pt idx="1">
                  <c:v>2017</c:v>
                </c:pt>
                <c:pt idx="2">
                  <c:v>2018</c:v>
                </c:pt>
                <c:pt idx="3">
                  <c:v>2019</c:v>
                </c:pt>
                <c:pt idx="4">
                  <c:v>2020</c:v>
                </c:pt>
                <c:pt idx="5">
                  <c:v>2021</c:v>
                </c:pt>
              </c:numCache>
            </c:numRef>
          </c:cat>
          <c:val>
            <c:numRef>
              <c:f>'Figure A3.3'!$B$22:$G$22</c:f>
              <c:numCache>
                <c:formatCode>0.0</c:formatCode>
                <c:ptCount val="6"/>
                <c:pt idx="0">
                  <c:v>7.8703703703703702</c:v>
                </c:pt>
                <c:pt idx="1">
                  <c:v>12.962962962962962</c:v>
                </c:pt>
                <c:pt idx="2">
                  <c:v>17.12962962962963</c:v>
                </c:pt>
                <c:pt idx="3">
                  <c:v>17.592592592592592</c:v>
                </c:pt>
                <c:pt idx="4">
                  <c:v>17.592592592592592</c:v>
                </c:pt>
                <c:pt idx="5">
                  <c:v>21.75925925925926</c:v>
                </c:pt>
              </c:numCache>
            </c:numRef>
          </c:val>
          <c:smooth val="0"/>
          <c:extLst>
            <c:ext xmlns:c16="http://schemas.microsoft.com/office/drawing/2014/chart" uri="{C3380CC4-5D6E-409C-BE32-E72D297353CC}">
              <c16:uniqueId val="{00000001-2313-40CD-98CD-026E1E5CDCEB}"/>
            </c:ext>
          </c:extLst>
        </c:ser>
        <c:ser>
          <c:idx val="2"/>
          <c:order val="2"/>
          <c:tx>
            <c:strRef>
              <c:f>'Figure A3.3'!$A$23</c:f>
              <c:strCache>
                <c:ptCount val="1"/>
                <c:pt idx="0">
                  <c:v>Outer regional</c:v>
                </c:pt>
              </c:strCache>
            </c:strRef>
          </c:tx>
          <c:spPr>
            <a:ln w="28575" cap="rnd">
              <a:solidFill>
                <a:schemeClr val="accent3"/>
              </a:solidFill>
              <a:round/>
            </a:ln>
            <a:effectLst/>
          </c:spPr>
          <c:marker>
            <c:symbol val="none"/>
          </c:marker>
          <c:cat>
            <c:numRef>
              <c:f>'Figure A3.3'!$B$20:$G$20</c:f>
              <c:numCache>
                <c:formatCode>General</c:formatCode>
                <c:ptCount val="6"/>
                <c:pt idx="0">
                  <c:v>2016</c:v>
                </c:pt>
                <c:pt idx="1">
                  <c:v>2017</c:v>
                </c:pt>
                <c:pt idx="2">
                  <c:v>2018</c:v>
                </c:pt>
                <c:pt idx="3">
                  <c:v>2019</c:v>
                </c:pt>
                <c:pt idx="4">
                  <c:v>2020</c:v>
                </c:pt>
                <c:pt idx="5">
                  <c:v>2021</c:v>
                </c:pt>
              </c:numCache>
            </c:numRef>
          </c:cat>
          <c:val>
            <c:numRef>
              <c:f>'Figure A3.3'!$B$23:$G$23</c:f>
              <c:numCache>
                <c:formatCode>0.0</c:formatCode>
                <c:ptCount val="6"/>
                <c:pt idx="0">
                  <c:v>4.8192771084337354</c:v>
                </c:pt>
                <c:pt idx="1">
                  <c:v>4.8192771084337354</c:v>
                </c:pt>
                <c:pt idx="2">
                  <c:v>4.2168674698795181</c:v>
                </c:pt>
                <c:pt idx="3">
                  <c:v>6.024096385542169</c:v>
                </c:pt>
                <c:pt idx="4">
                  <c:v>12.650602409638553</c:v>
                </c:pt>
                <c:pt idx="5">
                  <c:v>14.457831325301203</c:v>
                </c:pt>
              </c:numCache>
            </c:numRef>
          </c:val>
          <c:smooth val="0"/>
          <c:extLst>
            <c:ext xmlns:c16="http://schemas.microsoft.com/office/drawing/2014/chart" uri="{C3380CC4-5D6E-409C-BE32-E72D297353CC}">
              <c16:uniqueId val="{00000002-2313-40CD-98CD-026E1E5CDCEB}"/>
            </c:ext>
          </c:extLst>
        </c:ser>
        <c:ser>
          <c:idx val="3"/>
          <c:order val="3"/>
          <c:tx>
            <c:strRef>
              <c:f>'Figure A3.3'!$A$24</c:f>
              <c:strCache>
                <c:ptCount val="1"/>
                <c:pt idx="0">
                  <c:v>Remote</c:v>
                </c:pt>
              </c:strCache>
            </c:strRef>
          </c:tx>
          <c:spPr>
            <a:ln w="28575" cap="rnd">
              <a:solidFill>
                <a:schemeClr val="accent4"/>
              </a:solidFill>
              <a:round/>
            </a:ln>
            <a:effectLst/>
          </c:spPr>
          <c:marker>
            <c:symbol val="none"/>
          </c:marker>
          <c:cat>
            <c:numRef>
              <c:f>'Figure A3.3'!$B$20:$G$20</c:f>
              <c:numCache>
                <c:formatCode>General</c:formatCode>
                <c:ptCount val="6"/>
                <c:pt idx="0">
                  <c:v>2016</c:v>
                </c:pt>
                <c:pt idx="1">
                  <c:v>2017</c:v>
                </c:pt>
                <c:pt idx="2">
                  <c:v>2018</c:v>
                </c:pt>
                <c:pt idx="3">
                  <c:v>2019</c:v>
                </c:pt>
                <c:pt idx="4">
                  <c:v>2020</c:v>
                </c:pt>
                <c:pt idx="5">
                  <c:v>2021</c:v>
                </c:pt>
              </c:numCache>
            </c:numRef>
          </c:cat>
          <c:val>
            <c:numRef>
              <c:f>'Figure A3.3'!$B$24:$G$24</c:f>
              <c:numCache>
                <c:formatCode>0.0</c:formatCode>
                <c:ptCount val="6"/>
                <c:pt idx="0">
                  <c:v>4.4444444444444446</c:v>
                </c:pt>
                <c:pt idx="1">
                  <c:v>2.2222222222222223</c:v>
                </c:pt>
                <c:pt idx="2">
                  <c:v>8.8888888888888893</c:v>
                </c:pt>
                <c:pt idx="3">
                  <c:v>11.111111111111111</c:v>
                </c:pt>
                <c:pt idx="4">
                  <c:v>6.666666666666667</c:v>
                </c:pt>
                <c:pt idx="5">
                  <c:v>6.666666666666667</c:v>
                </c:pt>
              </c:numCache>
            </c:numRef>
          </c:val>
          <c:smooth val="0"/>
          <c:extLst>
            <c:ext xmlns:c16="http://schemas.microsoft.com/office/drawing/2014/chart" uri="{C3380CC4-5D6E-409C-BE32-E72D297353CC}">
              <c16:uniqueId val="{00000003-2313-40CD-98CD-026E1E5CDCEB}"/>
            </c:ext>
          </c:extLst>
        </c:ser>
        <c:ser>
          <c:idx val="4"/>
          <c:order val="4"/>
          <c:tx>
            <c:strRef>
              <c:f>'Figure A3.3'!$A$25</c:f>
              <c:strCache>
                <c:ptCount val="1"/>
                <c:pt idx="0">
                  <c:v>Very remote</c:v>
                </c:pt>
              </c:strCache>
            </c:strRef>
          </c:tx>
          <c:spPr>
            <a:ln w="28575" cap="rnd">
              <a:solidFill>
                <a:schemeClr val="accent5"/>
              </a:solidFill>
              <a:round/>
            </a:ln>
            <a:effectLst/>
          </c:spPr>
          <c:marker>
            <c:symbol val="none"/>
          </c:marker>
          <c:cat>
            <c:numRef>
              <c:f>'Figure A3.3'!$B$20:$G$20</c:f>
              <c:numCache>
                <c:formatCode>General</c:formatCode>
                <c:ptCount val="6"/>
                <c:pt idx="0">
                  <c:v>2016</c:v>
                </c:pt>
                <c:pt idx="1">
                  <c:v>2017</c:v>
                </c:pt>
                <c:pt idx="2">
                  <c:v>2018</c:v>
                </c:pt>
                <c:pt idx="3">
                  <c:v>2019</c:v>
                </c:pt>
                <c:pt idx="4">
                  <c:v>2020</c:v>
                </c:pt>
                <c:pt idx="5">
                  <c:v>2021</c:v>
                </c:pt>
              </c:numCache>
            </c:numRef>
          </c:cat>
          <c:val>
            <c:numRef>
              <c:f>'Figure A3.3'!$B$25:$G$25</c:f>
              <c:numCache>
                <c:formatCode>0.0</c:formatCode>
                <c:ptCount val="6"/>
                <c:pt idx="0">
                  <c:v>3.7037037037037033</c:v>
                </c:pt>
                <c:pt idx="1">
                  <c:v>0</c:v>
                </c:pt>
                <c:pt idx="2">
                  <c:v>0</c:v>
                </c:pt>
                <c:pt idx="3">
                  <c:v>3.7037037037037033</c:v>
                </c:pt>
                <c:pt idx="4">
                  <c:v>0</c:v>
                </c:pt>
                <c:pt idx="5">
                  <c:v>0</c:v>
                </c:pt>
              </c:numCache>
            </c:numRef>
          </c:val>
          <c:smooth val="0"/>
          <c:extLst>
            <c:ext xmlns:c16="http://schemas.microsoft.com/office/drawing/2014/chart" uri="{C3380CC4-5D6E-409C-BE32-E72D297353CC}">
              <c16:uniqueId val="{00000004-2313-40CD-98CD-026E1E5CDCEB}"/>
            </c:ext>
          </c:extLst>
        </c:ser>
        <c:dLbls>
          <c:showLegendKey val="0"/>
          <c:showVal val="0"/>
          <c:showCatName val="0"/>
          <c:showSerName val="0"/>
          <c:showPercent val="0"/>
          <c:showBubbleSize val="0"/>
        </c:dLbls>
        <c:smooth val="0"/>
        <c:axId val="837092352"/>
        <c:axId val="837083336"/>
      </c:lineChart>
      <c:catAx>
        <c:axId val="837092352"/>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b="1">
                    <a:solidFill>
                      <a:sysClr val="windowText" lastClr="000000"/>
                    </a:solidFill>
                  </a:rPr>
                  <a:t>Year of contribution</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7083336"/>
        <c:crosses val="autoZero"/>
        <c:auto val="1"/>
        <c:lblAlgn val="ctr"/>
        <c:lblOffset val="100"/>
        <c:noMultiLvlLbl val="0"/>
      </c:catAx>
      <c:valAx>
        <c:axId val="8370833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b="1">
                    <a:solidFill>
                      <a:sysClr val="windowText" lastClr="000000"/>
                    </a:solidFill>
                  </a:rPr>
                  <a:t>Percentage contribution (%)</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709235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F72A-844C-B486-5F46D3A13FF3}"/>
              </c:ext>
            </c:extLst>
          </c:dPt>
          <c:dPt>
            <c:idx val="1"/>
            <c:invertIfNegative val="0"/>
            <c:bubble3D val="0"/>
            <c:spPr>
              <a:solidFill>
                <a:schemeClr val="accent1"/>
              </a:solidFill>
              <a:ln>
                <a:noFill/>
              </a:ln>
              <a:effectLst/>
            </c:spPr>
            <c:extLst>
              <c:ext xmlns:c16="http://schemas.microsoft.com/office/drawing/2014/chart" uri="{C3380CC4-5D6E-409C-BE32-E72D297353CC}">
                <c16:uniqueId val="{00000003-F72A-844C-B486-5F46D3A13FF3}"/>
              </c:ext>
            </c:extLst>
          </c:dPt>
          <c:dPt>
            <c:idx val="2"/>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05-F72A-844C-B486-5F46D3A13FF3}"/>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7-F72A-844C-B486-5F46D3A13FF3}"/>
              </c:ext>
            </c:extLst>
          </c:dPt>
          <c:dPt>
            <c:idx val="4"/>
            <c:invertIfNegative val="0"/>
            <c:bubble3D val="0"/>
            <c:spPr>
              <a:solidFill>
                <a:schemeClr val="accent1">
                  <a:lumMod val="40000"/>
                  <a:lumOff val="60000"/>
                </a:schemeClr>
              </a:solidFill>
              <a:ln>
                <a:noFill/>
              </a:ln>
              <a:effectLst/>
            </c:spPr>
            <c:extLst>
              <c:ext xmlns:c16="http://schemas.microsoft.com/office/drawing/2014/chart" uri="{C3380CC4-5D6E-409C-BE32-E72D297353CC}">
                <c16:uniqueId val="{00000009-F72A-844C-B486-5F46D3A13FF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A3.4'!$A$18:$A$22</c:f>
              <c:strCache>
                <c:ptCount val="5"/>
                <c:pt idx="0">
                  <c:v>Optimal</c:v>
                </c:pt>
                <c:pt idx="1">
                  <c:v>Adequate</c:v>
                </c:pt>
                <c:pt idx="2">
                  <c:v>Suboptimal</c:v>
                </c:pt>
                <c:pt idx="3">
                  <c:v>Inadequate</c:v>
                </c:pt>
                <c:pt idx="4">
                  <c:v>Not assessable</c:v>
                </c:pt>
              </c:strCache>
            </c:strRef>
          </c:cat>
          <c:val>
            <c:numRef>
              <c:f>'Figure A3.4'!$B$18:$B$22</c:f>
              <c:numCache>
                <c:formatCode>0.0</c:formatCode>
                <c:ptCount val="5"/>
                <c:pt idx="0">
                  <c:v>65.8</c:v>
                </c:pt>
                <c:pt idx="1">
                  <c:v>3</c:v>
                </c:pt>
                <c:pt idx="2">
                  <c:v>6.5</c:v>
                </c:pt>
                <c:pt idx="3">
                  <c:v>21.8</c:v>
                </c:pt>
                <c:pt idx="4">
                  <c:v>2.8</c:v>
                </c:pt>
              </c:numCache>
            </c:numRef>
          </c:val>
          <c:extLst>
            <c:ext xmlns:c16="http://schemas.microsoft.com/office/drawing/2014/chart" uri="{C3380CC4-5D6E-409C-BE32-E72D297353CC}">
              <c16:uniqueId val="{0000000A-F72A-844C-B486-5F46D3A13FF3}"/>
            </c:ext>
          </c:extLst>
        </c:ser>
        <c:dLbls>
          <c:dLblPos val="outEnd"/>
          <c:showLegendKey val="0"/>
          <c:showVal val="1"/>
          <c:showCatName val="0"/>
          <c:showSerName val="0"/>
          <c:showPercent val="0"/>
          <c:showBubbleSize val="0"/>
        </c:dLbls>
        <c:gapWidth val="219"/>
        <c:overlap val="-27"/>
        <c:axId val="837095096"/>
        <c:axId val="837090000"/>
      </c:barChart>
      <c:catAx>
        <c:axId val="837095096"/>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b="1">
                    <a:solidFill>
                      <a:sysClr val="windowText" lastClr="000000"/>
                    </a:solidFill>
                  </a:rPr>
                  <a:t>Appropriateness</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7090000"/>
        <c:crosses val="autoZero"/>
        <c:auto val="1"/>
        <c:lblAlgn val="ctr"/>
        <c:lblOffset val="100"/>
        <c:noMultiLvlLbl val="0"/>
      </c:catAx>
      <c:valAx>
        <c:axId val="837090000"/>
        <c:scaling>
          <c:orientation val="minMax"/>
        </c:scaling>
        <c:delete val="1"/>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AU" b="1">
                    <a:solidFill>
                      <a:sysClr val="windowText" lastClr="000000"/>
                    </a:solidFill>
                  </a:rPr>
                  <a:t>Percentage of doses (%)</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0.0" sourceLinked="1"/>
        <c:majorTickMark val="none"/>
        <c:minorTickMark val="none"/>
        <c:tickLblPos val="nextTo"/>
        <c:crossAx val="837095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7D9650C-199F-4E07-A7A0-10FD405DCB0C}" type="doc">
      <dgm:prSet loTypeId="urn:microsoft.com/office/officeart/2008/layout/NameandTitleOrganizationalChart" loCatId="hierarchy" qsTypeId="urn:microsoft.com/office/officeart/2005/8/quickstyle/simple1" qsCatId="simple" csTypeId="urn:microsoft.com/office/officeart/2005/8/colors/accent0_3" csCatId="mainScheme" phldr="1"/>
      <dgm:spPr/>
      <dgm:t>
        <a:bodyPr/>
        <a:lstStyle/>
        <a:p>
          <a:endParaRPr lang="en-AU"/>
        </a:p>
      </dgm:t>
    </dgm:pt>
    <dgm:pt modelId="{46E3F29C-E510-4D64-87DA-D011DA47AD0C}">
      <dgm:prSet phldrT="[Text]" custT="1"/>
      <dgm:spPr>
        <a:solidFill>
          <a:srgbClr val="4993B1"/>
        </a:solidFill>
      </dgm:spPr>
      <dgm:t>
        <a:bodyPr/>
        <a:lstStyle/>
        <a:p>
          <a:pPr algn="ctr"/>
          <a:r>
            <a:rPr lang="en-AU" sz="900">
              <a:solidFill>
                <a:sysClr val="windowText" lastClr="000000"/>
              </a:solidFill>
              <a:latin typeface="Arial" panose="020B0604020202020204" pitchFamily="34" charset="0"/>
              <a:cs typeface="Arial" panose="020B0604020202020204" pitchFamily="34" charset="0"/>
            </a:rPr>
            <a:t>181 facilities</a:t>
          </a:r>
        </a:p>
      </dgm:t>
    </dgm:pt>
    <dgm:pt modelId="{E6AE985C-90BE-484A-95E9-61DE6A9A7935}" type="parTrans" cxnId="{EA91BD67-8C25-40A6-9713-878FAC58525B}">
      <dgm:prSet/>
      <dgm:spPr/>
      <dgm:t>
        <a:bodyPr/>
        <a:lstStyle/>
        <a:p>
          <a:endParaRPr lang="en-AU">
            <a:latin typeface="Arial" panose="020B0604020202020204" pitchFamily="34" charset="0"/>
            <a:cs typeface="Arial" panose="020B0604020202020204" pitchFamily="34" charset="0"/>
          </a:endParaRPr>
        </a:p>
      </dgm:t>
    </dgm:pt>
    <dgm:pt modelId="{B5A3A0AD-FCC5-4C80-A6EE-5888F78B9E61}" type="sibTrans" cxnId="{EA91BD67-8C25-40A6-9713-878FAC58525B}">
      <dgm:prSet custT="1"/>
      <dgm:spPr>
        <a:solidFill>
          <a:schemeClr val="bg1">
            <a:alpha val="90000"/>
          </a:schemeClr>
        </a:solidFill>
        <a:ln>
          <a:noFill/>
        </a:ln>
        <a:effectLst>
          <a:outerShdw blurRad="50800" dist="38100" dir="2700000" algn="tl" rotWithShape="0">
            <a:prstClr val="black">
              <a:alpha val="40000"/>
            </a:prstClr>
          </a:outerShdw>
        </a:effectLst>
      </dgm:spPr>
      <dgm:t>
        <a:bodyPr/>
        <a:lstStyle/>
        <a:p>
          <a:pPr algn="r"/>
          <a:r>
            <a:rPr lang="en-AU" sz="900">
              <a:solidFill>
                <a:sysClr val="windowText" lastClr="000000"/>
              </a:solidFill>
              <a:latin typeface="Arial" panose="020B0604020202020204" pitchFamily="34" charset="0"/>
              <a:cs typeface="Arial" panose="020B0604020202020204" pitchFamily="34" charset="0"/>
            </a:rPr>
            <a:t>10,927 episodes</a:t>
          </a:r>
        </a:p>
      </dgm:t>
    </dgm:pt>
    <dgm:pt modelId="{979EBCC8-F627-4F92-94F7-41B7353EB4D6}">
      <dgm:prSet phldrT="[Text]" custT="1"/>
      <dgm:spPr>
        <a:solidFill>
          <a:srgbClr val="BCBEC0"/>
        </a:solidFill>
      </dgm:spPr>
      <dgm:t>
        <a:bodyPr/>
        <a:lstStyle/>
        <a:p>
          <a:r>
            <a:rPr lang="en-AU" sz="900">
              <a:solidFill>
                <a:sysClr val="windowText" lastClr="000000"/>
              </a:solidFill>
              <a:latin typeface="Arial" panose="020B0604020202020204" pitchFamily="34" charset="0"/>
              <a:cs typeface="Arial" panose="020B0604020202020204" pitchFamily="34" charset="0"/>
            </a:rPr>
            <a:t>Existing antimicrobials</a:t>
          </a:r>
        </a:p>
      </dgm:t>
    </dgm:pt>
    <dgm:pt modelId="{79CBC069-1D8F-47A2-BB4A-5ADF2FD3C4B0}" type="parTrans" cxnId="{6DE600B8-C0ED-40E1-8FBC-2FADCA558C81}">
      <dgm:prSet/>
      <dgm:spPr>
        <a:ln w="19050">
          <a:solidFill>
            <a:schemeClr val="accent5">
              <a:lumMod val="75000"/>
            </a:schemeClr>
          </a:solidFill>
        </a:ln>
      </dgm:spPr>
      <dgm:t>
        <a:bodyPr/>
        <a:lstStyle/>
        <a:p>
          <a:endParaRPr lang="en-AU">
            <a:latin typeface="Arial" panose="020B0604020202020204" pitchFamily="34" charset="0"/>
            <a:cs typeface="Arial" panose="020B0604020202020204" pitchFamily="34" charset="0"/>
          </a:endParaRPr>
        </a:p>
      </dgm:t>
    </dgm:pt>
    <dgm:pt modelId="{88F7FB7A-AF12-41DF-A59E-69E8D5540EFC}" type="sibTrans" cxnId="{6DE600B8-C0ED-40E1-8FBC-2FADCA558C81}">
      <dgm:prSet custT="1"/>
      <dgm:spPr>
        <a:solidFill>
          <a:schemeClr val="bg1">
            <a:alpha val="90000"/>
          </a:schemeClr>
        </a:solidFill>
        <a:ln>
          <a:noFill/>
        </a:ln>
        <a:effectLst>
          <a:outerShdw blurRad="50800" dist="38100" dir="2700000" algn="tl" rotWithShape="0">
            <a:prstClr val="black">
              <a:alpha val="40000"/>
            </a:prstClr>
          </a:outerShdw>
        </a:effectLst>
      </dgm:spPr>
      <dgm:t>
        <a:bodyPr/>
        <a:lstStyle/>
        <a:p>
          <a:pPr algn="r"/>
          <a:r>
            <a:rPr lang="en-AU" sz="900">
              <a:solidFill>
                <a:sysClr val="windowText" lastClr="000000"/>
              </a:solidFill>
              <a:latin typeface="Arial" panose="020B0604020202020204" pitchFamily="34" charset="0"/>
              <a:cs typeface="Arial" panose="020B0604020202020204" pitchFamily="34" charset="0"/>
            </a:rPr>
            <a:t>994 antimicrobials </a:t>
          </a:r>
          <a:br>
            <a:rPr lang="en-AU" sz="900">
              <a:solidFill>
                <a:sysClr val="windowText" lastClr="000000"/>
              </a:solidFill>
              <a:latin typeface="Arial" panose="020B0604020202020204" pitchFamily="34" charset="0"/>
              <a:cs typeface="Arial" panose="020B0604020202020204" pitchFamily="34" charset="0"/>
            </a:rPr>
          </a:br>
          <a:r>
            <a:rPr lang="en-AU" sz="900">
              <a:solidFill>
                <a:sysClr val="windowText" lastClr="000000"/>
              </a:solidFill>
              <a:latin typeface="Arial" panose="020B0604020202020204" pitchFamily="34" charset="0"/>
              <a:cs typeface="Arial" panose="020B0604020202020204" pitchFamily="34" charset="0"/>
            </a:rPr>
            <a:t>No further analysis</a:t>
          </a:r>
        </a:p>
      </dgm:t>
    </dgm:pt>
    <dgm:pt modelId="{56AEE87F-264D-4AE3-8722-7E335EBB7FB0}">
      <dgm:prSet phldrT="[Text]" custT="1"/>
      <dgm:spPr>
        <a:solidFill>
          <a:srgbClr val="557081"/>
        </a:solidFill>
      </dgm:spPr>
      <dgm:t>
        <a:bodyPr/>
        <a:lstStyle/>
        <a:p>
          <a:r>
            <a:rPr lang="en-AU" sz="900">
              <a:latin typeface="Arial" panose="020B0604020202020204" pitchFamily="34" charset="0"/>
              <a:cs typeface="Arial" panose="020B0604020202020204" pitchFamily="34" charset="0"/>
            </a:rPr>
            <a:t>Procedural antimicrobials</a:t>
          </a:r>
        </a:p>
      </dgm:t>
    </dgm:pt>
    <dgm:pt modelId="{7A8F674D-687A-4CEE-B042-389514C9D987}" type="parTrans" cxnId="{8DC8328E-6359-4EF8-A119-79A1CF8F5E4F}">
      <dgm:prSet/>
      <dgm:spPr>
        <a:ln w="19050">
          <a:solidFill>
            <a:schemeClr val="accent5">
              <a:lumMod val="75000"/>
            </a:schemeClr>
          </a:solidFill>
        </a:ln>
      </dgm:spPr>
      <dgm:t>
        <a:bodyPr/>
        <a:lstStyle/>
        <a:p>
          <a:endParaRPr lang="en-AU">
            <a:latin typeface="Arial" panose="020B0604020202020204" pitchFamily="34" charset="0"/>
            <a:cs typeface="Arial" panose="020B0604020202020204" pitchFamily="34" charset="0"/>
          </a:endParaRPr>
        </a:p>
      </dgm:t>
    </dgm:pt>
    <dgm:pt modelId="{57EEA4FA-8872-434B-BC08-043EF7D61789}" type="sibTrans" cxnId="{8DC8328E-6359-4EF8-A119-79A1CF8F5E4F}">
      <dgm:prSet custT="1">
        <dgm:style>
          <a:lnRef idx="2">
            <a:schemeClr val="dk1"/>
          </a:lnRef>
          <a:fillRef idx="1">
            <a:schemeClr val="lt1"/>
          </a:fillRef>
          <a:effectRef idx="0">
            <a:schemeClr val="dk1"/>
          </a:effectRef>
          <a:fontRef idx="minor">
            <a:schemeClr val="dk1"/>
          </a:fontRef>
        </dgm:style>
      </dgm:prSet>
      <dgm:spPr>
        <a:noFill/>
        <a:ln>
          <a:noFill/>
        </a:ln>
      </dgm:spPr>
      <dgm:t>
        <a:bodyPr/>
        <a:lstStyle/>
        <a:p>
          <a:endParaRPr lang="en-AU" sz="1000">
            <a:latin typeface="Arial" panose="020B0604020202020204" pitchFamily="34" charset="0"/>
            <a:cs typeface="Arial" panose="020B0604020202020204" pitchFamily="34" charset="0"/>
          </a:endParaRPr>
        </a:p>
      </dgm:t>
    </dgm:pt>
    <dgm:pt modelId="{EA7D8B3A-B366-4E94-9B2C-1A067F4E1584}">
      <dgm:prSet phldrT="[Text]" custT="1"/>
      <dgm:spPr>
        <a:solidFill>
          <a:srgbClr val="00A79D"/>
        </a:solidFill>
      </dgm:spPr>
      <dgm:t>
        <a:bodyPr/>
        <a:lstStyle/>
        <a:p>
          <a:r>
            <a:rPr lang="en-AU" sz="900">
              <a:solidFill>
                <a:sysClr val="windowText" lastClr="000000"/>
              </a:solidFill>
              <a:latin typeface="Arial" panose="020B0604020202020204" pitchFamily="34" charset="0"/>
              <a:cs typeface="Arial" panose="020B0604020202020204" pitchFamily="34" charset="0"/>
            </a:rPr>
            <a:t>Post-procedural antimicrobials</a:t>
          </a:r>
        </a:p>
      </dgm:t>
    </dgm:pt>
    <dgm:pt modelId="{9792DD06-EE25-49DC-BBA8-BE6DF31964F7}" type="parTrans" cxnId="{6AECE831-E05B-4D9E-A2F0-23B3546FF91C}">
      <dgm:prSet/>
      <dgm:spPr>
        <a:ln w="19050">
          <a:solidFill>
            <a:schemeClr val="accent5">
              <a:lumMod val="75000"/>
            </a:schemeClr>
          </a:solidFill>
        </a:ln>
      </dgm:spPr>
      <dgm:t>
        <a:bodyPr/>
        <a:lstStyle/>
        <a:p>
          <a:endParaRPr lang="en-AU">
            <a:latin typeface="Arial" panose="020B0604020202020204" pitchFamily="34" charset="0"/>
            <a:cs typeface="Arial" panose="020B0604020202020204" pitchFamily="34" charset="0"/>
          </a:endParaRPr>
        </a:p>
      </dgm:t>
    </dgm:pt>
    <dgm:pt modelId="{644F160D-9C36-46E1-9F41-8DF2B22DB51A}" type="sibTrans" cxnId="{6AECE831-E05B-4D9E-A2F0-23B3546FF91C}">
      <dgm:prSet custT="1"/>
      <dgm:spPr>
        <a:noFill/>
        <a:ln>
          <a:noFill/>
        </a:ln>
      </dgm:spPr>
      <dgm:t>
        <a:bodyPr/>
        <a:lstStyle/>
        <a:p>
          <a:endParaRPr lang="en-AU" sz="1000">
            <a:latin typeface="Arial" panose="020B0604020202020204" pitchFamily="34" charset="0"/>
            <a:cs typeface="Arial" panose="020B0604020202020204" pitchFamily="34" charset="0"/>
          </a:endParaRPr>
        </a:p>
      </dgm:t>
    </dgm:pt>
    <dgm:pt modelId="{E9F5BF36-8AF9-47EA-9DE4-18AE28FDC14A}">
      <dgm:prSet custT="1"/>
      <dgm:spPr>
        <a:solidFill>
          <a:srgbClr val="849EAE"/>
        </a:solidFill>
      </dgm:spPr>
      <dgm:t>
        <a:bodyPr/>
        <a:lstStyle/>
        <a:p>
          <a:r>
            <a:rPr lang="en-AU" sz="900">
              <a:solidFill>
                <a:sysClr val="windowText" lastClr="000000"/>
              </a:solidFill>
              <a:latin typeface="Arial" panose="020B0604020202020204" pitchFamily="34" charset="0"/>
              <a:cs typeface="Arial" panose="020B0604020202020204" pitchFamily="34" charset="0"/>
            </a:rPr>
            <a:t>None prescribed</a:t>
          </a:r>
        </a:p>
      </dgm:t>
    </dgm:pt>
    <dgm:pt modelId="{4183D664-D238-413E-94BD-441455E158A8}" type="parTrans" cxnId="{2A0C74F5-4025-41F7-AA21-AF45DD4FB056}">
      <dgm:prSet/>
      <dgm:spPr>
        <a:ln w="19050">
          <a:solidFill>
            <a:schemeClr val="accent5">
              <a:lumMod val="75000"/>
            </a:schemeClr>
          </a:solidFill>
        </a:ln>
      </dgm:spPr>
      <dgm:t>
        <a:bodyPr/>
        <a:lstStyle/>
        <a:p>
          <a:endParaRPr lang="en-AU">
            <a:latin typeface="Arial" panose="020B0604020202020204" pitchFamily="34" charset="0"/>
            <a:cs typeface="Arial" panose="020B0604020202020204" pitchFamily="34" charset="0"/>
          </a:endParaRPr>
        </a:p>
      </dgm:t>
    </dgm:pt>
    <dgm:pt modelId="{4B514456-DFE0-4EE9-B2D5-461FD8746AE6}" type="sibTrans" cxnId="{2A0C74F5-4025-41F7-AA21-AF45DD4FB056}">
      <dgm:prSet custT="1"/>
      <dgm:spPr>
        <a:solidFill>
          <a:schemeClr val="bg1">
            <a:alpha val="90000"/>
          </a:schemeClr>
        </a:solidFill>
        <a:ln>
          <a:noFill/>
        </a:ln>
        <a:effectLst>
          <a:outerShdw blurRad="50800" dist="38100" dir="2700000" algn="tl" rotWithShape="0">
            <a:prstClr val="black">
              <a:alpha val="40000"/>
            </a:prstClr>
          </a:outerShdw>
        </a:effectLst>
      </dgm:spPr>
      <dgm:t>
        <a:bodyPr/>
        <a:lstStyle/>
        <a:p>
          <a:pPr algn="r"/>
          <a:r>
            <a:rPr lang="en-AU" sz="870">
              <a:solidFill>
                <a:sysClr val="windowText" lastClr="000000"/>
              </a:solidFill>
              <a:latin typeface="Arial" panose="020B0604020202020204" pitchFamily="34" charset="0"/>
              <a:cs typeface="Arial" panose="020B0604020202020204" pitchFamily="34" charset="0"/>
            </a:rPr>
            <a:t>2,610 episodes </a:t>
          </a:r>
        </a:p>
        <a:p>
          <a:pPr algn="r"/>
          <a:r>
            <a:rPr lang="en-AU" sz="870">
              <a:solidFill>
                <a:sysClr val="windowText" lastClr="000000"/>
              </a:solidFill>
              <a:latin typeface="Arial" panose="020B0604020202020204" pitchFamily="34" charset="0"/>
              <a:cs typeface="Arial" panose="020B0604020202020204" pitchFamily="34" charset="0"/>
            </a:rPr>
            <a:t> 36 repeat doses indicated but not prescribed</a:t>
          </a:r>
          <a:r>
            <a:rPr lang="en-AU" sz="880">
              <a:solidFill>
                <a:sysClr val="windowText" lastClr="000000"/>
              </a:solidFill>
              <a:latin typeface="Arial" panose="020B0604020202020204" pitchFamily="34" charset="0"/>
              <a:cs typeface="Arial" panose="020B0604020202020204" pitchFamily="34" charset="0"/>
            </a:rPr>
            <a:t> </a:t>
          </a:r>
        </a:p>
      </dgm:t>
    </dgm:pt>
    <dgm:pt modelId="{CA39AD4F-3986-4CBA-9FD9-34F9AB4A4163}">
      <dgm:prSet custT="1"/>
      <dgm:spPr>
        <a:solidFill>
          <a:srgbClr val="557081"/>
        </a:solidFill>
      </dgm:spPr>
      <dgm:t>
        <a:bodyPr/>
        <a:lstStyle/>
        <a:p>
          <a:r>
            <a:rPr lang="en-AU" sz="900">
              <a:latin typeface="Arial" panose="020B0604020202020204" pitchFamily="34" charset="0"/>
              <a:cs typeface="Arial" panose="020B0604020202020204" pitchFamily="34" charset="0"/>
            </a:rPr>
            <a:t>Prescribed</a:t>
          </a:r>
        </a:p>
      </dgm:t>
    </dgm:pt>
    <dgm:pt modelId="{8554548D-C487-4988-BF0A-05742DCA6AEB}" type="parTrans" cxnId="{09300728-7FDB-4545-90DF-EAE5D800158A}">
      <dgm:prSet/>
      <dgm:spPr>
        <a:ln w="19050">
          <a:solidFill>
            <a:schemeClr val="accent5">
              <a:lumMod val="75000"/>
            </a:schemeClr>
          </a:solidFill>
        </a:ln>
      </dgm:spPr>
      <dgm:t>
        <a:bodyPr/>
        <a:lstStyle/>
        <a:p>
          <a:endParaRPr lang="en-AU">
            <a:latin typeface="Arial" panose="020B0604020202020204" pitchFamily="34" charset="0"/>
            <a:cs typeface="Arial" panose="020B0604020202020204" pitchFamily="34" charset="0"/>
          </a:endParaRPr>
        </a:p>
      </dgm:t>
    </dgm:pt>
    <dgm:pt modelId="{F25431E9-AABC-4F17-9947-EB8FEE8DBF59}" type="sibTrans" cxnId="{09300728-7FDB-4545-90DF-EAE5D800158A}">
      <dgm:prSet custT="1"/>
      <dgm:spPr>
        <a:solidFill>
          <a:schemeClr val="bg1">
            <a:alpha val="90000"/>
          </a:schemeClr>
        </a:solidFill>
        <a:ln>
          <a:noFill/>
        </a:ln>
        <a:effectLst>
          <a:outerShdw blurRad="50800" dist="38100" dir="2700000" algn="tl" rotWithShape="0">
            <a:prstClr val="black">
              <a:alpha val="40000"/>
            </a:prstClr>
          </a:outerShdw>
        </a:effectLst>
      </dgm:spPr>
      <dgm:t>
        <a:bodyPr/>
        <a:lstStyle/>
        <a:p>
          <a:pPr algn="r"/>
          <a:r>
            <a:rPr lang="en-AU" sz="900">
              <a:solidFill>
                <a:sysClr val="windowText" lastClr="000000"/>
              </a:solidFill>
              <a:latin typeface="Arial" panose="020B0604020202020204" pitchFamily="34" charset="0"/>
              <a:cs typeface="Arial" panose="020B0604020202020204" pitchFamily="34" charset="0"/>
            </a:rPr>
            <a:t>8,317 episodes</a:t>
          </a:r>
        </a:p>
        <a:p>
          <a:pPr algn="r"/>
          <a:r>
            <a:rPr lang="en-AU" sz="900">
              <a:solidFill>
                <a:sysClr val="windowText" lastClr="000000"/>
              </a:solidFill>
              <a:latin typeface="Arial" panose="020B0604020202020204" pitchFamily="34" charset="0"/>
              <a:cs typeface="Arial" panose="020B0604020202020204" pitchFamily="34" charset="0"/>
            </a:rPr>
            <a:t>9,599 doses</a:t>
          </a:r>
        </a:p>
      </dgm:t>
    </dgm:pt>
    <dgm:pt modelId="{9D59AB65-713F-4D55-A1E9-FF46DF1121AE}">
      <dgm:prSet custT="1"/>
      <dgm:spPr>
        <a:solidFill>
          <a:srgbClr val="557081"/>
        </a:solidFill>
      </dgm:spPr>
      <dgm:t>
        <a:bodyPr/>
        <a:lstStyle/>
        <a:p>
          <a:r>
            <a:rPr lang="en-AU" sz="900">
              <a:latin typeface="Arial" panose="020B0604020202020204" pitchFamily="34" charset="0"/>
              <a:cs typeface="Arial" panose="020B0604020202020204" pitchFamily="34" charset="0"/>
            </a:rPr>
            <a:t>Initial doses</a:t>
          </a:r>
        </a:p>
      </dgm:t>
    </dgm:pt>
    <dgm:pt modelId="{F6F6704D-7A67-4CB1-B78D-81B3887B7D9F}" type="parTrans" cxnId="{288CFE2F-805F-49C5-ABDD-48F8986C0FB6}">
      <dgm:prSet/>
      <dgm:spPr>
        <a:ln w="19050">
          <a:solidFill>
            <a:schemeClr val="accent5">
              <a:lumMod val="75000"/>
            </a:schemeClr>
          </a:solidFill>
        </a:ln>
      </dgm:spPr>
      <dgm:t>
        <a:bodyPr/>
        <a:lstStyle/>
        <a:p>
          <a:endParaRPr lang="en-AU">
            <a:latin typeface="Arial" panose="020B0604020202020204" pitchFamily="34" charset="0"/>
            <a:cs typeface="Arial" panose="020B0604020202020204" pitchFamily="34" charset="0"/>
          </a:endParaRPr>
        </a:p>
      </dgm:t>
    </dgm:pt>
    <dgm:pt modelId="{07746284-1DA3-4C47-A8F2-EFF986D0CBEC}" type="sibTrans" cxnId="{288CFE2F-805F-49C5-ABDD-48F8986C0FB6}">
      <dgm:prSet custT="1"/>
      <dgm:spPr>
        <a:solidFill>
          <a:schemeClr val="bg1">
            <a:alpha val="90000"/>
          </a:schemeClr>
        </a:solidFill>
        <a:ln>
          <a:noFill/>
        </a:ln>
        <a:effectLst>
          <a:outerShdw blurRad="50800" dist="38100" dir="2700000" algn="tl" rotWithShape="0">
            <a:prstClr val="black">
              <a:alpha val="40000"/>
            </a:prstClr>
          </a:outerShdw>
        </a:effectLst>
      </dgm:spPr>
      <dgm:t>
        <a:bodyPr/>
        <a:lstStyle/>
        <a:p>
          <a:r>
            <a:rPr lang="en-AU" sz="900">
              <a:solidFill>
                <a:sysClr val="windowText" lastClr="000000"/>
              </a:solidFill>
              <a:latin typeface="Arial" panose="020B0604020202020204" pitchFamily="34" charset="0"/>
              <a:cs typeface="Arial" panose="020B0604020202020204" pitchFamily="34" charset="0"/>
            </a:rPr>
            <a:t>9,262 doses</a:t>
          </a:r>
        </a:p>
      </dgm:t>
    </dgm:pt>
    <dgm:pt modelId="{E63E6931-4C17-4109-8BFE-8FE2D8857F7B}">
      <dgm:prSet custT="1"/>
      <dgm:spPr>
        <a:solidFill>
          <a:srgbClr val="557081"/>
        </a:solidFill>
      </dgm:spPr>
      <dgm:t>
        <a:bodyPr/>
        <a:lstStyle/>
        <a:p>
          <a:r>
            <a:rPr lang="en-AU" sz="900">
              <a:latin typeface="Arial" panose="020B0604020202020204" pitchFamily="34" charset="0"/>
              <a:cs typeface="Arial" panose="020B0604020202020204" pitchFamily="34" charset="0"/>
            </a:rPr>
            <a:t>Repeat doses</a:t>
          </a:r>
        </a:p>
      </dgm:t>
    </dgm:pt>
    <dgm:pt modelId="{47BB3EB3-BCB6-4A2F-926D-EB312D50CE8C}" type="parTrans" cxnId="{5C10BF30-0F06-4D34-9BE7-F69C9ACD9EB9}">
      <dgm:prSet/>
      <dgm:spPr>
        <a:ln w="19050">
          <a:solidFill>
            <a:schemeClr val="accent5">
              <a:lumMod val="75000"/>
            </a:schemeClr>
          </a:solidFill>
        </a:ln>
      </dgm:spPr>
      <dgm:t>
        <a:bodyPr/>
        <a:lstStyle/>
        <a:p>
          <a:endParaRPr lang="en-AU">
            <a:latin typeface="Arial" panose="020B0604020202020204" pitchFamily="34" charset="0"/>
            <a:cs typeface="Arial" panose="020B0604020202020204" pitchFamily="34" charset="0"/>
          </a:endParaRPr>
        </a:p>
      </dgm:t>
    </dgm:pt>
    <dgm:pt modelId="{13FE0BEE-AFC3-488C-95CA-2F2BECA83345}" type="sibTrans" cxnId="{5C10BF30-0F06-4D34-9BE7-F69C9ACD9EB9}">
      <dgm:prSet custT="1"/>
      <dgm:spPr>
        <a:solidFill>
          <a:schemeClr val="bg1">
            <a:alpha val="90000"/>
          </a:schemeClr>
        </a:solidFill>
        <a:ln>
          <a:noFill/>
        </a:ln>
        <a:effectLst>
          <a:outerShdw blurRad="50800" dist="38100" dir="2700000" algn="tl" rotWithShape="0">
            <a:prstClr val="black">
              <a:alpha val="40000"/>
            </a:prstClr>
          </a:outerShdw>
        </a:effectLst>
      </dgm:spPr>
      <dgm:t>
        <a:bodyPr/>
        <a:lstStyle/>
        <a:p>
          <a:r>
            <a:rPr lang="en-AU" sz="900">
              <a:solidFill>
                <a:sysClr val="windowText" lastClr="000000"/>
              </a:solidFill>
              <a:latin typeface="Arial" panose="020B0604020202020204" pitchFamily="34" charset="0"/>
              <a:cs typeface="Arial" panose="020B0604020202020204" pitchFamily="34" charset="0"/>
            </a:rPr>
            <a:t>337 doses</a:t>
          </a:r>
        </a:p>
      </dgm:t>
    </dgm:pt>
    <dgm:pt modelId="{1649ADDE-941B-4001-82CA-854A221A9D1B}">
      <dgm:prSet custT="1"/>
      <dgm:spPr>
        <a:solidFill>
          <a:srgbClr val="00A79D"/>
        </a:solidFill>
      </dgm:spPr>
      <dgm:t>
        <a:bodyPr/>
        <a:lstStyle/>
        <a:p>
          <a:r>
            <a:rPr lang="en-AU" sz="900">
              <a:solidFill>
                <a:sysClr val="windowText" lastClr="000000"/>
              </a:solidFill>
              <a:latin typeface="Arial" panose="020B0604020202020204" pitchFamily="34" charset="0"/>
              <a:cs typeface="Arial" panose="020B0604020202020204" pitchFamily="34" charset="0"/>
            </a:rPr>
            <a:t>Prescribed</a:t>
          </a:r>
        </a:p>
      </dgm:t>
    </dgm:pt>
    <dgm:pt modelId="{3DA14686-F57F-469A-B7F6-96964A49D9A8}" type="parTrans" cxnId="{122E4691-78E0-4FFC-91F3-09825AB5C3EF}">
      <dgm:prSet/>
      <dgm:spPr>
        <a:ln w="19050">
          <a:solidFill>
            <a:schemeClr val="accent5">
              <a:lumMod val="75000"/>
            </a:schemeClr>
          </a:solidFill>
        </a:ln>
      </dgm:spPr>
      <dgm:t>
        <a:bodyPr/>
        <a:lstStyle/>
        <a:p>
          <a:endParaRPr lang="en-AU">
            <a:latin typeface="Arial" panose="020B0604020202020204" pitchFamily="34" charset="0"/>
            <a:cs typeface="Arial" panose="020B0604020202020204" pitchFamily="34" charset="0"/>
          </a:endParaRPr>
        </a:p>
      </dgm:t>
    </dgm:pt>
    <dgm:pt modelId="{D522D4BC-8D15-46D8-B72F-7F099DC5EAAE}" type="sibTrans" cxnId="{122E4691-78E0-4FFC-91F3-09825AB5C3EF}">
      <dgm:prSet custT="1"/>
      <dgm:spPr>
        <a:solidFill>
          <a:schemeClr val="bg1">
            <a:alpha val="90000"/>
          </a:schemeClr>
        </a:solidFill>
        <a:ln>
          <a:noFill/>
        </a:ln>
        <a:effectLst>
          <a:outerShdw blurRad="50800" dist="38100" dir="2700000" algn="tl" rotWithShape="0">
            <a:prstClr val="black">
              <a:alpha val="40000"/>
            </a:prstClr>
          </a:outerShdw>
        </a:effectLst>
      </dgm:spPr>
      <dgm:t>
        <a:bodyPr/>
        <a:lstStyle/>
        <a:p>
          <a:r>
            <a:rPr lang="en-AU" sz="900">
              <a:solidFill>
                <a:sysClr val="windowText" lastClr="000000"/>
              </a:solidFill>
              <a:latin typeface="Arial" panose="020B0604020202020204" pitchFamily="34" charset="0"/>
              <a:cs typeface="Arial" panose="020B0604020202020204" pitchFamily="34" charset="0"/>
            </a:rPr>
            <a:t>4,587 episodes</a:t>
          </a:r>
        </a:p>
        <a:p>
          <a:r>
            <a:rPr lang="en-AU" sz="900">
              <a:solidFill>
                <a:sysClr val="windowText" lastClr="000000"/>
              </a:solidFill>
              <a:latin typeface="Arial" panose="020B0604020202020204" pitchFamily="34" charset="0"/>
              <a:cs typeface="Arial" panose="020B0604020202020204" pitchFamily="34" charset="0"/>
            </a:rPr>
            <a:t>5,634 prescriptions</a:t>
          </a:r>
        </a:p>
      </dgm:t>
    </dgm:pt>
    <dgm:pt modelId="{E2FA6B3A-97FF-4AAD-909B-23D621085B52}">
      <dgm:prSet custT="1"/>
      <dgm:spPr>
        <a:solidFill>
          <a:srgbClr val="ADD4D1"/>
        </a:solidFill>
      </dgm:spPr>
      <dgm:t>
        <a:bodyPr/>
        <a:lstStyle/>
        <a:p>
          <a:r>
            <a:rPr lang="en-AU" sz="900">
              <a:solidFill>
                <a:sysClr val="windowText" lastClr="000000"/>
              </a:solidFill>
              <a:latin typeface="Arial" panose="020B0604020202020204" pitchFamily="34" charset="0"/>
              <a:cs typeface="Arial" panose="020B0604020202020204" pitchFamily="34" charset="0"/>
            </a:rPr>
            <a:t>Not assessable</a:t>
          </a:r>
        </a:p>
      </dgm:t>
    </dgm:pt>
    <dgm:pt modelId="{9187A4B4-F120-46CA-82A7-3964C60ACD90}" type="parTrans" cxnId="{59C35232-B19E-4B62-A63B-B4464865D15E}">
      <dgm:prSet/>
      <dgm:spPr>
        <a:ln w="19050">
          <a:solidFill>
            <a:schemeClr val="accent5">
              <a:lumMod val="75000"/>
            </a:schemeClr>
          </a:solidFill>
        </a:ln>
      </dgm:spPr>
      <dgm:t>
        <a:bodyPr/>
        <a:lstStyle/>
        <a:p>
          <a:endParaRPr lang="en-AU">
            <a:latin typeface="Arial" panose="020B0604020202020204" pitchFamily="34" charset="0"/>
            <a:cs typeface="Arial" panose="020B0604020202020204" pitchFamily="34" charset="0"/>
          </a:endParaRPr>
        </a:p>
      </dgm:t>
    </dgm:pt>
    <dgm:pt modelId="{8FA9C086-F66C-4F7D-9946-85E1E7682A68}" type="sibTrans" cxnId="{59C35232-B19E-4B62-A63B-B4464865D15E}">
      <dgm:prSet custT="1"/>
      <dgm:spPr>
        <a:solidFill>
          <a:schemeClr val="bg1">
            <a:alpha val="90000"/>
          </a:schemeClr>
        </a:solidFill>
        <a:ln>
          <a:noFill/>
        </a:ln>
        <a:effectLst>
          <a:outerShdw blurRad="50800" dist="38100" dir="2700000" algn="tl" rotWithShape="0">
            <a:prstClr val="black">
              <a:alpha val="40000"/>
            </a:prstClr>
          </a:outerShdw>
        </a:effectLst>
      </dgm:spPr>
      <dgm:t>
        <a:bodyPr/>
        <a:lstStyle/>
        <a:p>
          <a:r>
            <a:rPr lang="en-AU" sz="900">
              <a:solidFill>
                <a:sysClr val="windowText" lastClr="000000"/>
              </a:solidFill>
              <a:latin typeface="Arial" panose="020B0604020202020204" pitchFamily="34" charset="0"/>
              <a:cs typeface="Arial" panose="020B0604020202020204" pitchFamily="34" charset="0"/>
            </a:rPr>
            <a:t>310 episodes</a:t>
          </a:r>
        </a:p>
      </dgm:t>
    </dgm:pt>
    <dgm:pt modelId="{FD9D9E14-BB35-4DD4-9834-70BC2BBC5CD0}">
      <dgm:prSet custT="1"/>
      <dgm:spPr>
        <a:solidFill>
          <a:srgbClr val="BCBEC0"/>
        </a:solidFill>
      </dgm:spPr>
      <dgm:t>
        <a:bodyPr/>
        <a:lstStyle/>
        <a:p>
          <a:r>
            <a:rPr lang="en-AU" sz="900">
              <a:solidFill>
                <a:sysClr val="windowText" lastClr="000000"/>
              </a:solidFill>
              <a:latin typeface="Arial" panose="020B0604020202020204" pitchFamily="34" charset="0"/>
              <a:cs typeface="Arial" panose="020B0604020202020204" pitchFamily="34" charset="0"/>
            </a:rPr>
            <a:t>Episodes where no prescriptions were for prophylaxis</a:t>
          </a:r>
        </a:p>
      </dgm:t>
    </dgm:pt>
    <dgm:pt modelId="{61E48F99-D9D6-4EDB-825C-4B8D2003F186}" type="parTrans" cxnId="{70E40934-7DC8-4CC7-B284-8E9A70A1CF16}">
      <dgm:prSet/>
      <dgm:spPr>
        <a:ln w="19050">
          <a:solidFill>
            <a:schemeClr val="accent5">
              <a:lumMod val="75000"/>
            </a:schemeClr>
          </a:solidFill>
        </a:ln>
      </dgm:spPr>
      <dgm:t>
        <a:bodyPr/>
        <a:lstStyle/>
        <a:p>
          <a:endParaRPr lang="en-AU">
            <a:latin typeface="Arial" panose="020B0604020202020204" pitchFamily="34" charset="0"/>
            <a:cs typeface="Arial" panose="020B0604020202020204" pitchFamily="34" charset="0"/>
          </a:endParaRPr>
        </a:p>
      </dgm:t>
    </dgm:pt>
    <dgm:pt modelId="{4FE01682-F7E2-40BC-9E31-CA50E2FBDC24}" type="sibTrans" cxnId="{70E40934-7DC8-4CC7-B284-8E9A70A1CF16}">
      <dgm:prSet custT="1"/>
      <dgm:spPr>
        <a:solidFill>
          <a:schemeClr val="bg1">
            <a:alpha val="90000"/>
          </a:schemeClr>
        </a:solidFill>
        <a:ln>
          <a:noFill/>
        </a:ln>
        <a:effectLst>
          <a:outerShdw blurRad="50800" dist="38100" dir="2700000" algn="tl" rotWithShape="0">
            <a:prstClr val="black">
              <a:alpha val="40000"/>
            </a:prstClr>
          </a:outerShdw>
        </a:effectLst>
      </dgm:spPr>
      <dgm:t>
        <a:bodyPr/>
        <a:lstStyle/>
        <a:p>
          <a:r>
            <a:rPr lang="en-AU" sz="900">
              <a:solidFill>
                <a:sysClr val="windowText" lastClr="000000"/>
              </a:solidFill>
              <a:latin typeface="Arial" panose="020B0604020202020204" pitchFamily="34" charset="0"/>
              <a:cs typeface="Arial" panose="020B0604020202020204" pitchFamily="34" charset="0"/>
            </a:rPr>
            <a:t>609 episodes</a:t>
          </a:r>
        </a:p>
        <a:p>
          <a:r>
            <a:rPr lang="en-AU" sz="900">
              <a:solidFill>
                <a:sysClr val="windowText" lastClr="000000"/>
              </a:solidFill>
              <a:latin typeface="Arial" panose="020B0604020202020204" pitchFamily="34" charset="0"/>
              <a:cs typeface="Arial" panose="020B0604020202020204" pitchFamily="34" charset="0"/>
            </a:rPr>
            <a:t>919 prescriptions</a:t>
          </a:r>
        </a:p>
        <a:p>
          <a:r>
            <a:rPr lang="en-AU" sz="900">
              <a:solidFill>
                <a:sysClr val="windowText" lastClr="000000"/>
              </a:solidFill>
              <a:latin typeface="Arial" panose="020B0604020202020204" pitchFamily="34" charset="0"/>
              <a:cs typeface="Arial" panose="020B0604020202020204" pitchFamily="34" charset="0"/>
            </a:rPr>
            <a:t>No further analysis</a:t>
          </a:r>
        </a:p>
      </dgm:t>
    </dgm:pt>
    <dgm:pt modelId="{B821C55E-A667-4C76-8447-9C2094FB14EB}">
      <dgm:prSet custT="1"/>
      <dgm:spPr>
        <a:solidFill>
          <a:srgbClr val="ADD4D1"/>
        </a:solidFill>
      </dgm:spPr>
      <dgm:t>
        <a:bodyPr/>
        <a:lstStyle/>
        <a:p>
          <a:r>
            <a:rPr lang="en-AU" sz="900">
              <a:solidFill>
                <a:sysClr val="windowText" lastClr="000000"/>
              </a:solidFill>
              <a:latin typeface="Arial" panose="020B0604020202020204" pitchFamily="34" charset="0"/>
              <a:cs typeface="Arial" panose="020B0604020202020204" pitchFamily="34" charset="0"/>
            </a:rPr>
            <a:t>None prescribed</a:t>
          </a:r>
        </a:p>
      </dgm:t>
    </dgm:pt>
    <dgm:pt modelId="{951E5589-F07E-4A14-91E5-6FF9D5B4928F}" type="sibTrans" cxnId="{BD763BE0-EED4-448F-BA1D-16A225611D85}">
      <dgm:prSet custT="1"/>
      <dgm:spPr>
        <a:solidFill>
          <a:schemeClr val="bg1">
            <a:alpha val="90000"/>
          </a:schemeClr>
        </a:solidFill>
        <a:ln>
          <a:noFill/>
        </a:ln>
        <a:effectLst>
          <a:outerShdw blurRad="50800" dist="38100" dir="2700000" algn="tl" rotWithShape="0">
            <a:prstClr val="black">
              <a:alpha val="40000"/>
            </a:prstClr>
          </a:outerShdw>
        </a:effectLst>
      </dgm:spPr>
      <dgm:t>
        <a:bodyPr/>
        <a:lstStyle/>
        <a:p>
          <a:r>
            <a:rPr lang="en-AU" sz="900">
              <a:solidFill>
                <a:sysClr val="windowText" lastClr="000000"/>
              </a:solidFill>
              <a:latin typeface="Arial" panose="020B0604020202020204" pitchFamily="34" charset="0"/>
              <a:cs typeface="Arial" panose="020B0604020202020204" pitchFamily="34" charset="0"/>
            </a:rPr>
            <a:t>6,030 episodes</a:t>
          </a:r>
        </a:p>
      </dgm:t>
    </dgm:pt>
    <dgm:pt modelId="{9F291CF5-4714-4F02-B774-EB708ACFF706}" type="parTrans" cxnId="{BD763BE0-EED4-448F-BA1D-16A225611D85}">
      <dgm:prSet/>
      <dgm:spPr>
        <a:ln w="19050">
          <a:solidFill>
            <a:schemeClr val="accent5">
              <a:lumMod val="75000"/>
            </a:schemeClr>
          </a:solidFill>
        </a:ln>
      </dgm:spPr>
      <dgm:t>
        <a:bodyPr/>
        <a:lstStyle/>
        <a:p>
          <a:endParaRPr lang="en-AU">
            <a:latin typeface="Arial" panose="020B0604020202020204" pitchFamily="34" charset="0"/>
            <a:cs typeface="Arial" panose="020B0604020202020204" pitchFamily="34" charset="0"/>
          </a:endParaRPr>
        </a:p>
      </dgm:t>
    </dgm:pt>
    <dgm:pt modelId="{35DF37A6-1974-493A-8A7E-660C3B9A17D4}">
      <dgm:prSet custT="1"/>
      <dgm:spPr>
        <a:solidFill>
          <a:srgbClr val="00A79D"/>
        </a:solidFill>
      </dgm:spPr>
      <dgm:t>
        <a:bodyPr/>
        <a:lstStyle/>
        <a:p>
          <a:r>
            <a:rPr lang="en-AU" sz="900">
              <a:solidFill>
                <a:sysClr val="windowText" lastClr="000000"/>
              </a:solidFill>
              <a:latin typeface="Arial" panose="020B0604020202020204" pitchFamily="34" charset="0"/>
              <a:cs typeface="Arial" panose="020B0604020202020204" pitchFamily="34" charset="0"/>
            </a:rPr>
            <a:t>Episodes where at least one prescription was for prophylaxis</a:t>
          </a:r>
        </a:p>
      </dgm:t>
    </dgm:pt>
    <dgm:pt modelId="{3863EBBA-355F-40E8-86E2-2EACDBD540BD}" type="parTrans" cxnId="{970BA64F-81E0-427D-9596-FF8413FC5BF2}">
      <dgm:prSet/>
      <dgm:spPr>
        <a:ln w="19050">
          <a:solidFill>
            <a:schemeClr val="accent5">
              <a:lumMod val="75000"/>
            </a:schemeClr>
          </a:solidFill>
        </a:ln>
      </dgm:spPr>
      <dgm:t>
        <a:bodyPr/>
        <a:lstStyle/>
        <a:p>
          <a:endParaRPr lang="en-AU"/>
        </a:p>
      </dgm:t>
    </dgm:pt>
    <dgm:pt modelId="{39798E1A-6623-40AF-94FE-A7956C19F3C6}" type="sibTrans" cxnId="{970BA64F-81E0-427D-9596-FF8413FC5BF2}">
      <dgm:prSet custT="1"/>
      <dgm:spPr>
        <a:solidFill>
          <a:schemeClr val="bg1">
            <a:alpha val="90000"/>
          </a:schemeClr>
        </a:solidFill>
        <a:ln>
          <a:noFill/>
        </a:ln>
        <a:effectLst>
          <a:outerShdw blurRad="50800" dist="38100" dir="2700000" algn="tl" rotWithShape="0">
            <a:prstClr val="black">
              <a:alpha val="40000"/>
            </a:prstClr>
          </a:outerShdw>
        </a:effectLst>
      </dgm:spPr>
      <dgm:t>
        <a:bodyPr/>
        <a:lstStyle/>
        <a:p>
          <a:r>
            <a:rPr lang="en-AU" sz="900">
              <a:solidFill>
                <a:sysClr val="windowText" lastClr="000000"/>
              </a:solidFill>
              <a:latin typeface="Arial" panose="020B0604020202020204" pitchFamily="34" charset="0"/>
              <a:cs typeface="Arial" panose="020B0604020202020204" pitchFamily="34" charset="0"/>
            </a:rPr>
            <a:t>3,978 episodes</a:t>
          </a:r>
        </a:p>
        <a:p>
          <a:r>
            <a:rPr lang="en-AU" sz="900">
              <a:solidFill>
                <a:sysClr val="windowText" lastClr="000000"/>
              </a:solidFill>
              <a:latin typeface="Arial" panose="020B0604020202020204" pitchFamily="34" charset="0"/>
              <a:cs typeface="Arial" panose="020B0604020202020204" pitchFamily="34" charset="0"/>
            </a:rPr>
            <a:t>4,715 prescriptions</a:t>
          </a:r>
        </a:p>
      </dgm:t>
    </dgm:pt>
    <dgm:pt modelId="{35F580A8-DB0A-4AC2-832A-A90E877C30DA}">
      <dgm:prSet custT="1"/>
      <dgm:spPr>
        <a:solidFill>
          <a:srgbClr val="00A79D"/>
        </a:solidFill>
      </dgm:spPr>
      <dgm:t>
        <a:bodyPr/>
        <a:lstStyle/>
        <a:p>
          <a:r>
            <a:rPr lang="en-AU" sz="900">
              <a:solidFill>
                <a:sysClr val="windowText" lastClr="000000"/>
              </a:solidFill>
              <a:latin typeface="Arial" panose="020B0604020202020204" pitchFamily="34" charset="0"/>
              <a:cs typeface="Arial" panose="020B0604020202020204" pitchFamily="34" charset="0"/>
            </a:rPr>
            <a:t>Prophylaxis</a:t>
          </a:r>
        </a:p>
      </dgm:t>
    </dgm:pt>
    <dgm:pt modelId="{FB32725B-08EB-4293-AA29-BD662BF370D0}" type="parTrans" cxnId="{BBF69F10-1751-4F24-9129-D22DFBFA0EA2}">
      <dgm:prSet/>
      <dgm:spPr>
        <a:ln w="19050">
          <a:solidFill>
            <a:schemeClr val="accent5">
              <a:lumMod val="75000"/>
            </a:schemeClr>
          </a:solidFill>
        </a:ln>
      </dgm:spPr>
      <dgm:t>
        <a:bodyPr/>
        <a:lstStyle/>
        <a:p>
          <a:endParaRPr lang="en-AU"/>
        </a:p>
      </dgm:t>
    </dgm:pt>
    <dgm:pt modelId="{BED80D0C-6DB5-4D25-A8DE-E1F67E1A953B}" type="sibTrans" cxnId="{BBF69F10-1751-4F24-9129-D22DFBFA0EA2}">
      <dgm:prSet custT="1"/>
      <dgm:spPr>
        <a:solidFill>
          <a:schemeClr val="bg1">
            <a:alpha val="90000"/>
          </a:schemeClr>
        </a:solidFill>
        <a:ln>
          <a:noFill/>
        </a:ln>
        <a:effectLst>
          <a:outerShdw blurRad="50800" dist="38100" dir="2700000" algn="tl" rotWithShape="0">
            <a:prstClr val="black">
              <a:alpha val="40000"/>
            </a:prstClr>
          </a:outerShdw>
        </a:effectLst>
      </dgm:spPr>
      <dgm:t>
        <a:bodyPr/>
        <a:lstStyle/>
        <a:p>
          <a:r>
            <a:rPr lang="en-AU" sz="900">
              <a:solidFill>
                <a:sysClr val="windowText" lastClr="000000"/>
              </a:solidFill>
              <a:latin typeface="Arial" panose="020B0604020202020204" pitchFamily="34" charset="0"/>
              <a:cs typeface="Arial" panose="020B0604020202020204" pitchFamily="34" charset="0"/>
            </a:rPr>
            <a:t>4,585 prescriptions</a:t>
          </a:r>
        </a:p>
      </dgm:t>
    </dgm:pt>
    <dgm:pt modelId="{CC03AC92-D2A0-4023-A03F-6A3197C787BE}">
      <dgm:prSet custT="1"/>
      <dgm:spPr>
        <a:solidFill>
          <a:srgbClr val="BCBEC0"/>
        </a:solidFill>
      </dgm:spPr>
      <dgm:t>
        <a:bodyPr/>
        <a:lstStyle/>
        <a:p>
          <a:r>
            <a:rPr lang="en-AU" sz="900">
              <a:solidFill>
                <a:sysClr val="windowText" lastClr="000000"/>
              </a:solidFill>
              <a:latin typeface="Arial" panose="020B0604020202020204" pitchFamily="34" charset="0"/>
              <a:cs typeface="Arial" panose="020B0604020202020204" pitchFamily="34" charset="0"/>
            </a:rPr>
            <a:t>Treatment</a:t>
          </a:r>
        </a:p>
      </dgm:t>
    </dgm:pt>
    <dgm:pt modelId="{C2F6BBDE-8B6D-43FE-955A-100213FEFE86}" type="parTrans" cxnId="{2A34291E-4237-45A3-8D07-E15E67628EDB}">
      <dgm:prSet/>
      <dgm:spPr>
        <a:ln w="19050">
          <a:solidFill>
            <a:schemeClr val="accent5">
              <a:lumMod val="75000"/>
            </a:schemeClr>
          </a:solidFill>
        </a:ln>
      </dgm:spPr>
      <dgm:t>
        <a:bodyPr/>
        <a:lstStyle/>
        <a:p>
          <a:endParaRPr lang="en-AU"/>
        </a:p>
      </dgm:t>
    </dgm:pt>
    <dgm:pt modelId="{24878D02-7006-4DCC-8A04-C7DF60F79537}" type="sibTrans" cxnId="{2A34291E-4237-45A3-8D07-E15E67628EDB}">
      <dgm:prSet custT="1"/>
      <dgm:spPr>
        <a:solidFill>
          <a:schemeClr val="bg1">
            <a:alpha val="90000"/>
          </a:schemeClr>
        </a:solidFill>
        <a:ln>
          <a:noFill/>
        </a:ln>
        <a:effectLst>
          <a:outerShdw blurRad="50800" dist="38100" dir="2700000" algn="tl" rotWithShape="0">
            <a:prstClr val="black">
              <a:alpha val="40000"/>
            </a:prstClr>
          </a:outerShdw>
        </a:effectLst>
      </dgm:spPr>
      <dgm:t>
        <a:bodyPr/>
        <a:lstStyle/>
        <a:p>
          <a:r>
            <a:rPr lang="en-AU" sz="900">
              <a:solidFill>
                <a:sysClr val="windowText" lastClr="000000"/>
              </a:solidFill>
              <a:latin typeface="Arial" panose="020B0604020202020204" pitchFamily="34" charset="0"/>
              <a:cs typeface="Arial" panose="020B0604020202020204" pitchFamily="34" charset="0"/>
            </a:rPr>
            <a:t>97 prescriptions</a:t>
          </a:r>
        </a:p>
        <a:p>
          <a:r>
            <a:rPr lang="en-AU" sz="900">
              <a:solidFill>
                <a:sysClr val="windowText" lastClr="000000"/>
              </a:solidFill>
              <a:latin typeface="Arial" panose="020B0604020202020204" pitchFamily="34" charset="0"/>
              <a:cs typeface="Arial" panose="020B0604020202020204" pitchFamily="34" charset="0"/>
            </a:rPr>
            <a:t>No further analysis</a:t>
          </a:r>
        </a:p>
      </dgm:t>
    </dgm:pt>
    <dgm:pt modelId="{0B0B0F41-9BC7-4358-8023-58781988659E}">
      <dgm:prSet custT="1"/>
      <dgm:spPr>
        <a:solidFill>
          <a:srgbClr val="BCBEC0"/>
        </a:solidFill>
      </dgm:spPr>
      <dgm:t>
        <a:bodyPr/>
        <a:lstStyle/>
        <a:p>
          <a:r>
            <a:rPr lang="en-AU" sz="900">
              <a:solidFill>
                <a:sysClr val="windowText" lastClr="000000"/>
              </a:solidFill>
              <a:latin typeface="Arial" panose="020B0604020202020204" pitchFamily="34" charset="0"/>
              <a:cs typeface="Arial" panose="020B0604020202020204" pitchFamily="34" charset="0"/>
            </a:rPr>
            <a:t>Not assessable</a:t>
          </a:r>
        </a:p>
      </dgm:t>
    </dgm:pt>
    <dgm:pt modelId="{ED9A7CAF-FF3D-4950-A802-3ABB62A350EB}" type="parTrans" cxnId="{A1995DAE-9992-4E0E-9EC9-28E27BB093BD}">
      <dgm:prSet/>
      <dgm:spPr>
        <a:ln w="19050">
          <a:solidFill>
            <a:schemeClr val="accent5">
              <a:lumMod val="75000"/>
            </a:schemeClr>
          </a:solidFill>
        </a:ln>
      </dgm:spPr>
      <dgm:t>
        <a:bodyPr/>
        <a:lstStyle/>
        <a:p>
          <a:endParaRPr lang="en-AU"/>
        </a:p>
      </dgm:t>
    </dgm:pt>
    <dgm:pt modelId="{FC15E6E1-98E3-4A83-9AB4-C8749E34FAFC}" type="sibTrans" cxnId="{A1995DAE-9992-4E0E-9EC9-28E27BB093BD}">
      <dgm:prSet custT="1"/>
      <dgm:spPr>
        <a:solidFill>
          <a:schemeClr val="bg1">
            <a:alpha val="90000"/>
          </a:schemeClr>
        </a:solidFill>
        <a:ln>
          <a:noFill/>
        </a:ln>
        <a:effectLst>
          <a:outerShdw blurRad="50800" dist="38100" dir="2700000" algn="tl" rotWithShape="0">
            <a:prstClr val="black">
              <a:alpha val="40000"/>
            </a:prstClr>
          </a:outerShdw>
        </a:effectLst>
      </dgm:spPr>
      <dgm:t>
        <a:bodyPr/>
        <a:lstStyle/>
        <a:p>
          <a:r>
            <a:rPr lang="en-AU" sz="900">
              <a:solidFill>
                <a:sysClr val="windowText" lastClr="000000"/>
              </a:solidFill>
              <a:latin typeface="Arial" panose="020B0604020202020204" pitchFamily="34" charset="0"/>
              <a:cs typeface="Arial" panose="020B0604020202020204" pitchFamily="34" charset="0"/>
            </a:rPr>
            <a:t>33 prescriptions</a:t>
          </a:r>
        </a:p>
        <a:p>
          <a:r>
            <a:rPr lang="en-AU" sz="900">
              <a:solidFill>
                <a:sysClr val="windowText" lastClr="000000"/>
              </a:solidFill>
              <a:latin typeface="Arial" panose="020B0604020202020204" pitchFamily="34" charset="0"/>
              <a:cs typeface="Arial" panose="020B0604020202020204" pitchFamily="34" charset="0"/>
            </a:rPr>
            <a:t>No further analysis</a:t>
          </a:r>
        </a:p>
      </dgm:t>
    </dgm:pt>
    <dgm:pt modelId="{DDFA3687-1B6C-4612-BA1C-9EE9DD7638A9}" type="pres">
      <dgm:prSet presAssocID="{D7D9650C-199F-4E07-A7A0-10FD405DCB0C}" presName="hierChild1" presStyleCnt="0">
        <dgm:presLayoutVars>
          <dgm:orgChart val="1"/>
          <dgm:chPref val="1"/>
          <dgm:dir/>
          <dgm:animOne val="branch"/>
          <dgm:animLvl val="lvl"/>
          <dgm:resizeHandles/>
        </dgm:presLayoutVars>
      </dgm:prSet>
      <dgm:spPr/>
    </dgm:pt>
    <dgm:pt modelId="{77CE498D-3030-4978-A503-0D3DEEC464F4}" type="pres">
      <dgm:prSet presAssocID="{46E3F29C-E510-4D64-87DA-D011DA47AD0C}" presName="hierRoot1" presStyleCnt="0">
        <dgm:presLayoutVars>
          <dgm:hierBranch val="init"/>
        </dgm:presLayoutVars>
      </dgm:prSet>
      <dgm:spPr/>
    </dgm:pt>
    <dgm:pt modelId="{EA14CFC3-4808-4FA7-8ED8-8E50A1DC3644}" type="pres">
      <dgm:prSet presAssocID="{46E3F29C-E510-4D64-87DA-D011DA47AD0C}" presName="rootComposite1" presStyleCnt="0"/>
      <dgm:spPr/>
    </dgm:pt>
    <dgm:pt modelId="{B38AB20D-6DF3-40FD-A275-D416F8C5A849}" type="pres">
      <dgm:prSet presAssocID="{46E3F29C-E510-4D64-87DA-D011DA47AD0C}" presName="rootText1" presStyleLbl="node0" presStyleIdx="0" presStyleCnt="1" custScaleX="191653" custScaleY="93435" custLinFactY="-100000" custLinFactNeighborX="62121" custLinFactNeighborY="-148553">
        <dgm:presLayoutVars>
          <dgm:chMax/>
          <dgm:chPref val="3"/>
        </dgm:presLayoutVars>
      </dgm:prSet>
      <dgm:spPr>
        <a:prstGeom prst="roundRect">
          <a:avLst/>
        </a:prstGeom>
      </dgm:spPr>
    </dgm:pt>
    <dgm:pt modelId="{FA83C94C-D681-4480-8FDD-74D8C4842C66}" type="pres">
      <dgm:prSet presAssocID="{46E3F29C-E510-4D64-87DA-D011DA47AD0C}" presName="titleText1" presStyleLbl="fgAcc0" presStyleIdx="0" presStyleCnt="1" custScaleX="211395" custScaleY="289360" custLinFactX="51071" custLinFactY="-300000" custLinFactNeighborX="100000" custLinFactNeighborY="-363163">
        <dgm:presLayoutVars>
          <dgm:chMax val="0"/>
          <dgm:chPref val="0"/>
        </dgm:presLayoutVars>
      </dgm:prSet>
      <dgm:spPr>
        <a:prstGeom prst="roundRect">
          <a:avLst/>
        </a:prstGeom>
      </dgm:spPr>
    </dgm:pt>
    <dgm:pt modelId="{538D4113-2A7A-4485-8371-B0A6CE79A0B4}" type="pres">
      <dgm:prSet presAssocID="{46E3F29C-E510-4D64-87DA-D011DA47AD0C}" presName="rootConnector1" presStyleLbl="node1" presStyleIdx="0" presStyleCnt="15"/>
      <dgm:spPr/>
    </dgm:pt>
    <dgm:pt modelId="{0B4213AC-885E-4800-9CF1-DDC5E377173E}" type="pres">
      <dgm:prSet presAssocID="{46E3F29C-E510-4D64-87DA-D011DA47AD0C}" presName="hierChild2" presStyleCnt="0"/>
      <dgm:spPr/>
    </dgm:pt>
    <dgm:pt modelId="{AD7A16DD-4A41-486F-9A8B-34E81AB220E9}" type="pres">
      <dgm:prSet presAssocID="{79CBC069-1D8F-47A2-BB4A-5ADF2FD3C4B0}" presName="Name37" presStyleLbl="parChTrans1D2" presStyleIdx="0" presStyleCnt="3"/>
      <dgm:spPr/>
    </dgm:pt>
    <dgm:pt modelId="{46212D18-3E06-4352-8FCE-00D1B8326A0A}" type="pres">
      <dgm:prSet presAssocID="{979EBCC8-F627-4F92-94F7-41B7353EB4D6}" presName="hierRoot2" presStyleCnt="0">
        <dgm:presLayoutVars>
          <dgm:hierBranch val="init"/>
        </dgm:presLayoutVars>
      </dgm:prSet>
      <dgm:spPr/>
    </dgm:pt>
    <dgm:pt modelId="{4442B4EB-0518-46B8-AAFF-0C4D13165902}" type="pres">
      <dgm:prSet presAssocID="{979EBCC8-F627-4F92-94F7-41B7353EB4D6}" presName="rootComposite" presStyleCnt="0"/>
      <dgm:spPr/>
    </dgm:pt>
    <dgm:pt modelId="{D2029439-DD52-4E7A-919C-A362CF332DE0}" type="pres">
      <dgm:prSet presAssocID="{979EBCC8-F627-4F92-94F7-41B7353EB4D6}" presName="rootText" presStyleLbl="node1" presStyleIdx="0" presStyleCnt="15" custScaleX="233510" custScaleY="144497" custLinFactY="-89153" custLinFactNeighborX="7916" custLinFactNeighborY="-100000">
        <dgm:presLayoutVars>
          <dgm:chMax/>
          <dgm:chPref val="3"/>
        </dgm:presLayoutVars>
      </dgm:prSet>
      <dgm:spPr>
        <a:prstGeom prst="roundRect">
          <a:avLst/>
        </a:prstGeom>
      </dgm:spPr>
    </dgm:pt>
    <dgm:pt modelId="{AB40C3E4-AA95-47D6-8F9E-66219CA63A13}" type="pres">
      <dgm:prSet presAssocID="{979EBCC8-F627-4F92-94F7-41B7353EB4D6}" presName="titleText2" presStyleLbl="fgAcc1" presStyleIdx="0" presStyleCnt="15" custScaleX="262762" custScaleY="304202" custLinFactY="-200000" custLinFactNeighborX="65657" custLinFactNeighborY="-224927">
        <dgm:presLayoutVars>
          <dgm:chMax val="0"/>
          <dgm:chPref val="0"/>
        </dgm:presLayoutVars>
      </dgm:prSet>
      <dgm:spPr>
        <a:prstGeom prst="roundRect">
          <a:avLst/>
        </a:prstGeom>
      </dgm:spPr>
    </dgm:pt>
    <dgm:pt modelId="{AC215F62-E96E-4277-82FC-5CD124C82421}" type="pres">
      <dgm:prSet presAssocID="{979EBCC8-F627-4F92-94F7-41B7353EB4D6}" presName="rootConnector" presStyleLbl="node2" presStyleIdx="0" presStyleCnt="0"/>
      <dgm:spPr/>
    </dgm:pt>
    <dgm:pt modelId="{D7066B58-EA04-4E0A-A6AF-6EF820C60DB3}" type="pres">
      <dgm:prSet presAssocID="{979EBCC8-F627-4F92-94F7-41B7353EB4D6}" presName="hierChild4" presStyleCnt="0"/>
      <dgm:spPr/>
    </dgm:pt>
    <dgm:pt modelId="{65B08759-4FD8-47B9-8FC6-E279C0199208}" type="pres">
      <dgm:prSet presAssocID="{979EBCC8-F627-4F92-94F7-41B7353EB4D6}" presName="hierChild5" presStyleCnt="0"/>
      <dgm:spPr/>
    </dgm:pt>
    <dgm:pt modelId="{035FA779-EF0E-4908-A9E1-D0A078536B3A}" type="pres">
      <dgm:prSet presAssocID="{7A8F674D-687A-4CEE-B042-389514C9D987}" presName="Name37" presStyleLbl="parChTrans1D2" presStyleIdx="1" presStyleCnt="3"/>
      <dgm:spPr/>
    </dgm:pt>
    <dgm:pt modelId="{EF0D1647-8BC3-48C1-B77E-EA286E941D54}" type="pres">
      <dgm:prSet presAssocID="{56AEE87F-264D-4AE3-8722-7E335EBB7FB0}" presName="hierRoot2" presStyleCnt="0">
        <dgm:presLayoutVars>
          <dgm:hierBranch val="init"/>
        </dgm:presLayoutVars>
      </dgm:prSet>
      <dgm:spPr/>
    </dgm:pt>
    <dgm:pt modelId="{C2964AB0-5EC6-4F8A-BF87-4F6DD3C67150}" type="pres">
      <dgm:prSet presAssocID="{56AEE87F-264D-4AE3-8722-7E335EBB7FB0}" presName="rootComposite" presStyleCnt="0"/>
      <dgm:spPr/>
    </dgm:pt>
    <dgm:pt modelId="{FE379DFF-FD03-4CE8-AD8B-3610A0E4FB86}" type="pres">
      <dgm:prSet presAssocID="{56AEE87F-264D-4AE3-8722-7E335EBB7FB0}" presName="rootText" presStyleLbl="node1" presStyleIdx="1" presStyleCnt="15" custScaleX="278653" custScaleY="144497" custLinFactX="74604" custLinFactY="-89153" custLinFactNeighborX="100000" custLinFactNeighborY="-100000">
        <dgm:presLayoutVars>
          <dgm:chMax/>
          <dgm:chPref val="3"/>
        </dgm:presLayoutVars>
      </dgm:prSet>
      <dgm:spPr>
        <a:prstGeom prst="roundRect">
          <a:avLst/>
        </a:prstGeom>
      </dgm:spPr>
    </dgm:pt>
    <dgm:pt modelId="{9E9784CE-96C1-4DD5-BAAA-839CC6791284}" type="pres">
      <dgm:prSet presAssocID="{56AEE87F-264D-4AE3-8722-7E335EBB7FB0}" presName="titleText2" presStyleLbl="fgAcc1" presStyleIdx="1" presStyleCnt="15" custAng="0" custScaleX="78328" custScaleY="176429" custLinFactX="395810" custLinFactY="-100000" custLinFactNeighborX="400000" custLinFactNeighborY="-107824">
        <dgm:presLayoutVars>
          <dgm:chMax val="0"/>
          <dgm:chPref val="0"/>
        </dgm:presLayoutVars>
      </dgm:prSet>
      <dgm:spPr>
        <a:prstGeom prst="rect">
          <a:avLst/>
        </a:prstGeom>
      </dgm:spPr>
    </dgm:pt>
    <dgm:pt modelId="{40C95CB7-7F45-4F66-A441-C4E51C825F94}" type="pres">
      <dgm:prSet presAssocID="{56AEE87F-264D-4AE3-8722-7E335EBB7FB0}" presName="rootConnector" presStyleLbl="node2" presStyleIdx="0" presStyleCnt="0"/>
      <dgm:spPr/>
    </dgm:pt>
    <dgm:pt modelId="{E0C7374B-186C-4DE6-AC56-159C62C2B507}" type="pres">
      <dgm:prSet presAssocID="{56AEE87F-264D-4AE3-8722-7E335EBB7FB0}" presName="hierChild4" presStyleCnt="0"/>
      <dgm:spPr/>
    </dgm:pt>
    <dgm:pt modelId="{CF370203-4E07-44D4-82E5-A2E2DDF7CF17}" type="pres">
      <dgm:prSet presAssocID="{8554548D-C487-4988-BF0A-05742DCA6AEB}" presName="Name37" presStyleLbl="parChTrans1D3" presStyleIdx="0" presStyleCnt="5"/>
      <dgm:spPr/>
    </dgm:pt>
    <dgm:pt modelId="{F243A25E-AE31-4A7F-A7A8-882A3347A74D}" type="pres">
      <dgm:prSet presAssocID="{CA39AD4F-3986-4CBA-9FD9-34F9AB4A4163}" presName="hierRoot2" presStyleCnt="0">
        <dgm:presLayoutVars>
          <dgm:hierBranch val="init"/>
        </dgm:presLayoutVars>
      </dgm:prSet>
      <dgm:spPr/>
    </dgm:pt>
    <dgm:pt modelId="{1CBEC5B5-594F-4E11-B224-253A57CD32EA}" type="pres">
      <dgm:prSet presAssocID="{CA39AD4F-3986-4CBA-9FD9-34F9AB4A4163}" presName="rootComposite" presStyleCnt="0"/>
      <dgm:spPr/>
    </dgm:pt>
    <dgm:pt modelId="{757DB417-CB9B-4BF4-9EC2-F4DEFEFC140A}" type="pres">
      <dgm:prSet presAssocID="{CA39AD4F-3986-4CBA-9FD9-34F9AB4A4163}" presName="rootText" presStyleLbl="node1" presStyleIdx="2" presStyleCnt="15" custScaleX="191473" custScaleY="127843" custLinFactX="-46656" custLinFactNeighborX="-100000" custLinFactNeighborY="-84656">
        <dgm:presLayoutVars>
          <dgm:chMax/>
          <dgm:chPref val="3"/>
        </dgm:presLayoutVars>
      </dgm:prSet>
      <dgm:spPr>
        <a:prstGeom prst="roundRect">
          <a:avLst/>
        </a:prstGeom>
      </dgm:spPr>
    </dgm:pt>
    <dgm:pt modelId="{961950DC-3446-4676-B84E-D1F56FD2E76B}" type="pres">
      <dgm:prSet presAssocID="{CA39AD4F-3986-4CBA-9FD9-34F9AB4A4163}" presName="titleText2" presStyleLbl="fgAcc1" presStyleIdx="2" presStyleCnt="15" custScaleX="236999" custScaleY="437029" custLinFactY="-4325" custLinFactNeighborX="-92538" custLinFactNeighborY="-100000">
        <dgm:presLayoutVars>
          <dgm:chMax val="0"/>
          <dgm:chPref val="0"/>
        </dgm:presLayoutVars>
      </dgm:prSet>
      <dgm:spPr>
        <a:prstGeom prst="roundRect">
          <a:avLst/>
        </a:prstGeom>
      </dgm:spPr>
    </dgm:pt>
    <dgm:pt modelId="{1276E3B6-DB7B-4EFB-B3F8-BBE7CB7DC630}" type="pres">
      <dgm:prSet presAssocID="{CA39AD4F-3986-4CBA-9FD9-34F9AB4A4163}" presName="rootConnector" presStyleLbl="node3" presStyleIdx="0" presStyleCnt="0"/>
      <dgm:spPr/>
    </dgm:pt>
    <dgm:pt modelId="{C6DC535A-0731-4DA2-8F7D-75BC8D68769A}" type="pres">
      <dgm:prSet presAssocID="{CA39AD4F-3986-4CBA-9FD9-34F9AB4A4163}" presName="hierChild4" presStyleCnt="0"/>
      <dgm:spPr/>
    </dgm:pt>
    <dgm:pt modelId="{97B8904F-79AC-46FA-A349-F98D7E472929}" type="pres">
      <dgm:prSet presAssocID="{F6F6704D-7A67-4CB1-B78D-81B3887B7D9F}" presName="Name37" presStyleLbl="parChTrans1D4" presStyleIdx="0" presStyleCnt="7"/>
      <dgm:spPr/>
    </dgm:pt>
    <dgm:pt modelId="{5AADFEF5-8C04-41B0-8C96-ABDB192A3601}" type="pres">
      <dgm:prSet presAssocID="{9D59AB65-713F-4D55-A1E9-FF46DF1121AE}" presName="hierRoot2" presStyleCnt="0">
        <dgm:presLayoutVars>
          <dgm:hierBranch val="init"/>
        </dgm:presLayoutVars>
      </dgm:prSet>
      <dgm:spPr/>
    </dgm:pt>
    <dgm:pt modelId="{8F603435-B8D0-4F7D-B47B-A5E6725C129E}" type="pres">
      <dgm:prSet presAssocID="{9D59AB65-713F-4D55-A1E9-FF46DF1121AE}" presName="rootComposite" presStyleCnt="0"/>
      <dgm:spPr/>
    </dgm:pt>
    <dgm:pt modelId="{4DF67BF5-19CB-42CF-8D25-EA5079C23FED}" type="pres">
      <dgm:prSet presAssocID="{9D59AB65-713F-4D55-A1E9-FF46DF1121AE}" presName="rootText" presStyleLbl="node1" presStyleIdx="3" presStyleCnt="15" custScaleX="191473" custScaleY="93435" custLinFactNeighborX="-68241" custLinFactNeighborY="20405">
        <dgm:presLayoutVars>
          <dgm:chMax/>
          <dgm:chPref val="3"/>
        </dgm:presLayoutVars>
      </dgm:prSet>
      <dgm:spPr>
        <a:prstGeom prst="roundRect">
          <a:avLst/>
        </a:prstGeom>
      </dgm:spPr>
    </dgm:pt>
    <dgm:pt modelId="{0A746A74-F3E1-49D1-B079-A9B4E13E8C45}" type="pres">
      <dgm:prSet presAssocID="{9D59AB65-713F-4D55-A1E9-FF46DF1121AE}" presName="titleText2" presStyleLbl="fgAcc1" presStyleIdx="3" presStyleCnt="15" custScaleX="167173" custScaleY="148289" custLinFactNeighborX="-17035" custLinFactNeighborY="86491">
        <dgm:presLayoutVars>
          <dgm:chMax val="0"/>
          <dgm:chPref val="0"/>
        </dgm:presLayoutVars>
      </dgm:prSet>
      <dgm:spPr>
        <a:prstGeom prst="roundRect">
          <a:avLst/>
        </a:prstGeom>
      </dgm:spPr>
    </dgm:pt>
    <dgm:pt modelId="{EEF59803-E150-40F5-AB1E-38BA99672ABA}" type="pres">
      <dgm:prSet presAssocID="{9D59AB65-713F-4D55-A1E9-FF46DF1121AE}" presName="rootConnector" presStyleLbl="node4" presStyleIdx="0" presStyleCnt="0"/>
      <dgm:spPr/>
    </dgm:pt>
    <dgm:pt modelId="{DD8974AF-8B89-4522-B452-6F5D8D2BBEEA}" type="pres">
      <dgm:prSet presAssocID="{9D59AB65-713F-4D55-A1E9-FF46DF1121AE}" presName="hierChild4" presStyleCnt="0"/>
      <dgm:spPr/>
    </dgm:pt>
    <dgm:pt modelId="{A05392FC-883A-480B-BF72-D27ADE100328}" type="pres">
      <dgm:prSet presAssocID="{9D59AB65-713F-4D55-A1E9-FF46DF1121AE}" presName="hierChild5" presStyleCnt="0"/>
      <dgm:spPr/>
    </dgm:pt>
    <dgm:pt modelId="{C6AF9F2A-630A-42F2-902B-A2C979F15603}" type="pres">
      <dgm:prSet presAssocID="{47BB3EB3-BCB6-4A2F-926D-EB312D50CE8C}" presName="Name37" presStyleLbl="parChTrans1D4" presStyleIdx="1" presStyleCnt="7"/>
      <dgm:spPr/>
    </dgm:pt>
    <dgm:pt modelId="{4A569AD2-A259-42E9-978D-FD0115C75EF0}" type="pres">
      <dgm:prSet presAssocID="{E63E6931-4C17-4109-8BFE-8FE2D8857F7B}" presName="hierRoot2" presStyleCnt="0">
        <dgm:presLayoutVars>
          <dgm:hierBranch val="init"/>
        </dgm:presLayoutVars>
      </dgm:prSet>
      <dgm:spPr/>
    </dgm:pt>
    <dgm:pt modelId="{68B7B03C-13A7-4C0D-AAA2-BF4FADFDC1FA}" type="pres">
      <dgm:prSet presAssocID="{E63E6931-4C17-4109-8BFE-8FE2D8857F7B}" presName="rootComposite" presStyleCnt="0"/>
      <dgm:spPr/>
    </dgm:pt>
    <dgm:pt modelId="{39EE6A4A-6DB0-4A18-B52D-58F98F91935F}" type="pres">
      <dgm:prSet presAssocID="{E63E6931-4C17-4109-8BFE-8FE2D8857F7B}" presName="rootText" presStyleLbl="node1" presStyleIdx="4" presStyleCnt="15" custScaleX="191473" custScaleY="93435" custLinFactNeighborX="-31957" custLinFactNeighborY="20405">
        <dgm:presLayoutVars>
          <dgm:chMax/>
          <dgm:chPref val="3"/>
        </dgm:presLayoutVars>
      </dgm:prSet>
      <dgm:spPr>
        <a:prstGeom prst="roundRect">
          <a:avLst/>
        </a:prstGeom>
      </dgm:spPr>
    </dgm:pt>
    <dgm:pt modelId="{72CF281D-8BFB-4A5A-9494-1A1105C6F197}" type="pres">
      <dgm:prSet presAssocID="{E63E6931-4C17-4109-8BFE-8FE2D8857F7B}" presName="titleText2" presStyleLbl="fgAcc1" presStyleIdx="4" presStyleCnt="15" custScaleX="167173" custScaleY="148289" custLinFactNeighborX="-7286" custLinFactNeighborY="86491">
        <dgm:presLayoutVars>
          <dgm:chMax val="0"/>
          <dgm:chPref val="0"/>
        </dgm:presLayoutVars>
      </dgm:prSet>
      <dgm:spPr>
        <a:prstGeom prst="roundRect">
          <a:avLst/>
        </a:prstGeom>
      </dgm:spPr>
    </dgm:pt>
    <dgm:pt modelId="{C263125C-7643-408D-9C63-F58C1061C3D5}" type="pres">
      <dgm:prSet presAssocID="{E63E6931-4C17-4109-8BFE-8FE2D8857F7B}" presName="rootConnector" presStyleLbl="node4" presStyleIdx="0" presStyleCnt="0"/>
      <dgm:spPr/>
    </dgm:pt>
    <dgm:pt modelId="{BE3377AF-FC67-4B78-8B2E-9F1B0EB2AA94}" type="pres">
      <dgm:prSet presAssocID="{E63E6931-4C17-4109-8BFE-8FE2D8857F7B}" presName="hierChild4" presStyleCnt="0"/>
      <dgm:spPr/>
    </dgm:pt>
    <dgm:pt modelId="{84CCE42A-E5E6-4325-8EED-F6B951A9B0F4}" type="pres">
      <dgm:prSet presAssocID="{E63E6931-4C17-4109-8BFE-8FE2D8857F7B}" presName="hierChild5" presStyleCnt="0"/>
      <dgm:spPr/>
    </dgm:pt>
    <dgm:pt modelId="{E683BCBA-B9F6-4435-B32F-AD688B80C74C}" type="pres">
      <dgm:prSet presAssocID="{CA39AD4F-3986-4CBA-9FD9-34F9AB4A4163}" presName="hierChild5" presStyleCnt="0"/>
      <dgm:spPr/>
    </dgm:pt>
    <dgm:pt modelId="{1FB5F152-9F55-4B75-9A0E-E39B8C46A1D8}" type="pres">
      <dgm:prSet presAssocID="{4183D664-D238-413E-94BD-441455E158A8}" presName="Name37" presStyleLbl="parChTrans1D3" presStyleIdx="1" presStyleCnt="5"/>
      <dgm:spPr/>
    </dgm:pt>
    <dgm:pt modelId="{D4913CE3-906F-49A0-B6B4-8B6FEB6F16F8}" type="pres">
      <dgm:prSet presAssocID="{E9F5BF36-8AF9-47EA-9DE4-18AE28FDC14A}" presName="hierRoot2" presStyleCnt="0">
        <dgm:presLayoutVars>
          <dgm:hierBranch val="init"/>
        </dgm:presLayoutVars>
      </dgm:prSet>
      <dgm:spPr/>
    </dgm:pt>
    <dgm:pt modelId="{CC3EA5C5-C6C1-4075-9928-307F83A7CA74}" type="pres">
      <dgm:prSet presAssocID="{E9F5BF36-8AF9-47EA-9DE4-18AE28FDC14A}" presName="rootComposite" presStyleCnt="0"/>
      <dgm:spPr/>
    </dgm:pt>
    <dgm:pt modelId="{A38D528F-F1BB-4EC9-820A-1B30301E1DB1}" type="pres">
      <dgm:prSet presAssocID="{E9F5BF36-8AF9-47EA-9DE4-18AE28FDC14A}" presName="rootText" presStyleLbl="node1" presStyleIdx="5" presStyleCnt="15" custScaleX="191473" custScaleY="127843" custLinFactNeighborX="-72488" custLinFactNeighborY="-84889">
        <dgm:presLayoutVars>
          <dgm:chMax/>
          <dgm:chPref val="3"/>
        </dgm:presLayoutVars>
      </dgm:prSet>
      <dgm:spPr>
        <a:prstGeom prst="roundRect">
          <a:avLst/>
        </a:prstGeom>
      </dgm:spPr>
    </dgm:pt>
    <dgm:pt modelId="{FAC04C08-038E-4C8B-8180-4FCD84FF7442}" type="pres">
      <dgm:prSet presAssocID="{E9F5BF36-8AF9-47EA-9DE4-18AE28FDC14A}" presName="titleText2" presStyleLbl="fgAcc1" presStyleIdx="5" presStyleCnt="15" custScaleX="344318" custScaleY="575387" custLinFactNeighborX="-61623" custLinFactNeighborY="56872">
        <dgm:presLayoutVars>
          <dgm:chMax val="0"/>
          <dgm:chPref val="0"/>
        </dgm:presLayoutVars>
      </dgm:prSet>
      <dgm:spPr>
        <a:prstGeom prst="roundRect">
          <a:avLst/>
        </a:prstGeom>
      </dgm:spPr>
    </dgm:pt>
    <dgm:pt modelId="{C882229A-3865-4632-ADAD-01F30AE6C43F}" type="pres">
      <dgm:prSet presAssocID="{E9F5BF36-8AF9-47EA-9DE4-18AE28FDC14A}" presName="rootConnector" presStyleLbl="node3" presStyleIdx="0" presStyleCnt="0"/>
      <dgm:spPr/>
    </dgm:pt>
    <dgm:pt modelId="{0B22D6E7-85F9-4F75-ADA4-E624038DA5B1}" type="pres">
      <dgm:prSet presAssocID="{E9F5BF36-8AF9-47EA-9DE4-18AE28FDC14A}" presName="hierChild4" presStyleCnt="0"/>
      <dgm:spPr/>
    </dgm:pt>
    <dgm:pt modelId="{8792A3BD-7DAC-450F-96A9-7496DD70A89B}" type="pres">
      <dgm:prSet presAssocID="{E9F5BF36-8AF9-47EA-9DE4-18AE28FDC14A}" presName="hierChild5" presStyleCnt="0"/>
      <dgm:spPr/>
    </dgm:pt>
    <dgm:pt modelId="{2C50AAA0-0400-4CF9-A74E-16F4D82FA4FA}" type="pres">
      <dgm:prSet presAssocID="{56AEE87F-264D-4AE3-8722-7E335EBB7FB0}" presName="hierChild5" presStyleCnt="0"/>
      <dgm:spPr/>
    </dgm:pt>
    <dgm:pt modelId="{2A946F58-FE17-4B02-A6F6-B8C38AF6CD94}" type="pres">
      <dgm:prSet presAssocID="{9792DD06-EE25-49DC-BBA8-BE6DF31964F7}" presName="Name37" presStyleLbl="parChTrans1D2" presStyleIdx="2" presStyleCnt="3"/>
      <dgm:spPr/>
    </dgm:pt>
    <dgm:pt modelId="{66C2BEE5-B44C-4579-9A83-ECA65B99F200}" type="pres">
      <dgm:prSet presAssocID="{EA7D8B3A-B366-4E94-9B2C-1A067F4E1584}" presName="hierRoot2" presStyleCnt="0">
        <dgm:presLayoutVars>
          <dgm:hierBranch val="init"/>
        </dgm:presLayoutVars>
      </dgm:prSet>
      <dgm:spPr/>
    </dgm:pt>
    <dgm:pt modelId="{FCCC09BB-D3C6-4CF0-A8FE-21261CA12461}" type="pres">
      <dgm:prSet presAssocID="{EA7D8B3A-B366-4E94-9B2C-1A067F4E1584}" presName="rootComposite" presStyleCnt="0"/>
      <dgm:spPr/>
    </dgm:pt>
    <dgm:pt modelId="{FA2F3EEC-23E7-46CB-8A4A-7EBB250401EC}" type="pres">
      <dgm:prSet presAssocID="{EA7D8B3A-B366-4E94-9B2C-1A067F4E1584}" presName="rootText" presStyleLbl="node1" presStyleIdx="6" presStyleCnt="15" custScaleX="316847" custScaleY="144497" custLinFactY="-89743" custLinFactNeighborX="78689" custLinFactNeighborY="-100000">
        <dgm:presLayoutVars>
          <dgm:chMax/>
          <dgm:chPref val="3"/>
        </dgm:presLayoutVars>
      </dgm:prSet>
      <dgm:spPr>
        <a:prstGeom prst="roundRect">
          <a:avLst/>
        </a:prstGeom>
      </dgm:spPr>
    </dgm:pt>
    <dgm:pt modelId="{A14E9310-E78C-4256-B288-4CC0F6A9067C}" type="pres">
      <dgm:prSet presAssocID="{EA7D8B3A-B366-4E94-9B2C-1A067F4E1584}" presName="titleText2" presStyleLbl="fgAcc1" presStyleIdx="6" presStyleCnt="15" custScaleX="51419" custScaleY="175688" custLinFactX="-185768" custLinFactY="-173457" custLinFactNeighborX="-200000" custLinFactNeighborY="-200000">
        <dgm:presLayoutVars>
          <dgm:chMax val="0"/>
          <dgm:chPref val="0"/>
        </dgm:presLayoutVars>
      </dgm:prSet>
      <dgm:spPr/>
    </dgm:pt>
    <dgm:pt modelId="{0711E792-295E-4384-A996-70F3D34360E0}" type="pres">
      <dgm:prSet presAssocID="{EA7D8B3A-B366-4E94-9B2C-1A067F4E1584}" presName="rootConnector" presStyleLbl="node2" presStyleIdx="0" presStyleCnt="0"/>
      <dgm:spPr/>
    </dgm:pt>
    <dgm:pt modelId="{580801AC-671C-4969-BFE8-32AF11CA0D0D}" type="pres">
      <dgm:prSet presAssocID="{EA7D8B3A-B366-4E94-9B2C-1A067F4E1584}" presName="hierChild4" presStyleCnt="0"/>
      <dgm:spPr/>
    </dgm:pt>
    <dgm:pt modelId="{626401A0-94DD-4426-98CE-B5389C731E95}" type="pres">
      <dgm:prSet presAssocID="{3DA14686-F57F-469A-B7F6-96964A49D9A8}" presName="Name37" presStyleLbl="parChTrans1D3" presStyleIdx="2" presStyleCnt="5"/>
      <dgm:spPr/>
    </dgm:pt>
    <dgm:pt modelId="{89A3D8F6-73CA-4AD1-81BA-A2ED53A49E65}" type="pres">
      <dgm:prSet presAssocID="{1649ADDE-941B-4001-82CA-854A221A9D1B}" presName="hierRoot2" presStyleCnt="0">
        <dgm:presLayoutVars>
          <dgm:hierBranch val="init"/>
        </dgm:presLayoutVars>
      </dgm:prSet>
      <dgm:spPr/>
    </dgm:pt>
    <dgm:pt modelId="{D6122935-4BF0-4B56-ABD4-97630BE89618}" type="pres">
      <dgm:prSet presAssocID="{1649ADDE-941B-4001-82CA-854A221A9D1B}" presName="rootComposite" presStyleCnt="0"/>
      <dgm:spPr/>
    </dgm:pt>
    <dgm:pt modelId="{08091B86-32E8-4ABA-B9A5-D6A3ED7973BB}" type="pres">
      <dgm:prSet presAssocID="{1649ADDE-941B-4001-82CA-854A221A9D1B}" presName="rootText" presStyleLbl="node1" presStyleIdx="7" presStyleCnt="15" custScaleX="191473" custScaleY="127843" custLinFactNeighborX="-87936" custLinFactNeighborY="-86495">
        <dgm:presLayoutVars>
          <dgm:chMax/>
          <dgm:chPref val="3"/>
        </dgm:presLayoutVars>
      </dgm:prSet>
      <dgm:spPr>
        <a:prstGeom prst="roundRect">
          <a:avLst/>
        </a:prstGeom>
      </dgm:spPr>
    </dgm:pt>
    <dgm:pt modelId="{37D68202-532C-41B3-8EB0-0AB1CE342555}" type="pres">
      <dgm:prSet presAssocID="{1649ADDE-941B-4001-82CA-854A221A9D1B}" presName="titleText2" presStyleLbl="fgAcc1" presStyleIdx="7" presStyleCnt="15" custScaleX="270231" custScaleY="341232" custLinFactY="-62814" custLinFactNeighborX="-25407" custLinFactNeighborY="-100000">
        <dgm:presLayoutVars>
          <dgm:chMax val="0"/>
          <dgm:chPref val="0"/>
        </dgm:presLayoutVars>
      </dgm:prSet>
      <dgm:spPr>
        <a:prstGeom prst="roundRect">
          <a:avLst/>
        </a:prstGeom>
      </dgm:spPr>
    </dgm:pt>
    <dgm:pt modelId="{22DB22D6-F40B-4595-A1C9-18625E936A90}" type="pres">
      <dgm:prSet presAssocID="{1649ADDE-941B-4001-82CA-854A221A9D1B}" presName="rootConnector" presStyleLbl="node3" presStyleIdx="0" presStyleCnt="0"/>
      <dgm:spPr/>
    </dgm:pt>
    <dgm:pt modelId="{E1299D60-B381-44B5-B139-E9ADB6B8E432}" type="pres">
      <dgm:prSet presAssocID="{1649ADDE-941B-4001-82CA-854A221A9D1B}" presName="hierChild4" presStyleCnt="0"/>
      <dgm:spPr/>
    </dgm:pt>
    <dgm:pt modelId="{5DBEF247-3F81-4A03-9E3D-5505A66DDBAD}" type="pres">
      <dgm:prSet presAssocID="{61E48F99-D9D6-4EDB-825C-4B8D2003F186}" presName="Name37" presStyleLbl="parChTrans1D4" presStyleIdx="2" presStyleCnt="7"/>
      <dgm:spPr/>
    </dgm:pt>
    <dgm:pt modelId="{5B688252-BEFA-443B-9B26-632A80B9E18E}" type="pres">
      <dgm:prSet presAssocID="{FD9D9E14-BB35-4DD4-9834-70BC2BBC5CD0}" presName="hierRoot2" presStyleCnt="0">
        <dgm:presLayoutVars>
          <dgm:hierBranch val="init"/>
        </dgm:presLayoutVars>
      </dgm:prSet>
      <dgm:spPr/>
    </dgm:pt>
    <dgm:pt modelId="{174A11E7-00FF-4C5D-A7E0-742218876011}" type="pres">
      <dgm:prSet presAssocID="{FD9D9E14-BB35-4DD4-9834-70BC2BBC5CD0}" presName="rootComposite" presStyleCnt="0"/>
      <dgm:spPr/>
    </dgm:pt>
    <dgm:pt modelId="{FDC02F12-76C2-465A-9E6F-CE3F792E03C4}" type="pres">
      <dgm:prSet presAssocID="{FD9D9E14-BB35-4DD4-9834-70BC2BBC5CD0}" presName="rootText" presStyleLbl="node1" presStyleIdx="8" presStyleCnt="15" custScaleX="283994" custScaleY="217032" custLinFactX="242086" custLinFactNeighborX="300000" custLinFactNeighborY="1207">
        <dgm:presLayoutVars>
          <dgm:chMax/>
          <dgm:chPref val="3"/>
        </dgm:presLayoutVars>
      </dgm:prSet>
      <dgm:spPr>
        <a:prstGeom prst="roundRect">
          <a:avLst/>
        </a:prstGeom>
      </dgm:spPr>
    </dgm:pt>
    <dgm:pt modelId="{70A5F33B-99CB-4EEF-9F27-5592F9AAF15B}" type="pres">
      <dgm:prSet presAssocID="{FD9D9E14-BB35-4DD4-9834-70BC2BBC5CD0}" presName="titleText2" presStyleLbl="fgAcc1" presStyleIdx="8" presStyleCnt="15" custScaleX="243595" custScaleY="748934" custLinFactX="300000" custLinFactY="200000" custLinFactNeighborX="353485" custLinFactNeighborY="259819">
        <dgm:presLayoutVars>
          <dgm:chMax val="0"/>
          <dgm:chPref val="0"/>
        </dgm:presLayoutVars>
      </dgm:prSet>
      <dgm:spPr>
        <a:prstGeom prst="roundRect">
          <a:avLst/>
        </a:prstGeom>
      </dgm:spPr>
    </dgm:pt>
    <dgm:pt modelId="{780A8931-3444-4F7F-9EEE-898C91A3DEB1}" type="pres">
      <dgm:prSet presAssocID="{FD9D9E14-BB35-4DD4-9834-70BC2BBC5CD0}" presName="rootConnector" presStyleLbl="node4" presStyleIdx="0" presStyleCnt="0"/>
      <dgm:spPr/>
    </dgm:pt>
    <dgm:pt modelId="{C191C0C6-983C-4823-9229-DBAEE32F2F9D}" type="pres">
      <dgm:prSet presAssocID="{FD9D9E14-BB35-4DD4-9834-70BC2BBC5CD0}" presName="hierChild4" presStyleCnt="0"/>
      <dgm:spPr/>
    </dgm:pt>
    <dgm:pt modelId="{0391CFCA-CA69-4120-8DCF-FA85B03BBF89}" type="pres">
      <dgm:prSet presAssocID="{FD9D9E14-BB35-4DD4-9834-70BC2BBC5CD0}" presName="hierChild5" presStyleCnt="0"/>
      <dgm:spPr/>
    </dgm:pt>
    <dgm:pt modelId="{713D7767-BB4F-4068-B258-19451A79D7F5}" type="pres">
      <dgm:prSet presAssocID="{3863EBBA-355F-40E8-86E2-2EACDBD540BD}" presName="Name37" presStyleLbl="parChTrans1D4" presStyleIdx="3" presStyleCnt="7"/>
      <dgm:spPr/>
    </dgm:pt>
    <dgm:pt modelId="{905F7554-4AD0-4252-9834-F435074F26F9}" type="pres">
      <dgm:prSet presAssocID="{35DF37A6-1974-493A-8A7E-660C3B9A17D4}" presName="hierRoot2" presStyleCnt="0">
        <dgm:presLayoutVars>
          <dgm:hierBranch val="init"/>
        </dgm:presLayoutVars>
      </dgm:prSet>
      <dgm:spPr/>
    </dgm:pt>
    <dgm:pt modelId="{D322E439-6656-4872-A5E0-9696DCA61FA6}" type="pres">
      <dgm:prSet presAssocID="{35DF37A6-1974-493A-8A7E-660C3B9A17D4}" presName="rootComposite" presStyleCnt="0"/>
      <dgm:spPr/>
    </dgm:pt>
    <dgm:pt modelId="{5B28B24E-223E-4F8A-A9BD-AF01BF6FCB1F}" type="pres">
      <dgm:prSet presAssocID="{35DF37A6-1974-493A-8A7E-660C3B9A17D4}" presName="rootText" presStyleLbl="node1" presStyleIdx="9" presStyleCnt="15" custAng="10800000" custFlipVert="1" custScaleX="283994" custScaleY="217032" custLinFactX="-58707" custLinFactNeighborX="-100000" custLinFactNeighborY="1207">
        <dgm:presLayoutVars>
          <dgm:chMax/>
          <dgm:chPref val="3"/>
        </dgm:presLayoutVars>
      </dgm:prSet>
      <dgm:spPr>
        <a:prstGeom prst="roundRect">
          <a:avLst/>
        </a:prstGeom>
      </dgm:spPr>
    </dgm:pt>
    <dgm:pt modelId="{D0A1FE30-F4BB-4FE9-AAF6-CD342513F6C9}" type="pres">
      <dgm:prSet presAssocID="{35DF37A6-1974-493A-8A7E-660C3B9A17D4}" presName="titleText2" presStyleLbl="fgAcc1" presStyleIdx="9" presStyleCnt="15" custScaleX="243595" custScaleY="511343" custLinFactY="136629" custLinFactNeighborX="-56470" custLinFactNeighborY="200000">
        <dgm:presLayoutVars>
          <dgm:chMax val="0"/>
          <dgm:chPref val="0"/>
        </dgm:presLayoutVars>
      </dgm:prSet>
      <dgm:spPr>
        <a:prstGeom prst="roundRect">
          <a:avLst/>
        </a:prstGeom>
      </dgm:spPr>
    </dgm:pt>
    <dgm:pt modelId="{08B65CE9-6AD8-4277-A252-DDBAC95FFBBF}" type="pres">
      <dgm:prSet presAssocID="{35DF37A6-1974-493A-8A7E-660C3B9A17D4}" presName="rootConnector" presStyleLbl="node4" presStyleIdx="0" presStyleCnt="0"/>
      <dgm:spPr/>
    </dgm:pt>
    <dgm:pt modelId="{BE1D0015-15EA-4B17-BA13-E25B571CC63D}" type="pres">
      <dgm:prSet presAssocID="{35DF37A6-1974-493A-8A7E-660C3B9A17D4}" presName="hierChild4" presStyleCnt="0"/>
      <dgm:spPr/>
    </dgm:pt>
    <dgm:pt modelId="{EE8DD9FB-5A77-48B4-A391-9D97E1101C92}" type="pres">
      <dgm:prSet presAssocID="{FB32725B-08EB-4293-AA29-BD662BF370D0}" presName="Name37" presStyleLbl="parChTrans1D4" presStyleIdx="4" presStyleCnt="7"/>
      <dgm:spPr/>
    </dgm:pt>
    <dgm:pt modelId="{1BCD6EC6-CDC0-4370-813C-810DC9164E8A}" type="pres">
      <dgm:prSet presAssocID="{35F580A8-DB0A-4AC2-832A-A90E877C30DA}" presName="hierRoot2" presStyleCnt="0">
        <dgm:presLayoutVars>
          <dgm:hierBranch val="init"/>
        </dgm:presLayoutVars>
      </dgm:prSet>
      <dgm:spPr/>
    </dgm:pt>
    <dgm:pt modelId="{DF5140D6-C629-48E5-BBE6-FD47D63386F0}" type="pres">
      <dgm:prSet presAssocID="{35F580A8-DB0A-4AC2-832A-A90E877C30DA}" presName="rootComposite" presStyleCnt="0"/>
      <dgm:spPr/>
    </dgm:pt>
    <dgm:pt modelId="{4BF6FFC4-C55C-430E-B5F7-577B3B347710}" type="pres">
      <dgm:prSet presAssocID="{35F580A8-DB0A-4AC2-832A-A90E877C30DA}" presName="rootText" presStyleLbl="node1" presStyleIdx="10" presStyleCnt="15" custScaleX="191473" custScaleY="93435" custLinFactX="-100000" custLinFactY="38091" custLinFactNeighborX="-183573" custLinFactNeighborY="100000">
        <dgm:presLayoutVars>
          <dgm:chMax/>
          <dgm:chPref val="3"/>
        </dgm:presLayoutVars>
      </dgm:prSet>
      <dgm:spPr>
        <a:prstGeom prst="roundRect">
          <a:avLst/>
        </a:prstGeom>
      </dgm:spPr>
    </dgm:pt>
    <dgm:pt modelId="{EC015BFA-1712-436B-917B-4CC09F7ED762}" type="pres">
      <dgm:prSet presAssocID="{35F580A8-DB0A-4AC2-832A-A90E877C30DA}" presName="titleText2" presStyleLbl="fgAcc1" presStyleIdx="10" presStyleCnt="15" custScaleX="232960" custScaleY="414258" custLinFactX="-100000" custLinFactY="291540" custLinFactNeighborX="-144128" custLinFactNeighborY="300000">
        <dgm:presLayoutVars>
          <dgm:chMax val="0"/>
          <dgm:chPref val="0"/>
        </dgm:presLayoutVars>
      </dgm:prSet>
      <dgm:spPr>
        <a:prstGeom prst="roundRect">
          <a:avLst/>
        </a:prstGeom>
      </dgm:spPr>
    </dgm:pt>
    <dgm:pt modelId="{882111C1-8814-49D3-8D2B-0BFC3942DD55}" type="pres">
      <dgm:prSet presAssocID="{35F580A8-DB0A-4AC2-832A-A90E877C30DA}" presName="rootConnector" presStyleLbl="node4" presStyleIdx="0" presStyleCnt="0"/>
      <dgm:spPr/>
    </dgm:pt>
    <dgm:pt modelId="{742DEB15-E204-4402-99CC-A006477742CC}" type="pres">
      <dgm:prSet presAssocID="{35F580A8-DB0A-4AC2-832A-A90E877C30DA}" presName="hierChild4" presStyleCnt="0"/>
      <dgm:spPr/>
    </dgm:pt>
    <dgm:pt modelId="{0C478B73-DCFB-4BAB-8EB8-B5DEAFF86F57}" type="pres">
      <dgm:prSet presAssocID="{35F580A8-DB0A-4AC2-832A-A90E877C30DA}" presName="hierChild5" presStyleCnt="0"/>
      <dgm:spPr/>
    </dgm:pt>
    <dgm:pt modelId="{317F4080-9F30-4A84-850F-B80BD77F2E5A}" type="pres">
      <dgm:prSet presAssocID="{C2F6BBDE-8B6D-43FE-955A-100213FEFE86}" presName="Name37" presStyleLbl="parChTrans1D4" presStyleIdx="5" presStyleCnt="7"/>
      <dgm:spPr/>
    </dgm:pt>
    <dgm:pt modelId="{9C8E98A1-0990-4952-B1CF-FA06A6F4F425}" type="pres">
      <dgm:prSet presAssocID="{CC03AC92-D2A0-4023-A03F-6A3197C787BE}" presName="hierRoot2" presStyleCnt="0">
        <dgm:presLayoutVars>
          <dgm:hierBranch val="init"/>
        </dgm:presLayoutVars>
      </dgm:prSet>
      <dgm:spPr/>
    </dgm:pt>
    <dgm:pt modelId="{17AC8031-F6C7-40B1-AD64-3DF391C6B46D}" type="pres">
      <dgm:prSet presAssocID="{CC03AC92-D2A0-4023-A03F-6A3197C787BE}" presName="rootComposite" presStyleCnt="0"/>
      <dgm:spPr/>
    </dgm:pt>
    <dgm:pt modelId="{32EC7E06-17E1-47A0-9A42-66BC03471865}" type="pres">
      <dgm:prSet presAssocID="{CC03AC92-D2A0-4023-A03F-6A3197C787BE}" presName="rootText" presStyleLbl="node1" presStyleIdx="11" presStyleCnt="15" custScaleX="191473" custScaleY="93435" custLinFactX="-100000" custLinFactY="38091" custLinFactNeighborX="-137632" custLinFactNeighborY="100000">
        <dgm:presLayoutVars>
          <dgm:chMax/>
          <dgm:chPref val="3"/>
        </dgm:presLayoutVars>
      </dgm:prSet>
      <dgm:spPr>
        <a:prstGeom prst="roundRect">
          <a:avLst/>
        </a:prstGeom>
      </dgm:spPr>
    </dgm:pt>
    <dgm:pt modelId="{2C7F40E8-C355-4842-9266-1F85DBB6697C}" type="pres">
      <dgm:prSet presAssocID="{CC03AC92-D2A0-4023-A03F-6A3197C787BE}" presName="titleText2" presStyleLbl="fgAcc1" presStyleIdx="11" presStyleCnt="15" custScaleX="232960" custScaleY="597620" custLinFactX="-99100" custLinFactY="300000" custLinFactNeighborX="-100000" custLinFactNeighborY="386071">
        <dgm:presLayoutVars>
          <dgm:chMax val="0"/>
          <dgm:chPref val="0"/>
        </dgm:presLayoutVars>
      </dgm:prSet>
      <dgm:spPr>
        <a:prstGeom prst="roundRect">
          <a:avLst/>
        </a:prstGeom>
      </dgm:spPr>
    </dgm:pt>
    <dgm:pt modelId="{BF806410-721D-4682-9281-4704E7E8C3C0}" type="pres">
      <dgm:prSet presAssocID="{CC03AC92-D2A0-4023-A03F-6A3197C787BE}" presName="rootConnector" presStyleLbl="node4" presStyleIdx="0" presStyleCnt="0"/>
      <dgm:spPr/>
    </dgm:pt>
    <dgm:pt modelId="{1AC98FD0-9C95-453F-86A4-84D6F2067C38}" type="pres">
      <dgm:prSet presAssocID="{CC03AC92-D2A0-4023-A03F-6A3197C787BE}" presName="hierChild4" presStyleCnt="0"/>
      <dgm:spPr/>
    </dgm:pt>
    <dgm:pt modelId="{BACC9A8F-E1F9-4324-9DF5-5DF35F214B32}" type="pres">
      <dgm:prSet presAssocID="{CC03AC92-D2A0-4023-A03F-6A3197C787BE}" presName="hierChild5" presStyleCnt="0"/>
      <dgm:spPr/>
    </dgm:pt>
    <dgm:pt modelId="{8990FFF3-8B49-4C1A-8087-91D1234DDC0F}" type="pres">
      <dgm:prSet presAssocID="{ED9A7CAF-FF3D-4950-A802-3ABB62A350EB}" presName="Name37" presStyleLbl="parChTrans1D4" presStyleIdx="6" presStyleCnt="7"/>
      <dgm:spPr/>
    </dgm:pt>
    <dgm:pt modelId="{831FB7D4-0A14-4DEE-A3CF-1FA626967330}" type="pres">
      <dgm:prSet presAssocID="{0B0B0F41-9BC7-4358-8023-58781988659E}" presName="hierRoot2" presStyleCnt="0">
        <dgm:presLayoutVars>
          <dgm:hierBranch val="init"/>
        </dgm:presLayoutVars>
      </dgm:prSet>
      <dgm:spPr/>
    </dgm:pt>
    <dgm:pt modelId="{4C9584E4-7347-4DF0-B036-AAAC51EB1326}" type="pres">
      <dgm:prSet presAssocID="{0B0B0F41-9BC7-4358-8023-58781988659E}" presName="rootComposite" presStyleCnt="0"/>
      <dgm:spPr/>
    </dgm:pt>
    <dgm:pt modelId="{452FD80C-0EE1-4396-B68C-869F03F68C75}" type="pres">
      <dgm:prSet presAssocID="{0B0B0F41-9BC7-4358-8023-58781988659E}" presName="rootText" presStyleLbl="node1" presStyleIdx="12" presStyleCnt="15" custScaleX="225079" custScaleY="93435" custLinFactX="-91691" custLinFactY="38091" custLinFactNeighborX="-100000" custLinFactNeighborY="100000">
        <dgm:presLayoutVars>
          <dgm:chMax/>
          <dgm:chPref val="3"/>
        </dgm:presLayoutVars>
      </dgm:prSet>
      <dgm:spPr>
        <a:prstGeom prst="roundRect">
          <a:avLst/>
        </a:prstGeom>
      </dgm:spPr>
    </dgm:pt>
    <dgm:pt modelId="{4176B799-6962-4130-987D-64383D235712}" type="pres">
      <dgm:prSet presAssocID="{0B0B0F41-9BC7-4358-8023-58781988659E}" presName="titleText2" presStyleLbl="fgAcc1" presStyleIdx="12" presStyleCnt="15" custScaleX="232960" custScaleY="657047" custLinFactX="-34580" custLinFactY="304963" custLinFactNeighborX="-100000" custLinFactNeighborY="400000">
        <dgm:presLayoutVars>
          <dgm:chMax val="0"/>
          <dgm:chPref val="0"/>
        </dgm:presLayoutVars>
      </dgm:prSet>
      <dgm:spPr>
        <a:prstGeom prst="roundRect">
          <a:avLst/>
        </a:prstGeom>
      </dgm:spPr>
    </dgm:pt>
    <dgm:pt modelId="{EF3CB954-ADCE-486A-9584-270B3B9CE8A5}" type="pres">
      <dgm:prSet presAssocID="{0B0B0F41-9BC7-4358-8023-58781988659E}" presName="rootConnector" presStyleLbl="node4" presStyleIdx="0" presStyleCnt="0"/>
      <dgm:spPr/>
    </dgm:pt>
    <dgm:pt modelId="{465DA54F-3E92-41B9-B83A-81EE5FB07A69}" type="pres">
      <dgm:prSet presAssocID="{0B0B0F41-9BC7-4358-8023-58781988659E}" presName="hierChild4" presStyleCnt="0"/>
      <dgm:spPr/>
    </dgm:pt>
    <dgm:pt modelId="{DF4EC8A3-63D8-4792-BE4A-DCB8FD6B9033}" type="pres">
      <dgm:prSet presAssocID="{0B0B0F41-9BC7-4358-8023-58781988659E}" presName="hierChild5" presStyleCnt="0"/>
      <dgm:spPr/>
    </dgm:pt>
    <dgm:pt modelId="{242CD7C2-84F3-463E-A948-BF4F70B3E4B0}" type="pres">
      <dgm:prSet presAssocID="{35DF37A6-1974-493A-8A7E-660C3B9A17D4}" presName="hierChild5" presStyleCnt="0"/>
      <dgm:spPr/>
    </dgm:pt>
    <dgm:pt modelId="{7870413E-2BB8-4045-A82E-C15872BDAF4D}" type="pres">
      <dgm:prSet presAssocID="{1649ADDE-941B-4001-82CA-854A221A9D1B}" presName="hierChild5" presStyleCnt="0"/>
      <dgm:spPr/>
    </dgm:pt>
    <dgm:pt modelId="{57EFAB51-F043-4A26-9A0B-1A423A16F1BC}" type="pres">
      <dgm:prSet presAssocID="{9F291CF5-4714-4F02-B774-EB708ACFF706}" presName="Name37" presStyleLbl="parChTrans1D3" presStyleIdx="3" presStyleCnt="5"/>
      <dgm:spPr/>
    </dgm:pt>
    <dgm:pt modelId="{41A2FD43-DB4F-4E42-B47E-13C0F6C7A284}" type="pres">
      <dgm:prSet presAssocID="{B821C55E-A667-4C76-8447-9C2094FB14EB}" presName="hierRoot2" presStyleCnt="0">
        <dgm:presLayoutVars>
          <dgm:hierBranch val="init"/>
        </dgm:presLayoutVars>
      </dgm:prSet>
      <dgm:spPr/>
    </dgm:pt>
    <dgm:pt modelId="{0DD59E5B-254B-43A1-9E8F-D6DA52369AFF}" type="pres">
      <dgm:prSet presAssocID="{B821C55E-A667-4C76-8447-9C2094FB14EB}" presName="rootComposite" presStyleCnt="0"/>
      <dgm:spPr/>
    </dgm:pt>
    <dgm:pt modelId="{E86059AD-84F8-4E41-90FA-6A1362A955E1}" type="pres">
      <dgm:prSet presAssocID="{B821C55E-A667-4C76-8447-9C2094FB14EB}" presName="rootText" presStyleLbl="node1" presStyleIdx="13" presStyleCnt="15" custScaleX="191473" custScaleY="127843" custLinFactNeighborX="-26694" custLinFactNeighborY="-85663">
        <dgm:presLayoutVars>
          <dgm:chMax/>
          <dgm:chPref val="3"/>
        </dgm:presLayoutVars>
      </dgm:prSet>
      <dgm:spPr>
        <a:prstGeom prst="roundRect">
          <a:avLst/>
        </a:prstGeom>
      </dgm:spPr>
    </dgm:pt>
    <dgm:pt modelId="{82C1A830-FEBF-41C5-9268-CC5FF74D5800}" type="pres">
      <dgm:prSet presAssocID="{B821C55E-A667-4C76-8447-9C2094FB14EB}" presName="titleText2" presStyleLbl="fgAcc1" presStyleIdx="13" presStyleCnt="15" custScaleX="190760" custScaleY="324290" custLinFactY="-3687" custLinFactNeighborX="8487" custLinFactNeighborY="-100000">
        <dgm:presLayoutVars>
          <dgm:chMax val="0"/>
          <dgm:chPref val="0"/>
        </dgm:presLayoutVars>
      </dgm:prSet>
      <dgm:spPr>
        <a:prstGeom prst="roundRect">
          <a:avLst/>
        </a:prstGeom>
      </dgm:spPr>
    </dgm:pt>
    <dgm:pt modelId="{A6E572EC-25A2-4B59-A4AF-AE17D8FB5D52}" type="pres">
      <dgm:prSet presAssocID="{B821C55E-A667-4C76-8447-9C2094FB14EB}" presName="rootConnector" presStyleLbl="node3" presStyleIdx="0" presStyleCnt="0"/>
      <dgm:spPr/>
    </dgm:pt>
    <dgm:pt modelId="{7FE8A3F3-4D6D-4D59-BFF5-2EC67210744B}" type="pres">
      <dgm:prSet presAssocID="{B821C55E-A667-4C76-8447-9C2094FB14EB}" presName="hierChild4" presStyleCnt="0"/>
      <dgm:spPr/>
    </dgm:pt>
    <dgm:pt modelId="{20F1CD4D-036F-4C97-B601-4FA150417DB1}" type="pres">
      <dgm:prSet presAssocID="{B821C55E-A667-4C76-8447-9C2094FB14EB}" presName="hierChild5" presStyleCnt="0"/>
      <dgm:spPr/>
    </dgm:pt>
    <dgm:pt modelId="{402B9E82-D67E-4DFF-82FA-B95CE4674BAD}" type="pres">
      <dgm:prSet presAssocID="{9187A4B4-F120-46CA-82A7-3964C60ACD90}" presName="Name37" presStyleLbl="parChTrans1D3" presStyleIdx="4" presStyleCnt="5"/>
      <dgm:spPr/>
    </dgm:pt>
    <dgm:pt modelId="{8855FC78-1C55-461B-B94B-373CC8E5CEDA}" type="pres">
      <dgm:prSet presAssocID="{E2FA6B3A-97FF-4AAD-909B-23D621085B52}" presName="hierRoot2" presStyleCnt="0">
        <dgm:presLayoutVars>
          <dgm:hierBranch val="init"/>
        </dgm:presLayoutVars>
      </dgm:prSet>
      <dgm:spPr/>
    </dgm:pt>
    <dgm:pt modelId="{127E8C30-1ABB-4F56-87CC-BC45950FB20C}" type="pres">
      <dgm:prSet presAssocID="{E2FA6B3A-97FF-4AAD-909B-23D621085B52}" presName="rootComposite" presStyleCnt="0"/>
      <dgm:spPr/>
    </dgm:pt>
    <dgm:pt modelId="{1E4C9547-E81B-4852-B2D9-6AC3D6081DDD}" type="pres">
      <dgm:prSet presAssocID="{E2FA6B3A-97FF-4AAD-909B-23D621085B52}" presName="rootText" presStyleLbl="node1" presStyleIdx="14" presStyleCnt="15" custScaleX="191473" custScaleY="127843" custLinFactNeighborX="249" custLinFactNeighborY="-86495">
        <dgm:presLayoutVars>
          <dgm:chMax/>
          <dgm:chPref val="3"/>
        </dgm:presLayoutVars>
      </dgm:prSet>
      <dgm:spPr>
        <a:prstGeom prst="roundRect">
          <a:avLst/>
        </a:prstGeom>
      </dgm:spPr>
    </dgm:pt>
    <dgm:pt modelId="{28497822-B9A1-46D1-89FE-E3B47D99EF76}" type="pres">
      <dgm:prSet presAssocID="{E2FA6B3A-97FF-4AAD-909B-23D621085B52}" presName="titleText2" presStyleLbl="fgAcc1" presStyleIdx="14" presStyleCnt="15" custScaleX="167173" custScaleY="342214" custLinFactY="-32278" custLinFactNeighborX="15038" custLinFactNeighborY="-100000">
        <dgm:presLayoutVars>
          <dgm:chMax val="0"/>
          <dgm:chPref val="0"/>
        </dgm:presLayoutVars>
      </dgm:prSet>
      <dgm:spPr>
        <a:prstGeom prst="roundRect">
          <a:avLst/>
        </a:prstGeom>
      </dgm:spPr>
    </dgm:pt>
    <dgm:pt modelId="{E0C8530B-5522-4325-9F04-E8130EC202FB}" type="pres">
      <dgm:prSet presAssocID="{E2FA6B3A-97FF-4AAD-909B-23D621085B52}" presName="rootConnector" presStyleLbl="node3" presStyleIdx="0" presStyleCnt="0"/>
      <dgm:spPr/>
    </dgm:pt>
    <dgm:pt modelId="{073B54C9-9C3A-4BA1-BC67-83A0EE091F34}" type="pres">
      <dgm:prSet presAssocID="{E2FA6B3A-97FF-4AAD-909B-23D621085B52}" presName="hierChild4" presStyleCnt="0"/>
      <dgm:spPr/>
    </dgm:pt>
    <dgm:pt modelId="{FB8D46D6-FE3C-4B70-8498-51284EE4932D}" type="pres">
      <dgm:prSet presAssocID="{E2FA6B3A-97FF-4AAD-909B-23D621085B52}" presName="hierChild5" presStyleCnt="0"/>
      <dgm:spPr/>
    </dgm:pt>
    <dgm:pt modelId="{F149A318-46D3-4D0C-9BD1-683DB7FE6773}" type="pres">
      <dgm:prSet presAssocID="{EA7D8B3A-B366-4E94-9B2C-1A067F4E1584}" presName="hierChild5" presStyleCnt="0"/>
      <dgm:spPr/>
    </dgm:pt>
    <dgm:pt modelId="{57410AA3-6CB7-4CB7-8BFC-BA8013BDDBB4}" type="pres">
      <dgm:prSet presAssocID="{46E3F29C-E510-4D64-87DA-D011DA47AD0C}" presName="hierChild3" presStyleCnt="0"/>
      <dgm:spPr/>
    </dgm:pt>
  </dgm:ptLst>
  <dgm:cxnLst>
    <dgm:cxn modelId="{C5502200-C212-415F-B4F5-B04414BD64E5}" type="presOf" srcId="{FD9D9E14-BB35-4DD4-9834-70BC2BBC5CD0}" destId="{FDC02F12-76C2-465A-9E6F-CE3F792E03C4}" srcOrd="0" destOrd="0" presId="urn:microsoft.com/office/officeart/2008/layout/NameandTitleOrganizationalChart"/>
    <dgm:cxn modelId="{4FEBD901-6CAC-41DC-82A2-10D031B4040D}" type="presOf" srcId="{E63E6931-4C17-4109-8BFE-8FE2D8857F7B}" destId="{C263125C-7643-408D-9C63-F58C1061C3D5}" srcOrd="1" destOrd="0" presId="urn:microsoft.com/office/officeart/2008/layout/NameandTitleOrganizationalChart"/>
    <dgm:cxn modelId="{7F161402-5214-4316-BBC4-CA31E2E0E1F4}" type="presOf" srcId="{B5A3A0AD-FCC5-4C80-A6EE-5888F78B9E61}" destId="{FA83C94C-D681-4480-8FDD-74D8C4842C66}" srcOrd="0" destOrd="0" presId="urn:microsoft.com/office/officeart/2008/layout/NameandTitleOrganizationalChart"/>
    <dgm:cxn modelId="{6181F604-AE43-439B-A959-54CF5DC89088}" type="presOf" srcId="{9D59AB65-713F-4D55-A1E9-FF46DF1121AE}" destId="{EEF59803-E150-40F5-AB1E-38BA99672ABA}" srcOrd="1" destOrd="0" presId="urn:microsoft.com/office/officeart/2008/layout/NameandTitleOrganizationalChart"/>
    <dgm:cxn modelId="{676FBA05-895F-45AA-B7FF-8A80B80BDE89}" type="presOf" srcId="{CC03AC92-D2A0-4023-A03F-6A3197C787BE}" destId="{32EC7E06-17E1-47A0-9A42-66BC03471865}" srcOrd="0" destOrd="0" presId="urn:microsoft.com/office/officeart/2008/layout/NameandTitleOrganizationalChart"/>
    <dgm:cxn modelId="{8FD97B0B-54B3-4916-993F-592E0D2FD16C}" type="presOf" srcId="{61E48F99-D9D6-4EDB-825C-4B8D2003F186}" destId="{5DBEF247-3F81-4A03-9E3D-5505A66DDBAD}" srcOrd="0" destOrd="0" presId="urn:microsoft.com/office/officeart/2008/layout/NameandTitleOrganizationalChart"/>
    <dgm:cxn modelId="{953E2A0E-9373-4E21-861F-C0C10600F070}" type="presOf" srcId="{07746284-1DA3-4C47-A8F2-EFF986D0CBEC}" destId="{0A746A74-F3E1-49D1-B079-A9B4E13E8C45}" srcOrd="0" destOrd="0" presId="urn:microsoft.com/office/officeart/2008/layout/NameandTitleOrganizationalChart"/>
    <dgm:cxn modelId="{BBF69F10-1751-4F24-9129-D22DFBFA0EA2}" srcId="{35DF37A6-1974-493A-8A7E-660C3B9A17D4}" destId="{35F580A8-DB0A-4AC2-832A-A90E877C30DA}" srcOrd="0" destOrd="0" parTransId="{FB32725B-08EB-4293-AA29-BD662BF370D0}" sibTransId="{BED80D0C-6DB5-4D25-A8DE-E1F67E1A953B}"/>
    <dgm:cxn modelId="{7561B310-40E8-4DD3-ADE2-F7469A7606AA}" type="presOf" srcId="{4183D664-D238-413E-94BD-441455E158A8}" destId="{1FB5F152-9F55-4B75-9A0E-E39B8C46A1D8}" srcOrd="0" destOrd="0" presId="urn:microsoft.com/office/officeart/2008/layout/NameandTitleOrganizationalChart"/>
    <dgm:cxn modelId="{7C275E17-F8E0-410F-99E0-D8CD167FC4D4}" type="presOf" srcId="{56AEE87F-264D-4AE3-8722-7E335EBB7FB0}" destId="{FE379DFF-FD03-4CE8-AD8B-3610A0E4FB86}" srcOrd="0" destOrd="0" presId="urn:microsoft.com/office/officeart/2008/layout/NameandTitleOrganizationalChart"/>
    <dgm:cxn modelId="{4FD13818-5961-4175-B27C-D5E63FC22CD9}" type="presOf" srcId="{FC15E6E1-98E3-4A83-9AB4-C8749E34FAFC}" destId="{4176B799-6962-4130-987D-64383D235712}" srcOrd="0" destOrd="0" presId="urn:microsoft.com/office/officeart/2008/layout/NameandTitleOrganizationalChart"/>
    <dgm:cxn modelId="{2CD3B819-578C-4A02-BB82-EF038F7D450A}" type="presOf" srcId="{35DF37A6-1974-493A-8A7E-660C3B9A17D4}" destId="{08B65CE9-6AD8-4277-A252-DDBAC95FFBBF}" srcOrd="1" destOrd="0" presId="urn:microsoft.com/office/officeart/2008/layout/NameandTitleOrganizationalChart"/>
    <dgm:cxn modelId="{8EB1261B-104E-4F0A-BCD1-FA3ACFAF05F1}" type="presOf" srcId="{FB32725B-08EB-4293-AA29-BD662BF370D0}" destId="{EE8DD9FB-5A77-48B4-A391-9D97E1101C92}" srcOrd="0" destOrd="0" presId="urn:microsoft.com/office/officeart/2008/layout/NameandTitleOrganizationalChart"/>
    <dgm:cxn modelId="{CD3D701B-B63D-4314-B2F8-414335B93C9D}" type="presOf" srcId="{39798E1A-6623-40AF-94FE-A7956C19F3C6}" destId="{D0A1FE30-F4BB-4FE9-AAF6-CD342513F6C9}" srcOrd="0" destOrd="0" presId="urn:microsoft.com/office/officeart/2008/layout/NameandTitleOrganizationalChart"/>
    <dgm:cxn modelId="{583A951B-D62C-4CD0-9E5B-78E0E8CD6C76}" type="presOf" srcId="{CA39AD4F-3986-4CBA-9FD9-34F9AB4A4163}" destId="{1276E3B6-DB7B-4EFB-B3F8-BBE7CB7DC630}" srcOrd="1" destOrd="0" presId="urn:microsoft.com/office/officeart/2008/layout/NameandTitleOrganizationalChart"/>
    <dgm:cxn modelId="{2A34291E-4237-45A3-8D07-E15E67628EDB}" srcId="{35DF37A6-1974-493A-8A7E-660C3B9A17D4}" destId="{CC03AC92-D2A0-4023-A03F-6A3197C787BE}" srcOrd="1" destOrd="0" parTransId="{C2F6BBDE-8B6D-43FE-955A-100213FEFE86}" sibTransId="{24878D02-7006-4DCC-8A04-C7DF60F79537}"/>
    <dgm:cxn modelId="{9BAF0522-0DF9-475B-93D8-6BA129C8C864}" type="presOf" srcId="{3863EBBA-355F-40E8-86E2-2EACDBD540BD}" destId="{713D7767-BB4F-4068-B258-19451A79D7F5}" srcOrd="0" destOrd="0" presId="urn:microsoft.com/office/officeart/2008/layout/NameandTitleOrganizationalChart"/>
    <dgm:cxn modelId="{51511D23-09F5-4A35-93D0-E9235F55D2A3}" type="presOf" srcId="{47BB3EB3-BCB6-4A2F-926D-EB312D50CE8C}" destId="{C6AF9F2A-630A-42F2-902B-A2C979F15603}" srcOrd="0" destOrd="0" presId="urn:microsoft.com/office/officeart/2008/layout/NameandTitleOrganizationalChart"/>
    <dgm:cxn modelId="{C4A79423-52D0-4CA0-9E2B-9DB8B1FF4F16}" type="presOf" srcId="{E9F5BF36-8AF9-47EA-9DE4-18AE28FDC14A}" destId="{C882229A-3865-4632-ADAD-01F30AE6C43F}" srcOrd="1" destOrd="0" presId="urn:microsoft.com/office/officeart/2008/layout/NameandTitleOrganizationalChart"/>
    <dgm:cxn modelId="{F6D2D825-E853-4B27-AEB6-1C2A7ABD9391}" type="presOf" srcId="{88F7FB7A-AF12-41DF-A59E-69E8D5540EFC}" destId="{AB40C3E4-AA95-47D6-8F9E-66219CA63A13}" srcOrd="0" destOrd="0" presId="urn:microsoft.com/office/officeart/2008/layout/NameandTitleOrganizationalChart"/>
    <dgm:cxn modelId="{09300728-7FDB-4545-90DF-EAE5D800158A}" srcId="{56AEE87F-264D-4AE3-8722-7E335EBB7FB0}" destId="{CA39AD4F-3986-4CBA-9FD9-34F9AB4A4163}" srcOrd="0" destOrd="0" parTransId="{8554548D-C487-4988-BF0A-05742DCA6AEB}" sibTransId="{F25431E9-AABC-4F17-9947-EB8FEE8DBF59}"/>
    <dgm:cxn modelId="{51FEA628-83D9-4629-8E15-FA986541AADD}" type="presOf" srcId="{0B0B0F41-9BC7-4358-8023-58781988659E}" destId="{EF3CB954-ADCE-486A-9584-270B3B9CE8A5}" srcOrd="1" destOrd="0" presId="urn:microsoft.com/office/officeart/2008/layout/NameandTitleOrganizationalChart"/>
    <dgm:cxn modelId="{36931829-857F-400D-BE15-CC43D13D321D}" type="presOf" srcId="{9187A4B4-F120-46CA-82A7-3964C60ACD90}" destId="{402B9E82-D67E-4DFF-82FA-B95CE4674BAD}" srcOrd="0" destOrd="0" presId="urn:microsoft.com/office/officeart/2008/layout/NameandTitleOrganizationalChart"/>
    <dgm:cxn modelId="{FF360B2C-033B-43D9-AA02-02450D2E6368}" type="presOf" srcId="{951E5589-F07E-4A14-91E5-6FF9D5B4928F}" destId="{82C1A830-FEBF-41C5-9268-CC5FF74D5800}" srcOrd="0" destOrd="0" presId="urn:microsoft.com/office/officeart/2008/layout/NameandTitleOrganizationalChart"/>
    <dgm:cxn modelId="{D6C71B2C-66E2-42B1-BC53-AF7E40BEF044}" type="presOf" srcId="{57EEA4FA-8872-434B-BC08-043EF7D61789}" destId="{9E9784CE-96C1-4DD5-BAAA-839CC6791284}" srcOrd="0" destOrd="0" presId="urn:microsoft.com/office/officeart/2008/layout/NameandTitleOrganizationalChart"/>
    <dgm:cxn modelId="{288CFE2F-805F-49C5-ABDD-48F8986C0FB6}" srcId="{CA39AD4F-3986-4CBA-9FD9-34F9AB4A4163}" destId="{9D59AB65-713F-4D55-A1E9-FF46DF1121AE}" srcOrd="0" destOrd="0" parTransId="{F6F6704D-7A67-4CB1-B78D-81B3887B7D9F}" sibTransId="{07746284-1DA3-4C47-A8F2-EFF986D0CBEC}"/>
    <dgm:cxn modelId="{5C10BF30-0F06-4D34-9BE7-F69C9ACD9EB9}" srcId="{CA39AD4F-3986-4CBA-9FD9-34F9AB4A4163}" destId="{E63E6931-4C17-4109-8BFE-8FE2D8857F7B}" srcOrd="1" destOrd="0" parTransId="{47BB3EB3-BCB6-4A2F-926D-EB312D50CE8C}" sibTransId="{13FE0BEE-AFC3-488C-95CA-2F2BECA83345}"/>
    <dgm:cxn modelId="{6AECE831-E05B-4D9E-A2F0-23B3546FF91C}" srcId="{46E3F29C-E510-4D64-87DA-D011DA47AD0C}" destId="{EA7D8B3A-B366-4E94-9B2C-1A067F4E1584}" srcOrd="2" destOrd="0" parTransId="{9792DD06-EE25-49DC-BBA8-BE6DF31964F7}" sibTransId="{644F160D-9C36-46E1-9F41-8DF2B22DB51A}"/>
    <dgm:cxn modelId="{59C35232-B19E-4B62-A63B-B4464865D15E}" srcId="{EA7D8B3A-B366-4E94-9B2C-1A067F4E1584}" destId="{E2FA6B3A-97FF-4AAD-909B-23D621085B52}" srcOrd="2" destOrd="0" parTransId="{9187A4B4-F120-46CA-82A7-3964C60ACD90}" sibTransId="{8FA9C086-F66C-4F7D-9946-85E1E7682A68}"/>
    <dgm:cxn modelId="{70E40934-7DC8-4CC7-B284-8E9A70A1CF16}" srcId="{1649ADDE-941B-4001-82CA-854A221A9D1B}" destId="{FD9D9E14-BB35-4DD4-9834-70BC2BBC5CD0}" srcOrd="0" destOrd="0" parTransId="{61E48F99-D9D6-4EDB-825C-4B8D2003F186}" sibTransId="{4FE01682-F7E2-40BC-9E31-CA50E2FBDC24}"/>
    <dgm:cxn modelId="{A34C5738-2CF5-41DC-B4A9-1A587579C5A0}" type="presOf" srcId="{E2FA6B3A-97FF-4AAD-909B-23D621085B52}" destId="{E0C8530B-5522-4325-9F04-E8130EC202FB}" srcOrd="1" destOrd="0" presId="urn:microsoft.com/office/officeart/2008/layout/NameandTitleOrganizationalChart"/>
    <dgm:cxn modelId="{A94FDF3F-AB61-4B37-A16D-C31B6ABFCE75}" type="presOf" srcId="{9792DD06-EE25-49DC-BBA8-BE6DF31964F7}" destId="{2A946F58-FE17-4B02-A6F6-B8C38AF6CD94}" srcOrd="0" destOrd="0" presId="urn:microsoft.com/office/officeart/2008/layout/NameandTitleOrganizationalChart"/>
    <dgm:cxn modelId="{08484540-7730-428F-9A74-A03CA0853598}" type="presOf" srcId="{EA7D8B3A-B366-4E94-9B2C-1A067F4E1584}" destId="{0711E792-295E-4384-A996-70F3D34360E0}" srcOrd="1" destOrd="0" presId="urn:microsoft.com/office/officeart/2008/layout/NameandTitleOrganizationalChart"/>
    <dgm:cxn modelId="{63D0775F-E9BB-4D82-B21D-A1238998EE7F}" type="presOf" srcId="{4FE01682-F7E2-40BC-9E31-CA50E2FBDC24}" destId="{70A5F33B-99CB-4EEF-9F27-5592F9AAF15B}" srcOrd="0" destOrd="0" presId="urn:microsoft.com/office/officeart/2008/layout/NameandTitleOrganizationalChart"/>
    <dgm:cxn modelId="{B74C1646-6029-4555-8082-AF9B68E59C7B}" type="presOf" srcId="{D7D9650C-199F-4E07-A7A0-10FD405DCB0C}" destId="{DDFA3687-1B6C-4612-BA1C-9EE9DD7638A9}" srcOrd="0" destOrd="0" presId="urn:microsoft.com/office/officeart/2008/layout/NameandTitleOrganizationalChart"/>
    <dgm:cxn modelId="{103F9666-92BB-469C-92CE-6A612197139D}" type="presOf" srcId="{46E3F29C-E510-4D64-87DA-D011DA47AD0C}" destId="{B38AB20D-6DF3-40FD-A275-D416F8C5A849}" srcOrd="0" destOrd="0" presId="urn:microsoft.com/office/officeart/2008/layout/NameandTitleOrganizationalChart"/>
    <dgm:cxn modelId="{EA91BD67-8C25-40A6-9713-878FAC58525B}" srcId="{D7D9650C-199F-4E07-A7A0-10FD405DCB0C}" destId="{46E3F29C-E510-4D64-87DA-D011DA47AD0C}" srcOrd="0" destOrd="0" parTransId="{E6AE985C-90BE-484A-95E9-61DE6A9A7935}" sibTransId="{B5A3A0AD-FCC5-4C80-A6EE-5888F78B9E61}"/>
    <dgm:cxn modelId="{3A5F504C-9F07-474B-8DF8-D4CA2EB59817}" type="presOf" srcId="{24878D02-7006-4DCC-8A04-C7DF60F79537}" destId="{2C7F40E8-C355-4842-9266-1F85DBB6697C}" srcOrd="0" destOrd="0" presId="urn:microsoft.com/office/officeart/2008/layout/NameandTitleOrganizationalChart"/>
    <dgm:cxn modelId="{6D10954D-9128-4D95-9DEE-7CAE9C1ADAD8}" type="presOf" srcId="{7A8F674D-687A-4CEE-B042-389514C9D987}" destId="{035FA779-EF0E-4908-A9E1-D0A078536B3A}" srcOrd="0" destOrd="0" presId="urn:microsoft.com/office/officeart/2008/layout/NameandTitleOrganizationalChart"/>
    <dgm:cxn modelId="{970BA64F-81E0-427D-9596-FF8413FC5BF2}" srcId="{1649ADDE-941B-4001-82CA-854A221A9D1B}" destId="{35DF37A6-1974-493A-8A7E-660C3B9A17D4}" srcOrd="1" destOrd="0" parTransId="{3863EBBA-355F-40E8-86E2-2EACDBD540BD}" sibTransId="{39798E1A-6623-40AF-94FE-A7956C19F3C6}"/>
    <dgm:cxn modelId="{D7225573-70AB-4F1F-91FD-A03E07B977A1}" type="presOf" srcId="{4B514456-DFE0-4EE9-B2D5-461FD8746AE6}" destId="{FAC04C08-038E-4C8B-8180-4FCD84FF7442}" srcOrd="0" destOrd="0" presId="urn:microsoft.com/office/officeart/2008/layout/NameandTitleOrganizationalChart"/>
    <dgm:cxn modelId="{D7D52B77-CAC5-43E1-AE0B-47B9989622B1}" type="presOf" srcId="{CA39AD4F-3986-4CBA-9FD9-34F9AB4A4163}" destId="{757DB417-CB9B-4BF4-9EC2-F4DEFEFC140A}" srcOrd="0" destOrd="0" presId="urn:microsoft.com/office/officeart/2008/layout/NameandTitleOrganizationalChart"/>
    <dgm:cxn modelId="{ABB1565A-2B30-45CC-8EDC-3C444502BFEB}" type="presOf" srcId="{35F580A8-DB0A-4AC2-832A-A90E877C30DA}" destId="{4BF6FFC4-C55C-430E-B5F7-577B3B347710}" srcOrd="0" destOrd="0" presId="urn:microsoft.com/office/officeart/2008/layout/NameandTitleOrganizationalChart"/>
    <dgm:cxn modelId="{459C987B-F32F-41B2-8402-33EF27393E8A}" type="presOf" srcId="{8554548D-C487-4988-BF0A-05742DCA6AEB}" destId="{CF370203-4E07-44D4-82E5-A2E2DDF7CF17}" srcOrd="0" destOrd="0" presId="urn:microsoft.com/office/officeart/2008/layout/NameandTitleOrganizationalChart"/>
    <dgm:cxn modelId="{8089CF7E-FFC2-446F-9143-B222FCDE310E}" type="presOf" srcId="{8FA9C086-F66C-4F7D-9946-85E1E7682A68}" destId="{28497822-B9A1-46D1-89FE-E3B47D99EF76}" srcOrd="0" destOrd="0" presId="urn:microsoft.com/office/officeart/2008/layout/NameandTitleOrganizationalChart"/>
    <dgm:cxn modelId="{914BF784-3A7F-4AFF-A587-4B146E1CAEA3}" type="presOf" srcId="{1649ADDE-941B-4001-82CA-854A221A9D1B}" destId="{22DB22D6-F40B-4595-A1C9-18625E936A90}" srcOrd="1" destOrd="0" presId="urn:microsoft.com/office/officeart/2008/layout/NameandTitleOrganizationalChart"/>
    <dgm:cxn modelId="{30AC5588-D70A-43DD-A380-BE0070FED0A1}" type="presOf" srcId="{CC03AC92-D2A0-4023-A03F-6A3197C787BE}" destId="{BF806410-721D-4682-9281-4704E7E8C3C0}" srcOrd="1" destOrd="0" presId="urn:microsoft.com/office/officeart/2008/layout/NameandTitleOrganizationalChart"/>
    <dgm:cxn modelId="{D0241F8A-2A4F-4002-B5ED-396F77CD7FB3}" type="presOf" srcId="{644F160D-9C36-46E1-9F41-8DF2B22DB51A}" destId="{A14E9310-E78C-4256-B288-4CC0F6A9067C}" srcOrd="0" destOrd="0" presId="urn:microsoft.com/office/officeart/2008/layout/NameandTitleOrganizationalChart"/>
    <dgm:cxn modelId="{8B43338C-D7BC-43AC-94F2-1DC656ECE331}" type="presOf" srcId="{0B0B0F41-9BC7-4358-8023-58781988659E}" destId="{452FD80C-0EE1-4396-B68C-869F03F68C75}" srcOrd="0" destOrd="0" presId="urn:microsoft.com/office/officeart/2008/layout/NameandTitleOrganizationalChart"/>
    <dgm:cxn modelId="{8DC8328E-6359-4EF8-A119-79A1CF8F5E4F}" srcId="{46E3F29C-E510-4D64-87DA-D011DA47AD0C}" destId="{56AEE87F-264D-4AE3-8722-7E335EBB7FB0}" srcOrd="1" destOrd="0" parTransId="{7A8F674D-687A-4CEE-B042-389514C9D987}" sibTransId="{57EEA4FA-8872-434B-BC08-043EF7D61789}"/>
    <dgm:cxn modelId="{122E4691-78E0-4FFC-91F3-09825AB5C3EF}" srcId="{EA7D8B3A-B366-4E94-9B2C-1A067F4E1584}" destId="{1649ADDE-941B-4001-82CA-854A221A9D1B}" srcOrd="0" destOrd="0" parTransId="{3DA14686-F57F-469A-B7F6-96964A49D9A8}" sibTransId="{D522D4BC-8D15-46D8-B72F-7F099DC5EAAE}"/>
    <dgm:cxn modelId="{D345D492-1FF7-4EA6-B5A5-9B561850A27A}" type="presOf" srcId="{1649ADDE-941B-4001-82CA-854A221A9D1B}" destId="{08091B86-32E8-4ABA-B9A5-D6A3ED7973BB}" srcOrd="0" destOrd="0" presId="urn:microsoft.com/office/officeart/2008/layout/NameandTitleOrganizationalChart"/>
    <dgm:cxn modelId="{27AF4193-5DBF-4BCD-A7AE-B113ECBEDC87}" type="presOf" srcId="{B821C55E-A667-4C76-8447-9C2094FB14EB}" destId="{A6E572EC-25A2-4B59-A4AF-AE17D8FB5D52}" srcOrd="1" destOrd="0" presId="urn:microsoft.com/office/officeart/2008/layout/NameandTitleOrganizationalChart"/>
    <dgm:cxn modelId="{5FF84A9B-54EE-47B6-BAF4-4F4C246D4F8C}" type="presOf" srcId="{9D59AB65-713F-4D55-A1E9-FF46DF1121AE}" destId="{4DF67BF5-19CB-42CF-8D25-EA5079C23FED}" srcOrd="0" destOrd="0" presId="urn:microsoft.com/office/officeart/2008/layout/NameandTitleOrganizationalChart"/>
    <dgm:cxn modelId="{2A973DA6-EDA6-4954-A447-FCAC210B1B54}" type="presOf" srcId="{79CBC069-1D8F-47A2-BB4A-5ADF2FD3C4B0}" destId="{AD7A16DD-4A41-486F-9A8B-34E81AB220E9}" srcOrd="0" destOrd="0" presId="urn:microsoft.com/office/officeart/2008/layout/NameandTitleOrganizationalChart"/>
    <dgm:cxn modelId="{F7CDF6A7-7EDA-486A-B5E5-AB177D683136}" type="presOf" srcId="{9F291CF5-4714-4F02-B774-EB708ACFF706}" destId="{57EFAB51-F043-4A26-9A0B-1A423A16F1BC}" srcOrd="0" destOrd="0" presId="urn:microsoft.com/office/officeart/2008/layout/NameandTitleOrganizationalChart"/>
    <dgm:cxn modelId="{02C96CA9-4B26-4EE9-8874-82C6E880CD90}" type="presOf" srcId="{ED9A7CAF-FF3D-4950-A802-3ABB62A350EB}" destId="{8990FFF3-8B49-4C1A-8087-91D1234DDC0F}" srcOrd="0" destOrd="0" presId="urn:microsoft.com/office/officeart/2008/layout/NameandTitleOrganizationalChart"/>
    <dgm:cxn modelId="{79787FAA-B9B7-4191-AF56-1CBEC2405DD5}" type="presOf" srcId="{13FE0BEE-AFC3-488C-95CA-2F2BECA83345}" destId="{72CF281D-8BFB-4A5A-9494-1A1105C6F197}" srcOrd="0" destOrd="0" presId="urn:microsoft.com/office/officeart/2008/layout/NameandTitleOrganizationalChart"/>
    <dgm:cxn modelId="{955F39AC-5C74-4F76-BD8E-CE0C50B885DC}" type="presOf" srcId="{35F580A8-DB0A-4AC2-832A-A90E877C30DA}" destId="{882111C1-8814-49D3-8D2B-0BFC3942DD55}" srcOrd="1" destOrd="0" presId="urn:microsoft.com/office/officeart/2008/layout/NameandTitleOrganizationalChart"/>
    <dgm:cxn modelId="{A1995DAE-9992-4E0E-9EC9-28E27BB093BD}" srcId="{35DF37A6-1974-493A-8A7E-660C3B9A17D4}" destId="{0B0B0F41-9BC7-4358-8023-58781988659E}" srcOrd="2" destOrd="0" parTransId="{ED9A7CAF-FF3D-4950-A802-3ABB62A350EB}" sibTransId="{FC15E6E1-98E3-4A83-9AB4-C8749E34FAFC}"/>
    <dgm:cxn modelId="{D5AE15B7-78F5-4758-AEE9-45C23188005A}" type="presOf" srcId="{B821C55E-A667-4C76-8447-9C2094FB14EB}" destId="{E86059AD-84F8-4E41-90FA-6A1362A955E1}" srcOrd="0" destOrd="0" presId="urn:microsoft.com/office/officeart/2008/layout/NameandTitleOrganizationalChart"/>
    <dgm:cxn modelId="{B56568B7-38CA-4D4B-BDCD-458B40BEB994}" type="presOf" srcId="{E9F5BF36-8AF9-47EA-9DE4-18AE28FDC14A}" destId="{A38D528F-F1BB-4EC9-820A-1B30301E1DB1}" srcOrd="0" destOrd="0" presId="urn:microsoft.com/office/officeart/2008/layout/NameandTitleOrganizationalChart"/>
    <dgm:cxn modelId="{6DE600B8-C0ED-40E1-8FBC-2FADCA558C81}" srcId="{46E3F29C-E510-4D64-87DA-D011DA47AD0C}" destId="{979EBCC8-F627-4F92-94F7-41B7353EB4D6}" srcOrd="0" destOrd="0" parTransId="{79CBC069-1D8F-47A2-BB4A-5ADF2FD3C4B0}" sibTransId="{88F7FB7A-AF12-41DF-A59E-69E8D5540EFC}"/>
    <dgm:cxn modelId="{E2530FC8-5CB3-4C5E-A253-F5B04E2B38C4}" type="presOf" srcId="{C2F6BBDE-8B6D-43FE-955A-100213FEFE86}" destId="{317F4080-9F30-4A84-850F-B80BD77F2E5A}" srcOrd="0" destOrd="0" presId="urn:microsoft.com/office/officeart/2008/layout/NameandTitleOrganizationalChart"/>
    <dgm:cxn modelId="{3F21A5CC-077C-4A06-9E13-73F95ADBF80D}" type="presOf" srcId="{EA7D8B3A-B366-4E94-9B2C-1A067F4E1584}" destId="{FA2F3EEC-23E7-46CB-8A4A-7EBB250401EC}" srcOrd="0" destOrd="0" presId="urn:microsoft.com/office/officeart/2008/layout/NameandTitleOrganizationalChart"/>
    <dgm:cxn modelId="{389FAAD0-68D2-4A93-A960-E28CE7133B81}" type="presOf" srcId="{979EBCC8-F627-4F92-94F7-41B7353EB4D6}" destId="{D2029439-DD52-4E7A-919C-A362CF332DE0}" srcOrd="0" destOrd="0" presId="urn:microsoft.com/office/officeart/2008/layout/NameandTitleOrganizationalChart"/>
    <dgm:cxn modelId="{8376EDD1-1107-4E31-AAAC-58B03EF71B3E}" type="presOf" srcId="{3DA14686-F57F-469A-B7F6-96964A49D9A8}" destId="{626401A0-94DD-4426-98CE-B5389C731E95}" srcOrd="0" destOrd="0" presId="urn:microsoft.com/office/officeart/2008/layout/NameandTitleOrganizationalChart"/>
    <dgm:cxn modelId="{659DCCD2-D864-47EC-87A2-091493C2E3DD}" type="presOf" srcId="{FD9D9E14-BB35-4DD4-9834-70BC2BBC5CD0}" destId="{780A8931-3444-4F7F-9EEE-898C91A3DEB1}" srcOrd="1" destOrd="0" presId="urn:microsoft.com/office/officeart/2008/layout/NameandTitleOrganizationalChart"/>
    <dgm:cxn modelId="{6D00A4D5-54AB-4199-8A7F-5F1EF0054EC9}" type="presOf" srcId="{35DF37A6-1974-493A-8A7E-660C3B9A17D4}" destId="{5B28B24E-223E-4F8A-A9BD-AF01BF6FCB1F}" srcOrd="0" destOrd="0" presId="urn:microsoft.com/office/officeart/2008/layout/NameandTitleOrganizationalChart"/>
    <dgm:cxn modelId="{FFAD3EDB-A0C7-4C77-BA4E-A5271297471A}" type="presOf" srcId="{F6F6704D-7A67-4CB1-B78D-81B3887B7D9F}" destId="{97B8904F-79AC-46FA-A349-F98D7E472929}" srcOrd="0" destOrd="0" presId="urn:microsoft.com/office/officeart/2008/layout/NameandTitleOrganizationalChart"/>
    <dgm:cxn modelId="{E4753BDC-E11F-4E5F-888B-1059DBE0F65C}" type="presOf" srcId="{F25431E9-AABC-4F17-9947-EB8FEE8DBF59}" destId="{961950DC-3446-4676-B84E-D1F56FD2E76B}" srcOrd="0" destOrd="0" presId="urn:microsoft.com/office/officeart/2008/layout/NameandTitleOrganizationalChart"/>
    <dgm:cxn modelId="{760343DF-88C3-47E5-A720-4628B1972116}" type="presOf" srcId="{D522D4BC-8D15-46D8-B72F-7F099DC5EAAE}" destId="{37D68202-532C-41B3-8EB0-0AB1CE342555}" srcOrd="0" destOrd="0" presId="urn:microsoft.com/office/officeart/2008/layout/NameandTitleOrganizationalChart"/>
    <dgm:cxn modelId="{BD763BE0-EED4-448F-BA1D-16A225611D85}" srcId="{EA7D8B3A-B366-4E94-9B2C-1A067F4E1584}" destId="{B821C55E-A667-4C76-8447-9C2094FB14EB}" srcOrd="1" destOrd="0" parTransId="{9F291CF5-4714-4F02-B774-EB708ACFF706}" sibTransId="{951E5589-F07E-4A14-91E5-6FF9D5B4928F}"/>
    <dgm:cxn modelId="{EC21D1E4-90E3-40A3-AFAC-827F51F635E2}" type="presOf" srcId="{979EBCC8-F627-4F92-94F7-41B7353EB4D6}" destId="{AC215F62-E96E-4277-82FC-5CD124C82421}" srcOrd="1" destOrd="0" presId="urn:microsoft.com/office/officeart/2008/layout/NameandTitleOrganizationalChart"/>
    <dgm:cxn modelId="{06B0ADE8-F505-46F0-A677-6E06AEBE1E4D}" type="presOf" srcId="{56AEE87F-264D-4AE3-8722-7E335EBB7FB0}" destId="{40C95CB7-7F45-4F66-A441-C4E51C825F94}" srcOrd="1" destOrd="0" presId="urn:microsoft.com/office/officeart/2008/layout/NameandTitleOrganizationalChart"/>
    <dgm:cxn modelId="{ACB2B5F1-6DEF-4EFC-AA67-B735ADC950B3}" type="presOf" srcId="{E63E6931-4C17-4109-8BFE-8FE2D8857F7B}" destId="{39EE6A4A-6DB0-4A18-B52D-58F98F91935F}" srcOrd="0" destOrd="0" presId="urn:microsoft.com/office/officeart/2008/layout/NameandTitleOrganizationalChart"/>
    <dgm:cxn modelId="{2A0C74F5-4025-41F7-AA21-AF45DD4FB056}" srcId="{56AEE87F-264D-4AE3-8722-7E335EBB7FB0}" destId="{E9F5BF36-8AF9-47EA-9DE4-18AE28FDC14A}" srcOrd="1" destOrd="0" parTransId="{4183D664-D238-413E-94BD-441455E158A8}" sibTransId="{4B514456-DFE0-4EE9-B2D5-461FD8746AE6}"/>
    <dgm:cxn modelId="{B5B67EF5-EE0D-4A0C-BC69-0DFBE8761388}" type="presOf" srcId="{46E3F29C-E510-4D64-87DA-D011DA47AD0C}" destId="{538D4113-2A7A-4485-8371-B0A6CE79A0B4}" srcOrd="1" destOrd="0" presId="urn:microsoft.com/office/officeart/2008/layout/NameandTitleOrganizationalChart"/>
    <dgm:cxn modelId="{15E8D8F5-9421-485C-A43D-1ADC5A2653BA}" type="presOf" srcId="{BED80D0C-6DB5-4D25-A8DE-E1F67E1A953B}" destId="{EC015BFA-1712-436B-917B-4CC09F7ED762}" srcOrd="0" destOrd="0" presId="urn:microsoft.com/office/officeart/2008/layout/NameandTitleOrganizationalChart"/>
    <dgm:cxn modelId="{0C0C2BFA-C872-44C3-8518-0A78E287A05C}" type="presOf" srcId="{E2FA6B3A-97FF-4AAD-909B-23D621085B52}" destId="{1E4C9547-E81B-4852-B2D9-6AC3D6081DDD}" srcOrd="0" destOrd="0" presId="urn:microsoft.com/office/officeart/2008/layout/NameandTitleOrganizationalChart"/>
    <dgm:cxn modelId="{B969B1A3-A2E6-4527-B339-50CD4AA3D21E}" type="presParOf" srcId="{DDFA3687-1B6C-4612-BA1C-9EE9DD7638A9}" destId="{77CE498D-3030-4978-A503-0D3DEEC464F4}" srcOrd="0" destOrd="0" presId="urn:microsoft.com/office/officeart/2008/layout/NameandTitleOrganizationalChart"/>
    <dgm:cxn modelId="{4E22245C-789D-46F0-8BC9-20057B2D630E}" type="presParOf" srcId="{77CE498D-3030-4978-A503-0D3DEEC464F4}" destId="{EA14CFC3-4808-4FA7-8ED8-8E50A1DC3644}" srcOrd="0" destOrd="0" presId="urn:microsoft.com/office/officeart/2008/layout/NameandTitleOrganizationalChart"/>
    <dgm:cxn modelId="{058D4ED8-23EF-4050-8638-CEB14532BFE4}" type="presParOf" srcId="{EA14CFC3-4808-4FA7-8ED8-8E50A1DC3644}" destId="{B38AB20D-6DF3-40FD-A275-D416F8C5A849}" srcOrd="0" destOrd="0" presId="urn:microsoft.com/office/officeart/2008/layout/NameandTitleOrganizationalChart"/>
    <dgm:cxn modelId="{505EFC33-E731-4AD5-BBA5-9A523510D948}" type="presParOf" srcId="{EA14CFC3-4808-4FA7-8ED8-8E50A1DC3644}" destId="{FA83C94C-D681-4480-8FDD-74D8C4842C66}" srcOrd="1" destOrd="0" presId="urn:microsoft.com/office/officeart/2008/layout/NameandTitleOrganizationalChart"/>
    <dgm:cxn modelId="{8611CE64-4245-45C0-B2B7-3129E97C6BC9}" type="presParOf" srcId="{EA14CFC3-4808-4FA7-8ED8-8E50A1DC3644}" destId="{538D4113-2A7A-4485-8371-B0A6CE79A0B4}" srcOrd="2" destOrd="0" presId="urn:microsoft.com/office/officeart/2008/layout/NameandTitleOrganizationalChart"/>
    <dgm:cxn modelId="{B0CD4F30-89EE-4AB1-B968-1AC4F066BC9D}" type="presParOf" srcId="{77CE498D-3030-4978-A503-0D3DEEC464F4}" destId="{0B4213AC-885E-4800-9CF1-DDC5E377173E}" srcOrd="1" destOrd="0" presId="urn:microsoft.com/office/officeart/2008/layout/NameandTitleOrganizationalChart"/>
    <dgm:cxn modelId="{3E71ACE4-93B5-4EA6-8E6F-52FDFD2C6D95}" type="presParOf" srcId="{0B4213AC-885E-4800-9CF1-DDC5E377173E}" destId="{AD7A16DD-4A41-486F-9A8B-34E81AB220E9}" srcOrd="0" destOrd="0" presId="urn:microsoft.com/office/officeart/2008/layout/NameandTitleOrganizationalChart"/>
    <dgm:cxn modelId="{0734C481-AE60-468D-BC8B-DE85199DD70A}" type="presParOf" srcId="{0B4213AC-885E-4800-9CF1-DDC5E377173E}" destId="{46212D18-3E06-4352-8FCE-00D1B8326A0A}" srcOrd="1" destOrd="0" presId="urn:microsoft.com/office/officeart/2008/layout/NameandTitleOrganizationalChart"/>
    <dgm:cxn modelId="{4DB39A60-133F-4C6E-A874-D877C68AB98F}" type="presParOf" srcId="{46212D18-3E06-4352-8FCE-00D1B8326A0A}" destId="{4442B4EB-0518-46B8-AAFF-0C4D13165902}" srcOrd="0" destOrd="0" presId="urn:microsoft.com/office/officeart/2008/layout/NameandTitleOrganizationalChart"/>
    <dgm:cxn modelId="{F3E2222E-33D5-4233-8E6C-473BE41E3EA9}" type="presParOf" srcId="{4442B4EB-0518-46B8-AAFF-0C4D13165902}" destId="{D2029439-DD52-4E7A-919C-A362CF332DE0}" srcOrd="0" destOrd="0" presId="urn:microsoft.com/office/officeart/2008/layout/NameandTitleOrganizationalChart"/>
    <dgm:cxn modelId="{FE5D51B0-F555-4E04-9EC9-6F2702623914}" type="presParOf" srcId="{4442B4EB-0518-46B8-AAFF-0C4D13165902}" destId="{AB40C3E4-AA95-47D6-8F9E-66219CA63A13}" srcOrd="1" destOrd="0" presId="urn:microsoft.com/office/officeart/2008/layout/NameandTitleOrganizationalChart"/>
    <dgm:cxn modelId="{7092CC9B-9B47-4ADB-A2F3-8E4C74CC7C0F}" type="presParOf" srcId="{4442B4EB-0518-46B8-AAFF-0C4D13165902}" destId="{AC215F62-E96E-4277-82FC-5CD124C82421}" srcOrd="2" destOrd="0" presId="urn:microsoft.com/office/officeart/2008/layout/NameandTitleOrganizationalChart"/>
    <dgm:cxn modelId="{7B2A9708-71EE-4E2A-8736-B51897A99D92}" type="presParOf" srcId="{46212D18-3E06-4352-8FCE-00D1B8326A0A}" destId="{D7066B58-EA04-4E0A-A6AF-6EF820C60DB3}" srcOrd="1" destOrd="0" presId="urn:microsoft.com/office/officeart/2008/layout/NameandTitleOrganizationalChart"/>
    <dgm:cxn modelId="{31FA5787-5455-401E-923F-AE14153F1DA7}" type="presParOf" srcId="{46212D18-3E06-4352-8FCE-00D1B8326A0A}" destId="{65B08759-4FD8-47B9-8FC6-E279C0199208}" srcOrd="2" destOrd="0" presId="urn:microsoft.com/office/officeart/2008/layout/NameandTitleOrganizationalChart"/>
    <dgm:cxn modelId="{57F53784-AC75-48A7-9CE7-F1C1E55C8E55}" type="presParOf" srcId="{0B4213AC-885E-4800-9CF1-DDC5E377173E}" destId="{035FA779-EF0E-4908-A9E1-D0A078536B3A}" srcOrd="2" destOrd="0" presId="urn:microsoft.com/office/officeart/2008/layout/NameandTitleOrganizationalChart"/>
    <dgm:cxn modelId="{E66FEAA2-DB39-49D4-A080-31AE33A34B6E}" type="presParOf" srcId="{0B4213AC-885E-4800-9CF1-DDC5E377173E}" destId="{EF0D1647-8BC3-48C1-B77E-EA286E941D54}" srcOrd="3" destOrd="0" presId="urn:microsoft.com/office/officeart/2008/layout/NameandTitleOrganizationalChart"/>
    <dgm:cxn modelId="{D0319199-9C84-4B47-8C89-5E962CD480B4}" type="presParOf" srcId="{EF0D1647-8BC3-48C1-B77E-EA286E941D54}" destId="{C2964AB0-5EC6-4F8A-BF87-4F6DD3C67150}" srcOrd="0" destOrd="0" presId="urn:microsoft.com/office/officeart/2008/layout/NameandTitleOrganizationalChart"/>
    <dgm:cxn modelId="{390C078A-8F5C-42DD-9995-0041B1C2F3B0}" type="presParOf" srcId="{C2964AB0-5EC6-4F8A-BF87-4F6DD3C67150}" destId="{FE379DFF-FD03-4CE8-AD8B-3610A0E4FB86}" srcOrd="0" destOrd="0" presId="urn:microsoft.com/office/officeart/2008/layout/NameandTitleOrganizationalChart"/>
    <dgm:cxn modelId="{DF856D00-AC39-4D4C-BF1D-E943A2653229}" type="presParOf" srcId="{C2964AB0-5EC6-4F8A-BF87-4F6DD3C67150}" destId="{9E9784CE-96C1-4DD5-BAAA-839CC6791284}" srcOrd="1" destOrd="0" presId="urn:microsoft.com/office/officeart/2008/layout/NameandTitleOrganizationalChart"/>
    <dgm:cxn modelId="{1E4AEC41-31E2-4075-8DF4-47638CFF5562}" type="presParOf" srcId="{C2964AB0-5EC6-4F8A-BF87-4F6DD3C67150}" destId="{40C95CB7-7F45-4F66-A441-C4E51C825F94}" srcOrd="2" destOrd="0" presId="urn:microsoft.com/office/officeart/2008/layout/NameandTitleOrganizationalChart"/>
    <dgm:cxn modelId="{589EB90D-0AD9-4494-A3C7-CF6CE2FA870E}" type="presParOf" srcId="{EF0D1647-8BC3-48C1-B77E-EA286E941D54}" destId="{E0C7374B-186C-4DE6-AC56-159C62C2B507}" srcOrd="1" destOrd="0" presId="urn:microsoft.com/office/officeart/2008/layout/NameandTitleOrganizationalChart"/>
    <dgm:cxn modelId="{C3DB9DBE-68D4-431B-81E9-BEDD7D8B8785}" type="presParOf" srcId="{E0C7374B-186C-4DE6-AC56-159C62C2B507}" destId="{CF370203-4E07-44D4-82E5-A2E2DDF7CF17}" srcOrd="0" destOrd="0" presId="urn:microsoft.com/office/officeart/2008/layout/NameandTitleOrganizationalChart"/>
    <dgm:cxn modelId="{74F387EF-85BA-4BB9-9FA9-4A2CAC8C32FD}" type="presParOf" srcId="{E0C7374B-186C-4DE6-AC56-159C62C2B507}" destId="{F243A25E-AE31-4A7F-A7A8-882A3347A74D}" srcOrd="1" destOrd="0" presId="urn:microsoft.com/office/officeart/2008/layout/NameandTitleOrganizationalChart"/>
    <dgm:cxn modelId="{9B5E437E-23F5-42A5-8FBB-81F4ECF1C011}" type="presParOf" srcId="{F243A25E-AE31-4A7F-A7A8-882A3347A74D}" destId="{1CBEC5B5-594F-4E11-B224-253A57CD32EA}" srcOrd="0" destOrd="0" presId="urn:microsoft.com/office/officeart/2008/layout/NameandTitleOrganizationalChart"/>
    <dgm:cxn modelId="{8E8F34EA-9377-4DA6-9DDC-4A0FB61164A1}" type="presParOf" srcId="{1CBEC5B5-594F-4E11-B224-253A57CD32EA}" destId="{757DB417-CB9B-4BF4-9EC2-F4DEFEFC140A}" srcOrd="0" destOrd="0" presId="urn:microsoft.com/office/officeart/2008/layout/NameandTitleOrganizationalChart"/>
    <dgm:cxn modelId="{35ECC477-D9C1-430B-B269-05A259ED3AF9}" type="presParOf" srcId="{1CBEC5B5-594F-4E11-B224-253A57CD32EA}" destId="{961950DC-3446-4676-B84E-D1F56FD2E76B}" srcOrd="1" destOrd="0" presId="urn:microsoft.com/office/officeart/2008/layout/NameandTitleOrganizationalChart"/>
    <dgm:cxn modelId="{6DC42161-7194-49C2-9A86-98A7ACF26E5A}" type="presParOf" srcId="{1CBEC5B5-594F-4E11-B224-253A57CD32EA}" destId="{1276E3B6-DB7B-4EFB-B3F8-BBE7CB7DC630}" srcOrd="2" destOrd="0" presId="urn:microsoft.com/office/officeart/2008/layout/NameandTitleOrganizationalChart"/>
    <dgm:cxn modelId="{330D376B-8EF2-43EA-B388-C6CAF3B0807F}" type="presParOf" srcId="{F243A25E-AE31-4A7F-A7A8-882A3347A74D}" destId="{C6DC535A-0731-4DA2-8F7D-75BC8D68769A}" srcOrd="1" destOrd="0" presId="urn:microsoft.com/office/officeart/2008/layout/NameandTitleOrganizationalChart"/>
    <dgm:cxn modelId="{B5AE0866-EB34-4BCC-A00A-47605A3C18B6}" type="presParOf" srcId="{C6DC535A-0731-4DA2-8F7D-75BC8D68769A}" destId="{97B8904F-79AC-46FA-A349-F98D7E472929}" srcOrd="0" destOrd="0" presId="urn:microsoft.com/office/officeart/2008/layout/NameandTitleOrganizationalChart"/>
    <dgm:cxn modelId="{AF4E58B7-F815-4ED7-BE61-04181A409B49}" type="presParOf" srcId="{C6DC535A-0731-4DA2-8F7D-75BC8D68769A}" destId="{5AADFEF5-8C04-41B0-8C96-ABDB192A3601}" srcOrd="1" destOrd="0" presId="urn:microsoft.com/office/officeart/2008/layout/NameandTitleOrganizationalChart"/>
    <dgm:cxn modelId="{EFDA14C4-1493-42E8-90F0-B177287E1486}" type="presParOf" srcId="{5AADFEF5-8C04-41B0-8C96-ABDB192A3601}" destId="{8F603435-B8D0-4F7D-B47B-A5E6725C129E}" srcOrd="0" destOrd="0" presId="urn:microsoft.com/office/officeart/2008/layout/NameandTitleOrganizationalChart"/>
    <dgm:cxn modelId="{EB4551BD-BDD8-4170-A439-28EE8AE82DA7}" type="presParOf" srcId="{8F603435-B8D0-4F7D-B47B-A5E6725C129E}" destId="{4DF67BF5-19CB-42CF-8D25-EA5079C23FED}" srcOrd="0" destOrd="0" presId="urn:microsoft.com/office/officeart/2008/layout/NameandTitleOrganizationalChart"/>
    <dgm:cxn modelId="{F5B6CBAC-05F0-40C1-B2BB-AA4D76C1DBD6}" type="presParOf" srcId="{8F603435-B8D0-4F7D-B47B-A5E6725C129E}" destId="{0A746A74-F3E1-49D1-B079-A9B4E13E8C45}" srcOrd="1" destOrd="0" presId="urn:microsoft.com/office/officeart/2008/layout/NameandTitleOrganizationalChart"/>
    <dgm:cxn modelId="{4DCAB767-5C9D-4BF7-A7C4-5BACA8B70377}" type="presParOf" srcId="{8F603435-B8D0-4F7D-B47B-A5E6725C129E}" destId="{EEF59803-E150-40F5-AB1E-38BA99672ABA}" srcOrd="2" destOrd="0" presId="urn:microsoft.com/office/officeart/2008/layout/NameandTitleOrganizationalChart"/>
    <dgm:cxn modelId="{403C5A64-4C43-43AA-9927-4BEC779B54FF}" type="presParOf" srcId="{5AADFEF5-8C04-41B0-8C96-ABDB192A3601}" destId="{DD8974AF-8B89-4522-B452-6F5D8D2BBEEA}" srcOrd="1" destOrd="0" presId="urn:microsoft.com/office/officeart/2008/layout/NameandTitleOrganizationalChart"/>
    <dgm:cxn modelId="{585F4255-2D6F-4524-99DA-C5C5D9E3E825}" type="presParOf" srcId="{5AADFEF5-8C04-41B0-8C96-ABDB192A3601}" destId="{A05392FC-883A-480B-BF72-D27ADE100328}" srcOrd="2" destOrd="0" presId="urn:microsoft.com/office/officeart/2008/layout/NameandTitleOrganizationalChart"/>
    <dgm:cxn modelId="{C619FCA9-1D09-4348-BCCD-04DAD98E0C3B}" type="presParOf" srcId="{C6DC535A-0731-4DA2-8F7D-75BC8D68769A}" destId="{C6AF9F2A-630A-42F2-902B-A2C979F15603}" srcOrd="2" destOrd="0" presId="urn:microsoft.com/office/officeart/2008/layout/NameandTitleOrganizationalChart"/>
    <dgm:cxn modelId="{E02EE6CD-6128-4B99-8268-53941C7C206D}" type="presParOf" srcId="{C6DC535A-0731-4DA2-8F7D-75BC8D68769A}" destId="{4A569AD2-A259-42E9-978D-FD0115C75EF0}" srcOrd="3" destOrd="0" presId="urn:microsoft.com/office/officeart/2008/layout/NameandTitleOrganizationalChart"/>
    <dgm:cxn modelId="{60397420-EFC2-4F7A-8EDA-EE3AAE5137C1}" type="presParOf" srcId="{4A569AD2-A259-42E9-978D-FD0115C75EF0}" destId="{68B7B03C-13A7-4C0D-AAA2-BF4FADFDC1FA}" srcOrd="0" destOrd="0" presId="urn:microsoft.com/office/officeart/2008/layout/NameandTitleOrganizationalChart"/>
    <dgm:cxn modelId="{47011726-F242-49E7-B03D-D16312B1C086}" type="presParOf" srcId="{68B7B03C-13A7-4C0D-AAA2-BF4FADFDC1FA}" destId="{39EE6A4A-6DB0-4A18-B52D-58F98F91935F}" srcOrd="0" destOrd="0" presId="urn:microsoft.com/office/officeart/2008/layout/NameandTitleOrganizationalChart"/>
    <dgm:cxn modelId="{B66FD169-2779-4587-8556-9E36E990378A}" type="presParOf" srcId="{68B7B03C-13A7-4C0D-AAA2-BF4FADFDC1FA}" destId="{72CF281D-8BFB-4A5A-9494-1A1105C6F197}" srcOrd="1" destOrd="0" presId="urn:microsoft.com/office/officeart/2008/layout/NameandTitleOrganizationalChart"/>
    <dgm:cxn modelId="{E1B67DB6-96C9-4154-B822-1349B739A7C4}" type="presParOf" srcId="{68B7B03C-13A7-4C0D-AAA2-BF4FADFDC1FA}" destId="{C263125C-7643-408D-9C63-F58C1061C3D5}" srcOrd="2" destOrd="0" presId="urn:microsoft.com/office/officeart/2008/layout/NameandTitleOrganizationalChart"/>
    <dgm:cxn modelId="{EE17BD43-4388-41E5-85A9-6DE1D7A17C07}" type="presParOf" srcId="{4A569AD2-A259-42E9-978D-FD0115C75EF0}" destId="{BE3377AF-FC67-4B78-8B2E-9F1B0EB2AA94}" srcOrd="1" destOrd="0" presId="urn:microsoft.com/office/officeart/2008/layout/NameandTitleOrganizationalChart"/>
    <dgm:cxn modelId="{72B6298F-CFEF-4DA6-9BE7-C750483FC138}" type="presParOf" srcId="{4A569AD2-A259-42E9-978D-FD0115C75EF0}" destId="{84CCE42A-E5E6-4325-8EED-F6B951A9B0F4}" srcOrd="2" destOrd="0" presId="urn:microsoft.com/office/officeart/2008/layout/NameandTitleOrganizationalChart"/>
    <dgm:cxn modelId="{2C8ED1F1-11A8-402A-A910-C96097126BF0}" type="presParOf" srcId="{F243A25E-AE31-4A7F-A7A8-882A3347A74D}" destId="{E683BCBA-B9F6-4435-B32F-AD688B80C74C}" srcOrd="2" destOrd="0" presId="urn:microsoft.com/office/officeart/2008/layout/NameandTitleOrganizationalChart"/>
    <dgm:cxn modelId="{B02B29F1-1F6A-4542-9E82-E2E4EA2EA8F5}" type="presParOf" srcId="{E0C7374B-186C-4DE6-AC56-159C62C2B507}" destId="{1FB5F152-9F55-4B75-9A0E-E39B8C46A1D8}" srcOrd="2" destOrd="0" presId="urn:microsoft.com/office/officeart/2008/layout/NameandTitleOrganizationalChart"/>
    <dgm:cxn modelId="{CB27457C-BE92-4DD7-9BD6-21FC0DC723F2}" type="presParOf" srcId="{E0C7374B-186C-4DE6-AC56-159C62C2B507}" destId="{D4913CE3-906F-49A0-B6B4-8B6FEB6F16F8}" srcOrd="3" destOrd="0" presId="urn:microsoft.com/office/officeart/2008/layout/NameandTitleOrganizationalChart"/>
    <dgm:cxn modelId="{1B2B24F8-3671-4374-BA93-E26D0DABAD58}" type="presParOf" srcId="{D4913CE3-906F-49A0-B6B4-8B6FEB6F16F8}" destId="{CC3EA5C5-C6C1-4075-9928-307F83A7CA74}" srcOrd="0" destOrd="0" presId="urn:microsoft.com/office/officeart/2008/layout/NameandTitleOrganizationalChart"/>
    <dgm:cxn modelId="{441CED7C-3A5D-43A1-9B17-531257D9110F}" type="presParOf" srcId="{CC3EA5C5-C6C1-4075-9928-307F83A7CA74}" destId="{A38D528F-F1BB-4EC9-820A-1B30301E1DB1}" srcOrd="0" destOrd="0" presId="urn:microsoft.com/office/officeart/2008/layout/NameandTitleOrganizationalChart"/>
    <dgm:cxn modelId="{907B4A5F-6176-4EDF-8AE1-89CBD423F0EB}" type="presParOf" srcId="{CC3EA5C5-C6C1-4075-9928-307F83A7CA74}" destId="{FAC04C08-038E-4C8B-8180-4FCD84FF7442}" srcOrd="1" destOrd="0" presId="urn:microsoft.com/office/officeart/2008/layout/NameandTitleOrganizationalChart"/>
    <dgm:cxn modelId="{2CE9C0B5-64BE-4838-8B24-01D6DC7E89C6}" type="presParOf" srcId="{CC3EA5C5-C6C1-4075-9928-307F83A7CA74}" destId="{C882229A-3865-4632-ADAD-01F30AE6C43F}" srcOrd="2" destOrd="0" presId="urn:microsoft.com/office/officeart/2008/layout/NameandTitleOrganizationalChart"/>
    <dgm:cxn modelId="{9FBEA102-1C18-42F2-9D53-EFDF0B3FDF4C}" type="presParOf" srcId="{D4913CE3-906F-49A0-B6B4-8B6FEB6F16F8}" destId="{0B22D6E7-85F9-4F75-ADA4-E624038DA5B1}" srcOrd="1" destOrd="0" presId="urn:microsoft.com/office/officeart/2008/layout/NameandTitleOrganizationalChart"/>
    <dgm:cxn modelId="{50CB8467-88CA-4C72-8AEF-52066EC0D44B}" type="presParOf" srcId="{D4913CE3-906F-49A0-B6B4-8B6FEB6F16F8}" destId="{8792A3BD-7DAC-450F-96A9-7496DD70A89B}" srcOrd="2" destOrd="0" presId="urn:microsoft.com/office/officeart/2008/layout/NameandTitleOrganizationalChart"/>
    <dgm:cxn modelId="{2F2D6AE1-3E41-4A3B-B856-0DE5796DE796}" type="presParOf" srcId="{EF0D1647-8BC3-48C1-B77E-EA286E941D54}" destId="{2C50AAA0-0400-4CF9-A74E-16F4D82FA4FA}" srcOrd="2" destOrd="0" presId="urn:microsoft.com/office/officeart/2008/layout/NameandTitleOrganizationalChart"/>
    <dgm:cxn modelId="{66F3E1E8-2B4A-498A-B3A3-1CA0CC8EFEFE}" type="presParOf" srcId="{0B4213AC-885E-4800-9CF1-DDC5E377173E}" destId="{2A946F58-FE17-4B02-A6F6-B8C38AF6CD94}" srcOrd="4" destOrd="0" presId="urn:microsoft.com/office/officeart/2008/layout/NameandTitleOrganizationalChart"/>
    <dgm:cxn modelId="{808A03CB-A599-43B5-BE9B-C3C40DAB49EB}" type="presParOf" srcId="{0B4213AC-885E-4800-9CF1-DDC5E377173E}" destId="{66C2BEE5-B44C-4579-9A83-ECA65B99F200}" srcOrd="5" destOrd="0" presId="urn:microsoft.com/office/officeart/2008/layout/NameandTitleOrganizationalChart"/>
    <dgm:cxn modelId="{6FEA97F2-E114-4357-A3A5-8E0F61C4BDA4}" type="presParOf" srcId="{66C2BEE5-B44C-4579-9A83-ECA65B99F200}" destId="{FCCC09BB-D3C6-4CF0-A8FE-21261CA12461}" srcOrd="0" destOrd="0" presId="urn:microsoft.com/office/officeart/2008/layout/NameandTitleOrganizationalChart"/>
    <dgm:cxn modelId="{B52DF3F6-FF89-4F91-AA54-FCA246AD126C}" type="presParOf" srcId="{FCCC09BB-D3C6-4CF0-A8FE-21261CA12461}" destId="{FA2F3EEC-23E7-46CB-8A4A-7EBB250401EC}" srcOrd="0" destOrd="0" presId="urn:microsoft.com/office/officeart/2008/layout/NameandTitleOrganizationalChart"/>
    <dgm:cxn modelId="{2A20D0D3-6768-4BA3-A657-9E8C110FFFAE}" type="presParOf" srcId="{FCCC09BB-D3C6-4CF0-A8FE-21261CA12461}" destId="{A14E9310-E78C-4256-B288-4CC0F6A9067C}" srcOrd="1" destOrd="0" presId="urn:microsoft.com/office/officeart/2008/layout/NameandTitleOrganizationalChart"/>
    <dgm:cxn modelId="{A3EA3D66-CC43-4296-8C58-4C5A5D050370}" type="presParOf" srcId="{FCCC09BB-D3C6-4CF0-A8FE-21261CA12461}" destId="{0711E792-295E-4384-A996-70F3D34360E0}" srcOrd="2" destOrd="0" presId="urn:microsoft.com/office/officeart/2008/layout/NameandTitleOrganizationalChart"/>
    <dgm:cxn modelId="{0FFF9265-A0AB-4D6C-813F-3CDDF9D73519}" type="presParOf" srcId="{66C2BEE5-B44C-4579-9A83-ECA65B99F200}" destId="{580801AC-671C-4969-BFE8-32AF11CA0D0D}" srcOrd="1" destOrd="0" presId="urn:microsoft.com/office/officeart/2008/layout/NameandTitleOrganizationalChart"/>
    <dgm:cxn modelId="{E81F5A17-77E5-48C1-8EA3-1746D0DFE8B5}" type="presParOf" srcId="{580801AC-671C-4969-BFE8-32AF11CA0D0D}" destId="{626401A0-94DD-4426-98CE-B5389C731E95}" srcOrd="0" destOrd="0" presId="urn:microsoft.com/office/officeart/2008/layout/NameandTitleOrganizationalChart"/>
    <dgm:cxn modelId="{63403118-7A01-4A5C-8ED8-AB98A96573DC}" type="presParOf" srcId="{580801AC-671C-4969-BFE8-32AF11CA0D0D}" destId="{89A3D8F6-73CA-4AD1-81BA-A2ED53A49E65}" srcOrd="1" destOrd="0" presId="urn:microsoft.com/office/officeart/2008/layout/NameandTitleOrganizationalChart"/>
    <dgm:cxn modelId="{8A6FCAD4-9E0C-4005-B766-8BDEBFD8D931}" type="presParOf" srcId="{89A3D8F6-73CA-4AD1-81BA-A2ED53A49E65}" destId="{D6122935-4BF0-4B56-ABD4-97630BE89618}" srcOrd="0" destOrd="0" presId="urn:microsoft.com/office/officeart/2008/layout/NameandTitleOrganizationalChart"/>
    <dgm:cxn modelId="{76058366-18D5-4CEF-A4F9-A500CE8E8BBF}" type="presParOf" srcId="{D6122935-4BF0-4B56-ABD4-97630BE89618}" destId="{08091B86-32E8-4ABA-B9A5-D6A3ED7973BB}" srcOrd="0" destOrd="0" presId="urn:microsoft.com/office/officeart/2008/layout/NameandTitleOrganizationalChart"/>
    <dgm:cxn modelId="{6E77CF74-F6F3-4765-B8A0-5D5B8B72CC8E}" type="presParOf" srcId="{D6122935-4BF0-4B56-ABD4-97630BE89618}" destId="{37D68202-532C-41B3-8EB0-0AB1CE342555}" srcOrd="1" destOrd="0" presId="urn:microsoft.com/office/officeart/2008/layout/NameandTitleOrganizationalChart"/>
    <dgm:cxn modelId="{AA68F2A9-8E70-4376-AD66-E6C41FF024C4}" type="presParOf" srcId="{D6122935-4BF0-4B56-ABD4-97630BE89618}" destId="{22DB22D6-F40B-4595-A1C9-18625E936A90}" srcOrd="2" destOrd="0" presId="urn:microsoft.com/office/officeart/2008/layout/NameandTitleOrganizationalChart"/>
    <dgm:cxn modelId="{1677277A-D2FB-41BA-AE65-C6E7FBD5109B}" type="presParOf" srcId="{89A3D8F6-73CA-4AD1-81BA-A2ED53A49E65}" destId="{E1299D60-B381-44B5-B139-E9ADB6B8E432}" srcOrd="1" destOrd="0" presId="urn:microsoft.com/office/officeart/2008/layout/NameandTitleOrganizationalChart"/>
    <dgm:cxn modelId="{13425713-24AD-4AFA-B60C-E5DFA9438BBB}" type="presParOf" srcId="{E1299D60-B381-44B5-B139-E9ADB6B8E432}" destId="{5DBEF247-3F81-4A03-9E3D-5505A66DDBAD}" srcOrd="0" destOrd="0" presId="urn:microsoft.com/office/officeart/2008/layout/NameandTitleOrganizationalChart"/>
    <dgm:cxn modelId="{08375A43-D403-472A-B506-5A0E57A5C225}" type="presParOf" srcId="{E1299D60-B381-44B5-B139-E9ADB6B8E432}" destId="{5B688252-BEFA-443B-9B26-632A80B9E18E}" srcOrd="1" destOrd="0" presId="urn:microsoft.com/office/officeart/2008/layout/NameandTitleOrganizationalChart"/>
    <dgm:cxn modelId="{B88C9766-1DBF-4B62-8A08-9F89C037ACBC}" type="presParOf" srcId="{5B688252-BEFA-443B-9B26-632A80B9E18E}" destId="{174A11E7-00FF-4C5D-A7E0-742218876011}" srcOrd="0" destOrd="0" presId="urn:microsoft.com/office/officeart/2008/layout/NameandTitleOrganizationalChart"/>
    <dgm:cxn modelId="{58A81B10-FC34-44DA-9383-4863A536E037}" type="presParOf" srcId="{174A11E7-00FF-4C5D-A7E0-742218876011}" destId="{FDC02F12-76C2-465A-9E6F-CE3F792E03C4}" srcOrd="0" destOrd="0" presId="urn:microsoft.com/office/officeart/2008/layout/NameandTitleOrganizationalChart"/>
    <dgm:cxn modelId="{1E630B2A-76C3-4E14-8A9F-D9DDC2B2DF68}" type="presParOf" srcId="{174A11E7-00FF-4C5D-A7E0-742218876011}" destId="{70A5F33B-99CB-4EEF-9F27-5592F9AAF15B}" srcOrd="1" destOrd="0" presId="urn:microsoft.com/office/officeart/2008/layout/NameandTitleOrganizationalChart"/>
    <dgm:cxn modelId="{BFA30F0E-6A37-4CF7-8901-9A71C51054B1}" type="presParOf" srcId="{174A11E7-00FF-4C5D-A7E0-742218876011}" destId="{780A8931-3444-4F7F-9EEE-898C91A3DEB1}" srcOrd="2" destOrd="0" presId="urn:microsoft.com/office/officeart/2008/layout/NameandTitleOrganizationalChart"/>
    <dgm:cxn modelId="{15B90325-BC3C-48F8-8FC4-609E9BB26044}" type="presParOf" srcId="{5B688252-BEFA-443B-9B26-632A80B9E18E}" destId="{C191C0C6-983C-4823-9229-DBAEE32F2F9D}" srcOrd="1" destOrd="0" presId="urn:microsoft.com/office/officeart/2008/layout/NameandTitleOrganizationalChart"/>
    <dgm:cxn modelId="{EBC5BD75-7CB3-44F5-BDFD-3A2340487EBB}" type="presParOf" srcId="{5B688252-BEFA-443B-9B26-632A80B9E18E}" destId="{0391CFCA-CA69-4120-8DCF-FA85B03BBF89}" srcOrd="2" destOrd="0" presId="urn:microsoft.com/office/officeart/2008/layout/NameandTitleOrganizationalChart"/>
    <dgm:cxn modelId="{9FCF7558-9CB7-43A1-B0B5-59D20B1F2CF2}" type="presParOf" srcId="{E1299D60-B381-44B5-B139-E9ADB6B8E432}" destId="{713D7767-BB4F-4068-B258-19451A79D7F5}" srcOrd="2" destOrd="0" presId="urn:microsoft.com/office/officeart/2008/layout/NameandTitleOrganizationalChart"/>
    <dgm:cxn modelId="{F3CEE2D9-DF79-44F7-B5BD-4E1EA1086D93}" type="presParOf" srcId="{E1299D60-B381-44B5-B139-E9ADB6B8E432}" destId="{905F7554-4AD0-4252-9834-F435074F26F9}" srcOrd="3" destOrd="0" presId="urn:microsoft.com/office/officeart/2008/layout/NameandTitleOrganizationalChart"/>
    <dgm:cxn modelId="{B44B4237-937A-4C2D-B1B1-8F318D08AF34}" type="presParOf" srcId="{905F7554-4AD0-4252-9834-F435074F26F9}" destId="{D322E439-6656-4872-A5E0-9696DCA61FA6}" srcOrd="0" destOrd="0" presId="urn:microsoft.com/office/officeart/2008/layout/NameandTitleOrganizationalChart"/>
    <dgm:cxn modelId="{0C61CB87-833C-4246-AE50-A57B5BCFDCA4}" type="presParOf" srcId="{D322E439-6656-4872-A5E0-9696DCA61FA6}" destId="{5B28B24E-223E-4F8A-A9BD-AF01BF6FCB1F}" srcOrd="0" destOrd="0" presId="urn:microsoft.com/office/officeart/2008/layout/NameandTitleOrganizationalChart"/>
    <dgm:cxn modelId="{2217A933-F9F0-4625-80B4-9EB7725DB5A7}" type="presParOf" srcId="{D322E439-6656-4872-A5E0-9696DCA61FA6}" destId="{D0A1FE30-F4BB-4FE9-AAF6-CD342513F6C9}" srcOrd="1" destOrd="0" presId="urn:microsoft.com/office/officeart/2008/layout/NameandTitleOrganizationalChart"/>
    <dgm:cxn modelId="{D17CBF4C-2715-4E9A-90A5-FFEEC0198355}" type="presParOf" srcId="{D322E439-6656-4872-A5E0-9696DCA61FA6}" destId="{08B65CE9-6AD8-4277-A252-DDBAC95FFBBF}" srcOrd="2" destOrd="0" presId="urn:microsoft.com/office/officeart/2008/layout/NameandTitleOrganizationalChart"/>
    <dgm:cxn modelId="{D89F15CC-C4F7-4435-84DF-21C4E8779F18}" type="presParOf" srcId="{905F7554-4AD0-4252-9834-F435074F26F9}" destId="{BE1D0015-15EA-4B17-BA13-E25B571CC63D}" srcOrd="1" destOrd="0" presId="urn:microsoft.com/office/officeart/2008/layout/NameandTitleOrganizationalChart"/>
    <dgm:cxn modelId="{7A4EA7A7-BF6D-4E49-AF90-C6E15B4F29A4}" type="presParOf" srcId="{BE1D0015-15EA-4B17-BA13-E25B571CC63D}" destId="{EE8DD9FB-5A77-48B4-A391-9D97E1101C92}" srcOrd="0" destOrd="0" presId="urn:microsoft.com/office/officeart/2008/layout/NameandTitleOrganizationalChart"/>
    <dgm:cxn modelId="{C07C7145-7E7F-446A-ADBE-8A97E8178784}" type="presParOf" srcId="{BE1D0015-15EA-4B17-BA13-E25B571CC63D}" destId="{1BCD6EC6-CDC0-4370-813C-810DC9164E8A}" srcOrd="1" destOrd="0" presId="urn:microsoft.com/office/officeart/2008/layout/NameandTitleOrganizationalChart"/>
    <dgm:cxn modelId="{9262D0F0-09DE-4961-813D-6F33EA419423}" type="presParOf" srcId="{1BCD6EC6-CDC0-4370-813C-810DC9164E8A}" destId="{DF5140D6-C629-48E5-BBE6-FD47D63386F0}" srcOrd="0" destOrd="0" presId="urn:microsoft.com/office/officeart/2008/layout/NameandTitleOrganizationalChart"/>
    <dgm:cxn modelId="{21A060BA-E1DE-4F5E-B382-294219FF4D8C}" type="presParOf" srcId="{DF5140D6-C629-48E5-BBE6-FD47D63386F0}" destId="{4BF6FFC4-C55C-430E-B5F7-577B3B347710}" srcOrd="0" destOrd="0" presId="urn:microsoft.com/office/officeart/2008/layout/NameandTitleOrganizationalChart"/>
    <dgm:cxn modelId="{240FE2FC-E408-426D-9DE5-04F2F502AD4F}" type="presParOf" srcId="{DF5140D6-C629-48E5-BBE6-FD47D63386F0}" destId="{EC015BFA-1712-436B-917B-4CC09F7ED762}" srcOrd="1" destOrd="0" presId="urn:microsoft.com/office/officeart/2008/layout/NameandTitleOrganizationalChart"/>
    <dgm:cxn modelId="{4AF6D0F3-6CCB-425E-8C94-E29D7379BCF7}" type="presParOf" srcId="{DF5140D6-C629-48E5-BBE6-FD47D63386F0}" destId="{882111C1-8814-49D3-8D2B-0BFC3942DD55}" srcOrd="2" destOrd="0" presId="urn:microsoft.com/office/officeart/2008/layout/NameandTitleOrganizationalChart"/>
    <dgm:cxn modelId="{631EC4E7-6C5A-44E0-9B39-43D1661D4554}" type="presParOf" srcId="{1BCD6EC6-CDC0-4370-813C-810DC9164E8A}" destId="{742DEB15-E204-4402-99CC-A006477742CC}" srcOrd="1" destOrd="0" presId="urn:microsoft.com/office/officeart/2008/layout/NameandTitleOrganizationalChart"/>
    <dgm:cxn modelId="{B9228623-58A0-4F69-B20B-20650AB853C1}" type="presParOf" srcId="{1BCD6EC6-CDC0-4370-813C-810DC9164E8A}" destId="{0C478B73-DCFB-4BAB-8EB8-B5DEAFF86F57}" srcOrd="2" destOrd="0" presId="urn:microsoft.com/office/officeart/2008/layout/NameandTitleOrganizationalChart"/>
    <dgm:cxn modelId="{363D604E-1B12-49F5-9E7E-46CBD313923E}" type="presParOf" srcId="{BE1D0015-15EA-4B17-BA13-E25B571CC63D}" destId="{317F4080-9F30-4A84-850F-B80BD77F2E5A}" srcOrd="2" destOrd="0" presId="urn:microsoft.com/office/officeart/2008/layout/NameandTitleOrganizationalChart"/>
    <dgm:cxn modelId="{71B9759C-C927-4BC4-9BA6-A1724D57E6CC}" type="presParOf" srcId="{BE1D0015-15EA-4B17-BA13-E25B571CC63D}" destId="{9C8E98A1-0990-4952-B1CF-FA06A6F4F425}" srcOrd="3" destOrd="0" presId="urn:microsoft.com/office/officeart/2008/layout/NameandTitleOrganizationalChart"/>
    <dgm:cxn modelId="{A3274525-83CE-4E1C-8E42-BB778A5BE8CE}" type="presParOf" srcId="{9C8E98A1-0990-4952-B1CF-FA06A6F4F425}" destId="{17AC8031-F6C7-40B1-AD64-3DF391C6B46D}" srcOrd="0" destOrd="0" presId="urn:microsoft.com/office/officeart/2008/layout/NameandTitleOrganizationalChart"/>
    <dgm:cxn modelId="{05ECE88C-F2F0-411C-91D4-BA98165CB3D6}" type="presParOf" srcId="{17AC8031-F6C7-40B1-AD64-3DF391C6B46D}" destId="{32EC7E06-17E1-47A0-9A42-66BC03471865}" srcOrd="0" destOrd="0" presId="urn:microsoft.com/office/officeart/2008/layout/NameandTitleOrganizationalChart"/>
    <dgm:cxn modelId="{AA78B88C-13BF-4F5D-AFCF-62DBA0A964E6}" type="presParOf" srcId="{17AC8031-F6C7-40B1-AD64-3DF391C6B46D}" destId="{2C7F40E8-C355-4842-9266-1F85DBB6697C}" srcOrd="1" destOrd="0" presId="urn:microsoft.com/office/officeart/2008/layout/NameandTitleOrganizationalChart"/>
    <dgm:cxn modelId="{DE9E871D-A99E-4434-9039-385E9C724CA4}" type="presParOf" srcId="{17AC8031-F6C7-40B1-AD64-3DF391C6B46D}" destId="{BF806410-721D-4682-9281-4704E7E8C3C0}" srcOrd="2" destOrd="0" presId="urn:microsoft.com/office/officeart/2008/layout/NameandTitleOrganizationalChart"/>
    <dgm:cxn modelId="{69EB999D-BAF1-4E71-AB41-58D9249CEBBD}" type="presParOf" srcId="{9C8E98A1-0990-4952-B1CF-FA06A6F4F425}" destId="{1AC98FD0-9C95-453F-86A4-84D6F2067C38}" srcOrd="1" destOrd="0" presId="urn:microsoft.com/office/officeart/2008/layout/NameandTitleOrganizationalChart"/>
    <dgm:cxn modelId="{71FD96B7-08A4-422C-9342-78CE4C73A18B}" type="presParOf" srcId="{9C8E98A1-0990-4952-B1CF-FA06A6F4F425}" destId="{BACC9A8F-E1F9-4324-9DF5-5DF35F214B32}" srcOrd="2" destOrd="0" presId="urn:microsoft.com/office/officeart/2008/layout/NameandTitleOrganizationalChart"/>
    <dgm:cxn modelId="{EF630702-1F93-4A02-A16A-8CE197811ECC}" type="presParOf" srcId="{BE1D0015-15EA-4B17-BA13-E25B571CC63D}" destId="{8990FFF3-8B49-4C1A-8087-91D1234DDC0F}" srcOrd="4" destOrd="0" presId="urn:microsoft.com/office/officeart/2008/layout/NameandTitleOrganizationalChart"/>
    <dgm:cxn modelId="{98B49E71-DD98-421A-9F4E-F2570DCC662F}" type="presParOf" srcId="{BE1D0015-15EA-4B17-BA13-E25B571CC63D}" destId="{831FB7D4-0A14-4DEE-A3CF-1FA626967330}" srcOrd="5" destOrd="0" presId="urn:microsoft.com/office/officeart/2008/layout/NameandTitleOrganizationalChart"/>
    <dgm:cxn modelId="{FD81FB83-F294-4FDA-88B3-F09BC3C466E8}" type="presParOf" srcId="{831FB7D4-0A14-4DEE-A3CF-1FA626967330}" destId="{4C9584E4-7347-4DF0-B036-AAAC51EB1326}" srcOrd="0" destOrd="0" presId="urn:microsoft.com/office/officeart/2008/layout/NameandTitleOrganizationalChart"/>
    <dgm:cxn modelId="{52942671-140E-4182-B8FD-B4A070396E27}" type="presParOf" srcId="{4C9584E4-7347-4DF0-B036-AAAC51EB1326}" destId="{452FD80C-0EE1-4396-B68C-869F03F68C75}" srcOrd="0" destOrd="0" presId="urn:microsoft.com/office/officeart/2008/layout/NameandTitleOrganizationalChart"/>
    <dgm:cxn modelId="{35DAEA36-539E-4370-9C83-D6686F78E2DD}" type="presParOf" srcId="{4C9584E4-7347-4DF0-B036-AAAC51EB1326}" destId="{4176B799-6962-4130-987D-64383D235712}" srcOrd="1" destOrd="0" presId="urn:microsoft.com/office/officeart/2008/layout/NameandTitleOrganizationalChart"/>
    <dgm:cxn modelId="{4B1DBB17-6A5D-4A79-842B-BF8DCAC60F6F}" type="presParOf" srcId="{4C9584E4-7347-4DF0-B036-AAAC51EB1326}" destId="{EF3CB954-ADCE-486A-9584-270B3B9CE8A5}" srcOrd="2" destOrd="0" presId="urn:microsoft.com/office/officeart/2008/layout/NameandTitleOrganizationalChart"/>
    <dgm:cxn modelId="{3667E176-F3B0-4CE8-B459-317F561CC164}" type="presParOf" srcId="{831FB7D4-0A14-4DEE-A3CF-1FA626967330}" destId="{465DA54F-3E92-41B9-B83A-81EE5FB07A69}" srcOrd="1" destOrd="0" presId="urn:microsoft.com/office/officeart/2008/layout/NameandTitleOrganizationalChart"/>
    <dgm:cxn modelId="{FF00552C-AE63-405C-8560-DF2FACB348EE}" type="presParOf" srcId="{831FB7D4-0A14-4DEE-A3CF-1FA626967330}" destId="{DF4EC8A3-63D8-4792-BE4A-DCB8FD6B9033}" srcOrd="2" destOrd="0" presId="urn:microsoft.com/office/officeart/2008/layout/NameandTitleOrganizationalChart"/>
    <dgm:cxn modelId="{7634E29A-CB04-4906-897B-7C9C4D1D5D4F}" type="presParOf" srcId="{905F7554-4AD0-4252-9834-F435074F26F9}" destId="{242CD7C2-84F3-463E-A948-BF4F70B3E4B0}" srcOrd="2" destOrd="0" presId="urn:microsoft.com/office/officeart/2008/layout/NameandTitleOrganizationalChart"/>
    <dgm:cxn modelId="{40D7E278-EF0F-4668-90B6-6EF53FA45B90}" type="presParOf" srcId="{89A3D8F6-73CA-4AD1-81BA-A2ED53A49E65}" destId="{7870413E-2BB8-4045-A82E-C15872BDAF4D}" srcOrd="2" destOrd="0" presId="urn:microsoft.com/office/officeart/2008/layout/NameandTitleOrganizationalChart"/>
    <dgm:cxn modelId="{4DC96EA8-2A7E-4B04-B7A1-787A20A00728}" type="presParOf" srcId="{580801AC-671C-4969-BFE8-32AF11CA0D0D}" destId="{57EFAB51-F043-4A26-9A0B-1A423A16F1BC}" srcOrd="2" destOrd="0" presId="urn:microsoft.com/office/officeart/2008/layout/NameandTitleOrganizationalChart"/>
    <dgm:cxn modelId="{99D1D524-663D-4DEB-9312-C9278CFA36F9}" type="presParOf" srcId="{580801AC-671C-4969-BFE8-32AF11CA0D0D}" destId="{41A2FD43-DB4F-4E42-B47E-13C0F6C7A284}" srcOrd="3" destOrd="0" presId="urn:microsoft.com/office/officeart/2008/layout/NameandTitleOrganizationalChart"/>
    <dgm:cxn modelId="{889B15BD-1799-4EBD-B58D-060AADAAC354}" type="presParOf" srcId="{41A2FD43-DB4F-4E42-B47E-13C0F6C7A284}" destId="{0DD59E5B-254B-43A1-9E8F-D6DA52369AFF}" srcOrd="0" destOrd="0" presId="urn:microsoft.com/office/officeart/2008/layout/NameandTitleOrganizationalChart"/>
    <dgm:cxn modelId="{5CBAE18F-C016-404A-8317-CDEB482B15B6}" type="presParOf" srcId="{0DD59E5B-254B-43A1-9E8F-D6DA52369AFF}" destId="{E86059AD-84F8-4E41-90FA-6A1362A955E1}" srcOrd="0" destOrd="0" presId="urn:microsoft.com/office/officeart/2008/layout/NameandTitleOrganizationalChart"/>
    <dgm:cxn modelId="{17664177-273F-4DCB-AEBB-17D45F6E8BF5}" type="presParOf" srcId="{0DD59E5B-254B-43A1-9E8F-D6DA52369AFF}" destId="{82C1A830-FEBF-41C5-9268-CC5FF74D5800}" srcOrd="1" destOrd="0" presId="urn:microsoft.com/office/officeart/2008/layout/NameandTitleOrganizationalChart"/>
    <dgm:cxn modelId="{2C675A90-5002-4255-85B9-0DAFC6FA719B}" type="presParOf" srcId="{0DD59E5B-254B-43A1-9E8F-D6DA52369AFF}" destId="{A6E572EC-25A2-4B59-A4AF-AE17D8FB5D52}" srcOrd="2" destOrd="0" presId="urn:microsoft.com/office/officeart/2008/layout/NameandTitleOrganizationalChart"/>
    <dgm:cxn modelId="{A7C26247-1A99-4146-BF3C-0A8037C89C24}" type="presParOf" srcId="{41A2FD43-DB4F-4E42-B47E-13C0F6C7A284}" destId="{7FE8A3F3-4D6D-4D59-BFF5-2EC67210744B}" srcOrd="1" destOrd="0" presId="urn:microsoft.com/office/officeart/2008/layout/NameandTitleOrganizationalChart"/>
    <dgm:cxn modelId="{EBADE84F-3E31-4597-BA8D-444AFAC907F2}" type="presParOf" srcId="{41A2FD43-DB4F-4E42-B47E-13C0F6C7A284}" destId="{20F1CD4D-036F-4C97-B601-4FA150417DB1}" srcOrd="2" destOrd="0" presId="urn:microsoft.com/office/officeart/2008/layout/NameandTitleOrganizationalChart"/>
    <dgm:cxn modelId="{36FD7506-7468-496B-9D3F-4AA38945666A}" type="presParOf" srcId="{580801AC-671C-4969-BFE8-32AF11CA0D0D}" destId="{402B9E82-D67E-4DFF-82FA-B95CE4674BAD}" srcOrd="4" destOrd="0" presId="urn:microsoft.com/office/officeart/2008/layout/NameandTitleOrganizationalChart"/>
    <dgm:cxn modelId="{CF253EBB-AFC8-411A-88E9-3B90ABF126E7}" type="presParOf" srcId="{580801AC-671C-4969-BFE8-32AF11CA0D0D}" destId="{8855FC78-1C55-461B-B94B-373CC8E5CEDA}" srcOrd="5" destOrd="0" presId="urn:microsoft.com/office/officeart/2008/layout/NameandTitleOrganizationalChart"/>
    <dgm:cxn modelId="{D05BF89D-9435-4674-944D-E4BF83DB49EE}" type="presParOf" srcId="{8855FC78-1C55-461B-B94B-373CC8E5CEDA}" destId="{127E8C30-1ABB-4F56-87CC-BC45950FB20C}" srcOrd="0" destOrd="0" presId="urn:microsoft.com/office/officeart/2008/layout/NameandTitleOrganizationalChart"/>
    <dgm:cxn modelId="{E108BC05-9317-4E0C-96F6-7C8F21C0C0D0}" type="presParOf" srcId="{127E8C30-1ABB-4F56-87CC-BC45950FB20C}" destId="{1E4C9547-E81B-4852-B2D9-6AC3D6081DDD}" srcOrd="0" destOrd="0" presId="urn:microsoft.com/office/officeart/2008/layout/NameandTitleOrganizationalChart"/>
    <dgm:cxn modelId="{06EF52F1-8244-4F91-ACA1-52E05D59FD14}" type="presParOf" srcId="{127E8C30-1ABB-4F56-87CC-BC45950FB20C}" destId="{28497822-B9A1-46D1-89FE-E3B47D99EF76}" srcOrd="1" destOrd="0" presId="urn:microsoft.com/office/officeart/2008/layout/NameandTitleOrganizationalChart"/>
    <dgm:cxn modelId="{78E3A0E6-7342-48C0-BD6B-66B20D31CC60}" type="presParOf" srcId="{127E8C30-1ABB-4F56-87CC-BC45950FB20C}" destId="{E0C8530B-5522-4325-9F04-E8130EC202FB}" srcOrd="2" destOrd="0" presId="urn:microsoft.com/office/officeart/2008/layout/NameandTitleOrganizationalChart"/>
    <dgm:cxn modelId="{AB6E5A5B-7E32-4D02-A66A-9558BD8FB1FE}" type="presParOf" srcId="{8855FC78-1C55-461B-B94B-373CC8E5CEDA}" destId="{073B54C9-9C3A-4BA1-BC67-83A0EE091F34}" srcOrd="1" destOrd="0" presId="urn:microsoft.com/office/officeart/2008/layout/NameandTitleOrganizationalChart"/>
    <dgm:cxn modelId="{5B5EFA28-A8DD-4421-8243-971165F53060}" type="presParOf" srcId="{8855FC78-1C55-461B-B94B-373CC8E5CEDA}" destId="{FB8D46D6-FE3C-4B70-8498-51284EE4932D}" srcOrd="2" destOrd="0" presId="urn:microsoft.com/office/officeart/2008/layout/NameandTitleOrganizationalChart"/>
    <dgm:cxn modelId="{BEB29C48-BEF7-4327-9AF9-E9F9A276A5E7}" type="presParOf" srcId="{66C2BEE5-B44C-4579-9A83-ECA65B99F200}" destId="{F149A318-46D3-4D0C-9BD1-683DB7FE6773}" srcOrd="2" destOrd="0" presId="urn:microsoft.com/office/officeart/2008/layout/NameandTitleOrganizationalChart"/>
    <dgm:cxn modelId="{02FB6127-6CAC-4941-9426-C636844F9E66}" type="presParOf" srcId="{77CE498D-3030-4978-A503-0D3DEEC464F4}" destId="{57410AA3-6CB7-4CB7-8BFC-BA8013BDDBB4}" srcOrd="2" destOrd="0" presId="urn:microsoft.com/office/officeart/2008/layout/NameandTitleOrganizationalChart"/>
  </dgm:cxnLst>
  <dgm:bg>
    <a:effect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02B9E82-D67E-4DFF-82FA-B95CE4674BAD}">
      <dsp:nvSpPr>
        <dsp:cNvPr id="0" name=""/>
        <dsp:cNvSpPr/>
      </dsp:nvSpPr>
      <dsp:spPr>
        <a:xfrm>
          <a:off x="5251784" y="1284802"/>
          <a:ext cx="758485" cy="358983"/>
        </a:xfrm>
        <a:custGeom>
          <a:avLst/>
          <a:gdLst/>
          <a:ahLst/>
          <a:cxnLst/>
          <a:rect l="0" t="0" r="0" b="0"/>
          <a:pathLst>
            <a:path>
              <a:moveTo>
                <a:pt x="0" y="0"/>
              </a:moveTo>
              <a:lnTo>
                <a:pt x="0" y="303655"/>
              </a:lnTo>
              <a:lnTo>
                <a:pt x="758485" y="303655"/>
              </a:lnTo>
              <a:lnTo>
                <a:pt x="758485" y="358983"/>
              </a:lnTo>
            </a:path>
          </a:pathLst>
        </a:custGeom>
        <a:noFill/>
        <a:ln w="19050" cap="flat" cmpd="sng" algn="ctr">
          <a:solidFill>
            <a:schemeClr val="accent5">
              <a:lumMod val="75000"/>
            </a:schemeClr>
          </a:solidFill>
          <a:prstDash val="solid"/>
        </a:ln>
        <a:effectLst/>
      </dsp:spPr>
      <dsp:style>
        <a:lnRef idx="2">
          <a:scrgbClr r="0" g="0" b="0"/>
        </a:lnRef>
        <a:fillRef idx="0">
          <a:scrgbClr r="0" g="0" b="0"/>
        </a:fillRef>
        <a:effectRef idx="0">
          <a:scrgbClr r="0" g="0" b="0"/>
        </a:effectRef>
        <a:fontRef idx="minor"/>
      </dsp:style>
    </dsp:sp>
    <dsp:sp modelId="{57EFAB51-F043-4A26-9A0B-1A423A16F1BC}">
      <dsp:nvSpPr>
        <dsp:cNvPr id="0" name=""/>
        <dsp:cNvSpPr/>
      </dsp:nvSpPr>
      <dsp:spPr>
        <a:xfrm>
          <a:off x="4875928" y="1284802"/>
          <a:ext cx="375856" cy="360956"/>
        </a:xfrm>
        <a:custGeom>
          <a:avLst/>
          <a:gdLst/>
          <a:ahLst/>
          <a:cxnLst/>
          <a:rect l="0" t="0" r="0" b="0"/>
          <a:pathLst>
            <a:path>
              <a:moveTo>
                <a:pt x="375856" y="0"/>
              </a:moveTo>
              <a:lnTo>
                <a:pt x="375856" y="305628"/>
              </a:lnTo>
              <a:lnTo>
                <a:pt x="0" y="305628"/>
              </a:lnTo>
              <a:lnTo>
                <a:pt x="0" y="360956"/>
              </a:lnTo>
            </a:path>
          </a:pathLst>
        </a:custGeom>
        <a:noFill/>
        <a:ln w="19050" cap="flat" cmpd="sng" algn="ctr">
          <a:solidFill>
            <a:schemeClr val="accent5">
              <a:lumMod val="75000"/>
            </a:schemeClr>
          </a:solidFill>
          <a:prstDash val="solid"/>
        </a:ln>
        <a:effectLst/>
      </dsp:spPr>
      <dsp:style>
        <a:lnRef idx="2">
          <a:scrgbClr r="0" g="0" b="0"/>
        </a:lnRef>
        <a:fillRef idx="0">
          <a:scrgbClr r="0" g="0" b="0"/>
        </a:fillRef>
        <a:effectRef idx="0">
          <a:scrgbClr r="0" g="0" b="0"/>
        </a:effectRef>
        <a:fontRef idx="minor"/>
      </dsp:style>
    </dsp:sp>
    <dsp:sp modelId="{8990FFF3-8B49-4C1A-8087-91D1234DDC0F}">
      <dsp:nvSpPr>
        <dsp:cNvPr id="0" name=""/>
        <dsp:cNvSpPr/>
      </dsp:nvSpPr>
      <dsp:spPr>
        <a:xfrm>
          <a:off x="3870947" y="2868850"/>
          <a:ext cx="930159" cy="528897"/>
        </a:xfrm>
        <a:custGeom>
          <a:avLst/>
          <a:gdLst/>
          <a:ahLst/>
          <a:cxnLst/>
          <a:rect l="0" t="0" r="0" b="0"/>
          <a:pathLst>
            <a:path>
              <a:moveTo>
                <a:pt x="0" y="0"/>
              </a:moveTo>
              <a:lnTo>
                <a:pt x="0" y="473569"/>
              </a:lnTo>
              <a:lnTo>
                <a:pt x="930159" y="473569"/>
              </a:lnTo>
              <a:lnTo>
                <a:pt x="930159" y="528897"/>
              </a:lnTo>
            </a:path>
          </a:pathLst>
        </a:custGeom>
        <a:noFill/>
        <a:ln w="19050" cap="flat" cmpd="sng" algn="ctr">
          <a:solidFill>
            <a:schemeClr val="accent5">
              <a:lumMod val="75000"/>
            </a:schemeClr>
          </a:solidFill>
          <a:prstDash val="solid"/>
        </a:ln>
        <a:effectLst/>
      </dsp:spPr>
      <dsp:style>
        <a:lnRef idx="2">
          <a:scrgbClr r="0" g="0" b="0"/>
        </a:lnRef>
        <a:fillRef idx="0">
          <a:scrgbClr r="0" g="0" b="0"/>
        </a:fillRef>
        <a:effectRef idx="0">
          <a:scrgbClr r="0" g="0" b="0"/>
        </a:effectRef>
        <a:fontRef idx="minor"/>
      </dsp:style>
    </dsp:sp>
    <dsp:sp modelId="{317F4080-9F30-4A84-850F-B80BD77F2E5A}">
      <dsp:nvSpPr>
        <dsp:cNvPr id="0" name=""/>
        <dsp:cNvSpPr/>
      </dsp:nvSpPr>
      <dsp:spPr>
        <a:xfrm>
          <a:off x="3415832" y="2868850"/>
          <a:ext cx="455114" cy="505412"/>
        </a:xfrm>
        <a:custGeom>
          <a:avLst/>
          <a:gdLst/>
          <a:ahLst/>
          <a:cxnLst/>
          <a:rect l="0" t="0" r="0" b="0"/>
          <a:pathLst>
            <a:path>
              <a:moveTo>
                <a:pt x="455114" y="0"/>
              </a:moveTo>
              <a:lnTo>
                <a:pt x="455114" y="450083"/>
              </a:lnTo>
              <a:lnTo>
                <a:pt x="0" y="450083"/>
              </a:lnTo>
              <a:lnTo>
                <a:pt x="0" y="505412"/>
              </a:lnTo>
            </a:path>
          </a:pathLst>
        </a:custGeom>
        <a:noFill/>
        <a:ln w="19050" cap="flat" cmpd="sng" algn="ctr">
          <a:solidFill>
            <a:schemeClr val="accent5">
              <a:lumMod val="75000"/>
            </a:schemeClr>
          </a:solidFill>
          <a:prstDash val="solid"/>
        </a:ln>
        <a:effectLst/>
      </dsp:spPr>
      <dsp:style>
        <a:lnRef idx="2">
          <a:scrgbClr r="0" g="0" b="0"/>
        </a:lnRef>
        <a:fillRef idx="0">
          <a:scrgbClr r="0" g="0" b="0"/>
        </a:fillRef>
        <a:effectRef idx="0">
          <a:scrgbClr r="0" g="0" b="0"/>
        </a:effectRef>
        <a:fontRef idx="minor"/>
      </dsp:style>
    </dsp:sp>
    <dsp:sp modelId="{EE8DD9FB-5A77-48B4-A391-9D97E1101C92}">
      <dsp:nvSpPr>
        <dsp:cNvPr id="0" name=""/>
        <dsp:cNvSpPr/>
      </dsp:nvSpPr>
      <dsp:spPr>
        <a:xfrm>
          <a:off x="2107513" y="2868850"/>
          <a:ext cx="1763434" cy="485395"/>
        </a:xfrm>
        <a:custGeom>
          <a:avLst/>
          <a:gdLst/>
          <a:ahLst/>
          <a:cxnLst/>
          <a:rect l="0" t="0" r="0" b="0"/>
          <a:pathLst>
            <a:path>
              <a:moveTo>
                <a:pt x="1763434" y="0"/>
              </a:moveTo>
              <a:lnTo>
                <a:pt x="1763434" y="430067"/>
              </a:lnTo>
              <a:lnTo>
                <a:pt x="0" y="430067"/>
              </a:lnTo>
              <a:lnTo>
                <a:pt x="0" y="485395"/>
              </a:lnTo>
            </a:path>
          </a:pathLst>
        </a:custGeom>
        <a:noFill/>
        <a:ln w="19050" cap="flat" cmpd="sng" algn="ctr">
          <a:solidFill>
            <a:schemeClr val="accent5">
              <a:lumMod val="75000"/>
            </a:schemeClr>
          </a:solidFill>
          <a:prstDash val="solid"/>
        </a:ln>
        <a:effectLst/>
      </dsp:spPr>
      <dsp:style>
        <a:lnRef idx="2">
          <a:scrgbClr r="0" g="0" b="0"/>
        </a:lnRef>
        <a:fillRef idx="0">
          <a:scrgbClr r="0" g="0" b="0"/>
        </a:fillRef>
        <a:effectRef idx="0">
          <a:scrgbClr r="0" g="0" b="0"/>
        </a:effectRef>
        <a:fontRef idx="minor"/>
      </dsp:style>
    </dsp:sp>
    <dsp:sp modelId="{713D7767-BB4F-4068-B258-19451A79D7F5}">
      <dsp:nvSpPr>
        <dsp:cNvPr id="0" name=""/>
        <dsp:cNvSpPr/>
      </dsp:nvSpPr>
      <dsp:spPr>
        <a:xfrm>
          <a:off x="3420720" y="1946930"/>
          <a:ext cx="450226" cy="407289"/>
        </a:xfrm>
        <a:custGeom>
          <a:avLst/>
          <a:gdLst/>
          <a:ahLst/>
          <a:cxnLst/>
          <a:rect l="0" t="0" r="0" b="0"/>
          <a:pathLst>
            <a:path>
              <a:moveTo>
                <a:pt x="0" y="0"/>
              </a:moveTo>
              <a:lnTo>
                <a:pt x="0" y="351960"/>
              </a:lnTo>
              <a:lnTo>
                <a:pt x="450226" y="351960"/>
              </a:lnTo>
              <a:lnTo>
                <a:pt x="450226" y="407289"/>
              </a:lnTo>
            </a:path>
          </a:pathLst>
        </a:custGeom>
        <a:noFill/>
        <a:ln w="19050" cap="flat" cmpd="sng" algn="ctr">
          <a:solidFill>
            <a:schemeClr val="accent5">
              <a:lumMod val="75000"/>
            </a:schemeClr>
          </a:solidFill>
          <a:prstDash val="solid"/>
        </a:ln>
        <a:effectLst/>
      </dsp:spPr>
      <dsp:style>
        <a:lnRef idx="2">
          <a:scrgbClr r="0" g="0" b="0"/>
        </a:lnRef>
        <a:fillRef idx="0">
          <a:scrgbClr r="0" g="0" b="0"/>
        </a:fillRef>
        <a:effectRef idx="0">
          <a:scrgbClr r="0" g="0" b="0"/>
        </a:effectRef>
        <a:fontRef idx="minor"/>
      </dsp:style>
    </dsp:sp>
    <dsp:sp modelId="{5DBEF247-3F81-4A03-9E3D-5505A66DDBAD}">
      <dsp:nvSpPr>
        <dsp:cNvPr id="0" name=""/>
        <dsp:cNvSpPr/>
      </dsp:nvSpPr>
      <dsp:spPr>
        <a:xfrm>
          <a:off x="3420720" y="1946930"/>
          <a:ext cx="2248427" cy="407289"/>
        </a:xfrm>
        <a:custGeom>
          <a:avLst/>
          <a:gdLst/>
          <a:ahLst/>
          <a:cxnLst/>
          <a:rect l="0" t="0" r="0" b="0"/>
          <a:pathLst>
            <a:path>
              <a:moveTo>
                <a:pt x="0" y="0"/>
              </a:moveTo>
              <a:lnTo>
                <a:pt x="0" y="351960"/>
              </a:lnTo>
              <a:lnTo>
                <a:pt x="2248427" y="351960"/>
              </a:lnTo>
              <a:lnTo>
                <a:pt x="2248427" y="407289"/>
              </a:lnTo>
            </a:path>
          </a:pathLst>
        </a:custGeom>
        <a:noFill/>
        <a:ln w="19050" cap="flat" cmpd="sng" algn="ctr">
          <a:solidFill>
            <a:schemeClr val="accent5">
              <a:lumMod val="75000"/>
            </a:schemeClr>
          </a:solidFill>
          <a:prstDash val="solid"/>
        </a:ln>
        <a:effectLst/>
      </dsp:spPr>
      <dsp:style>
        <a:lnRef idx="2">
          <a:scrgbClr r="0" g="0" b="0"/>
        </a:lnRef>
        <a:fillRef idx="0">
          <a:scrgbClr r="0" g="0" b="0"/>
        </a:fillRef>
        <a:effectRef idx="0">
          <a:scrgbClr r="0" g="0" b="0"/>
        </a:effectRef>
        <a:fontRef idx="minor"/>
      </dsp:style>
    </dsp:sp>
    <dsp:sp modelId="{626401A0-94DD-4426-98CE-B5389C731E95}">
      <dsp:nvSpPr>
        <dsp:cNvPr id="0" name=""/>
        <dsp:cNvSpPr/>
      </dsp:nvSpPr>
      <dsp:spPr>
        <a:xfrm>
          <a:off x="3420720" y="1284802"/>
          <a:ext cx="1831064" cy="358983"/>
        </a:xfrm>
        <a:custGeom>
          <a:avLst/>
          <a:gdLst/>
          <a:ahLst/>
          <a:cxnLst/>
          <a:rect l="0" t="0" r="0" b="0"/>
          <a:pathLst>
            <a:path>
              <a:moveTo>
                <a:pt x="1831064" y="0"/>
              </a:moveTo>
              <a:lnTo>
                <a:pt x="1831064" y="303655"/>
              </a:lnTo>
              <a:lnTo>
                <a:pt x="0" y="303655"/>
              </a:lnTo>
              <a:lnTo>
                <a:pt x="0" y="358983"/>
              </a:lnTo>
            </a:path>
          </a:pathLst>
        </a:custGeom>
        <a:noFill/>
        <a:ln w="19050" cap="flat" cmpd="sng" algn="ctr">
          <a:solidFill>
            <a:schemeClr val="accent5">
              <a:lumMod val="75000"/>
            </a:schemeClr>
          </a:solidFill>
          <a:prstDash val="solid"/>
        </a:ln>
        <a:effectLst/>
      </dsp:spPr>
      <dsp:style>
        <a:lnRef idx="2">
          <a:scrgbClr r="0" g="0" b="0"/>
        </a:lnRef>
        <a:fillRef idx="0">
          <a:scrgbClr r="0" g="0" b="0"/>
        </a:fillRef>
        <a:effectRef idx="0">
          <a:scrgbClr r="0" g="0" b="0"/>
        </a:effectRef>
        <a:fontRef idx="minor"/>
      </dsp:style>
    </dsp:sp>
    <dsp:sp modelId="{2A946F58-FE17-4B02-A6F6-B8C38AF6CD94}">
      <dsp:nvSpPr>
        <dsp:cNvPr id="0" name=""/>
        <dsp:cNvSpPr/>
      </dsp:nvSpPr>
      <dsp:spPr>
        <a:xfrm>
          <a:off x="3094305" y="583093"/>
          <a:ext cx="2157479" cy="359074"/>
        </a:xfrm>
        <a:custGeom>
          <a:avLst/>
          <a:gdLst/>
          <a:ahLst/>
          <a:cxnLst/>
          <a:rect l="0" t="0" r="0" b="0"/>
          <a:pathLst>
            <a:path>
              <a:moveTo>
                <a:pt x="0" y="0"/>
              </a:moveTo>
              <a:lnTo>
                <a:pt x="0" y="303746"/>
              </a:lnTo>
              <a:lnTo>
                <a:pt x="2157479" y="303746"/>
              </a:lnTo>
              <a:lnTo>
                <a:pt x="2157479" y="359074"/>
              </a:lnTo>
            </a:path>
          </a:pathLst>
        </a:custGeom>
        <a:noFill/>
        <a:ln w="19050" cap="flat" cmpd="sng" algn="ctr">
          <a:solidFill>
            <a:schemeClr val="accent5">
              <a:lumMod val="75000"/>
            </a:schemeClr>
          </a:solidFill>
          <a:prstDash val="solid"/>
        </a:ln>
        <a:effectLst/>
      </dsp:spPr>
      <dsp:style>
        <a:lnRef idx="2">
          <a:scrgbClr r="0" g="0" b="0"/>
        </a:lnRef>
        <a:fillRef idx="0">
          <a:scrgbClr r="0" g="0" b="0"/>
        </a:fillRef>
        <a:effectRef idx="0">
          <a:scrgbClr r="0" g="0" b="0"/>
        </a:effectRef>
        <a:fontRef idx="minor"/>
      </dsp:style>
    </dsp:sp>
    <dsp:sp modelId="{1FB5F152-9F55-4B75-9A0E-E39B8C46A1D8}">
      <dsp:nvSpPr>
        <dsp:cNvPr id="0" name=""/>
        <dsp:cNvSpPr/>
      </dsp:nvSpPr>
      <dsp:spPr>
        <a:xfrm>
          <a:off x="2114281" y="1286201"/>
          <a:ext cx="647208" cy="361685"/>
        </a:xfrm>
        <a:custGeom>
          <a:avLst/>
          <a:gdLst/>
          <a:ahLst/>
          <a:cxnLst/>
          <a:rect l="0" t="0" r="0" b="0"/>
          <a:pathLst>
            <a:path>
              <a:moveTo>
                <a:pt x="647208" y="0"/>
              </a:moveTo>
              <a:lnTo>
                <a:pt x="647208" y="306357"/>
              </a:lnTo>
              <a:lnTo>
                <a:pt x="0" y="306357"/>
              </a:lnTo>
              <a:lnTo>
                <a:pt x="0" y="361685"/>
              </a:lnTo>
            </a:path>
          </a:pathLst>
        </a:custGeom>
        <a:noFill/>
        <a:ln w="19050" cap="flat" cmpd="sng" algn="ctr">
          <a:solidFill>
            <a:schemeClr val="accent5">
              <a:lumMod val="75000"/>
            </a:schemeClr>
          </a:solidFill>
          <a:prstDash val="solid"/>
        </a:ln>
        <a:effectLst/>
      </dsp:spPr>
      <dsp:style>
        <a:lnRef idx="2">
          <a:scrgbClr r="0" g="0" b="0"/>
        </a:lnRef>
        <a:fillRef idx="0">
          <a:scrgbClr r="0" g="0" b="0"/>
        </a:fillRef>
        <a:effectRef idx="0">
          <a:scrgbClr r="0" g="0" b="0"/>
        </a:effectRef>
        <a:fontRef idx="minor"/>
      </dsp:style>
    </dsp:sp>
    <dsp:sp modelId="{C6AF9F2A-630A-42F2-902B-A2C979F15603}">
      <dsp:nvSpPr>
        <dsp:cNvPr id="0" name=""/>
        <dsp:cNvSpPr/>
      </dsp:nvSpPr>
      <dsp:spPr>
        <a:xfrm>
          <a:off x="465905" y="1951583"/>
          <a:ext cx="1078420" cy="486310"/>
        </a:xfrm>
        <a:custGeom>
          <a:avLst/>
          <a:gdLst/>
          <a:ahLst/>
          <a:cxnLst/>
          <a:rect l="0" t="0" r="0" b="0"/>
          <a:pathLst>
            <a:path>
              <a:moveTo>
                <a:pt x="0" y="0"/>
              </a:moveTo>
              <a:lnTo>
                <a:pt x="0" y="430982"/>
              </a:lnTo>
              <a:lnTo>
                <a:pt x="1078420" y="430982"/>
              </a:lnTo>
              <a:lnTo>
                <a:pt x="1078420" y="486310"/>
              </a:lnTo>
            </a:path>
          </a:pathLst>
        </a:custGeom>
        <a:noFill/>
        <a:ln w="19050" cap="flat" cmpd="sng" algn="ctr">
          <a:solidFill>
            <a:schemeClr val="accent5">
              <a:lumMod val="75000"/>
            </a:schemeClr>
          </a:solidFill>
          <a:prstDash val="solid"/>
        </a:ln>
        <a:effectLst/>
      </dsp:spPr>
      <dsp:style>
        <a:lnRef idx="2">
          <a:scrgbClr r="0" g="0" b="0"/>
        </a:lnRef>
        <a:fillRef idx="0">
          <a:scrgbClr r="0" g="0" b="0"/>
        </a:fillRef>
        <a:effectRef idx="0">
          <a:scrgbClr r="0" g="0" b="0"/>
        </a:effectRef>
        <a:fontRef idx="minor"/>
      </dsp:style>
    </dsp:sp>
    <dsp:sp modelId="{97B8904F-79AC-46FA-A349-F98D7E472929}">
      <dsp:nvSpPr>
        <dsp:cNvPr id="0" name=""/>
        <dsp:cNvSpPr/>
      </dsp:nvSpPr>
      <dsp:spPr>
        <a:xfrm>
          <a:off x="392734" y="1951583"/>
          <a:ext cx="91440" cy="486310"/>
        </a:xfrm>
        <a:custGeom>
          <a:avLst/>
          <a:gdLst/>
          <a:ahLst/>
          <a:cxnLst/>
          <a:rect l="0" t="0" r="0" b="0"/>
          <a:pathLst>
            <a:path>
              <a:moveTo>
                <a:pt x="73171" y="0"/>
              </a:moveTo>
              <a:lnTo>
                <a:pt x="73171" y="430982"/>
              </a:lnTo>
              <a:lnTo>
                <a:pt x="45720" y="430982"/>
              </a:lnTo>
              <a:lnTo>
                <a:pt x="45720" y="486310"/>
              </a:lnTo>
            </a:path>
          </a:pathLst>
        </a:custGeom>
        <a:noFill/>
        <a:ln w="19050" cap="flat" cmpd="sng" algn="ctr">
          <a:solidFill>
            <a:schemeClr val="accent5">
              <a:lumMod val="75000"/>
            </a:schemeClr>
          </a:solidFill>
          <a:prstDash val="solid"/>
        </a:ln>
        <a:effectLst/>
      </dsp:spPr>
      <dsp:style>
        <a:lnRef idx="2">
          <a:scrgbClr r="0" g="0" b="0"/>
        </a:lnRef>
        <a:fillRef idx="0">
          <a:scrgbClr r="0" g="0" b="0"/>
        </a:fillRef>
        <a:effectRef idx="0">
          <a:scrgbClr r="0" g="0" b="0"/>
        </a:effectRef>
        <a:fontRef idx="minor"/>
      </dsp:style>
    </dsp:sp>
    <dsp:sp modelId="{CF370203-4E07-44D4-82E5-A2E2DDF7CF17}">
      <dsp:nvSpPr>
        <dsp:cNvPr id="0" name=""/>
        <dsp:cNvSpPr/>
      </dsp:nvSpPr>
      <dsp:spPr>
        <a:xfrm>
          <a:off x="465905" y="1286201"/>
          <a:ext cx="2295584" cy="362238"/>
        </a:xfrm>
        <a:custGeom>
          <a:avLst/>
          <a:gdLst/>
          <a:ahLst/>
          <a:cxnLst/>
          <a:rect l="0" t="0" r="0" b="0"/>
          <a:pathLst>
            <a:path>
              <a:moveTo>
                <a:pt x="2295584" y="0"/>
              </a:moveTo>
              <a:lnTo>
                <a:pt x="2295584" y="306909"/>
              </a:lnTo>
              <a:lnTo>
                <a:pt x="0" y="306909"/>
              </a:lnTo>
              <a:lnTo>
                <a:pt x="0" y="362238"/>
              </a:lnTo>
            </a:path>
          </a:pathLst>
        </a:custGeom>
        <a:noFill/>
        <a:ln w="19050" cap="flat" cmpd="sng" algn="ctr">
          <a:solidFill>
            <a:schemeClr val="accent5">
              <a:lumMod val="75000"/>
            </a:schemeClr>
          </a:solidFill>
          <a:prstDash val="solid"/>
        </a:ln>
        <a:effectLst/>
      </dsp:spPr>
      <dsp:style>
        <a:lnRef idx="2">
          <a:scrgbClr r="0" g="0" b="0"/>
        </a:lnRef>
        <a:fillRef idx="0">
          <a:scrgbClr r="0" g="0" b="0"/>
        </a:fillRef>
        <a:effectRef idx="0">
          <a:scrgbClr r="0" g="0" b="0"/>
        </a:effectRef>
        <a:fontRef idx="minor"/>
      </dsp:style>
    </dsp:sp>
    <dsp:sp modelId="{035FA779-EF0E-4908-A9E1-D0A078536B3A}">
      <dsp:nvSpPr>
        <dsp:cNvPr id="0" name=""/>
        <dsp:cNvSpPr/>
      </dsp:nvSpPr>
      <dsp:spPr>
        <a:xfrm>
          <a:off x="2761490" y="583093"/>
          <a:ext cx="332815" cy="360473"/>
        </a:xfrm>
        <a:custGeom>
          <a:avLst/>
          <a:gdLst/>
          <a:ahLst/>
          <a:cxnLst/>
          <a:rect l="0" t="0" r="0" b="0"/>
          <a:pathLst>
            <a:path>
              <a:moveTo>
                <a:pt x="332815" y="0"/>
              </a:moveTo>
              <a:lnTo>
                <a:pt x="332815" y="305145"/>
              </a:lnTo>
              <a:lnTo>
                <a:pt x="0" y="305145"/>
              </a:lnTo>
              <a:lnTo>
                <a:pt x="0" y="360473"/>
              </a:lnTo>
            </a:path>
          </a:pathLst>
        </a:custGeom>
        <a:noFill/>
        <a:ln w="19050" cap="flat" cmpd="sng" algn="ctr">
          <a:solidFill>
            <a:schemeClr val="accent5">
              <a:lumMod val="75000"/>
            </a:schemeClr>
          </a:solidFill>
          <a:prstDash val="solid"/>
        </a:ln>
        <a:effectLst/>
      </dsp:spPr>
      <dsp:style>
        <a:lnRef idx="2">
          <a:scrgbClr r="0" g="0" b="0"/>
        </a:lnRef>
        <a:fillRef idx="0">
          <a:scrgbClr r="0" g="0" b="0"/>
        </a:fillRef>
        <a:effectRef idx="0">
          <a:scrgbClr r="0" g="0" b="0"/>
        </a:effectRef>
        <a:fontRef idx="minor"/>
      </dsp:style>
    </dsp:sp>
    <dsp:sp modelId="{AD7A16DD-4A41-486F-9A8B-34E81AB220E9}">
      <dsp:nvSpPr>
        <dsp:cNvPr id="0" name=""/>
        <dsp:cNvSpPr/>
      </dsp:nvSpPr>
      <dsp:spPr>
        <a:xfrm>
          <a:off x="639119" y="583093"/>
          <a:ext cx="2455185" cy="360473"/>
        </a:xfrm>
        <a:custGeom>
          <a:avLst/>
          <a:gdLst/>
          <a:ahLst/>
          <a:cxnLst/>
          <a:rect l="0" t="0" r="0" b="0"/>
          <a:pathLst>
            <a:path>
              <a:moveTo>
                <a:pt x="2455185" y="0"/>
              </a:moveTo>
              <a:lnTo>
                <a:pt x="2455185" y="305145"/>
              </a:lnTo>
              <a:lnTo>
                <a:pt x="0" y="305145"/>
              </a:lnTo>
              <a:lnTo>
                <a:pt x="0" y="360473"/>
              </a:lnTo>
            </a:path>
          </a:pathLst>
        </a:custGeom>
        <a:noFill/>
        <a:ln w="19050" cap="flat" cmpd="sng" algn="ctr">
          <a:solidFill>
            <a:schemeClr val="accent5">
              <a:lumMod val="75000"/>
            </a:schemeClr>
          </a:solidFill>
          <a:prstDash val="solid"/>
        </a:ln>
        <a:effectLst/>
      </dsp:spPr>
      <dsp:style>
        <a:lnRef idx="2">
          <a:scrgbClr r="0" g="0" b="0"/>
        </a:lnRef>
        <a:fillRef idx="0">
          <a:scrgbClr r="0" g="0" b="0"/>
        </a:fillRef>
        <a:effectRef idx="0">
          <a:scrgbClr r="0" g="0" b="0"/>
        </a:effectRef>
        <a:fontRef idx="minor"/>
      </dsp:style>
    </dsp:sp>
    <dsp:sp modelId="{B38AB20D-6DF3-40FD-A275-D416F8C5A849}">
      <dsp:nvSpPr>
        <dsp:cNvPr id="0" name=""/>
        <dsp:cNvSpPr/>
      </dsp:nvSpPr>
      <dsp:spPr>
        <a:xfrm>
          <a:off x="2655439" y="361539"/>
          <a:ext cx="877733" cy="221554"/>
        </a:xfrm>
        <a:prstGeom prst="roundRect">
          <a:avLst/>
        </a:prstGeom>
        <a:solidFill>
          <a:srgbClr val="4993B1"/>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33461"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Text" lastClr="000000"/>
              </a:solidFill>
              <a:latin typeface="Arial" panose="020B0604020202020204" pitchFamily="34" charset="0"/>
              <a:cs typeface="Arial" panose="020B0604020202020204" pitchFamily="34" charset="0"/>
            </a:rPr>
            <a:t>181 facilities</a:t>
          </a:r>
        </a:p>
      </dsp:txBody>
      <dsp:txXfrm>
        <a:off x="2666254" y="372354"/>
        <a:ext cx="856103" cy="199924"/>
      </dsp:txXfrm>
    </dsp:sp>
    <dsp:sp modelId="{FA83C94C-D681-4480-8FDD-74D8C4842C66}">
      <dsp:nvSpPr>
        <dsp:cNvPr id="0" name=""/>
        <dsp:cNvSpPr/>
      </dsp:nvSpPr>
      <dsp:spPr>
        <a:xfrm>
          <a:off x="3065522" y="528553"/>
          <a:ext cx="871333" cy="228712"/>
        </a:xfrm>
        <a:prstGeom prst="roundRect">
          <a:avLst/>
        </a:prstGeom>
        <a:solidFill>
          <a:schemeClr val="bg1">
            <a:alpha val="90000"/>
          </a:schemeClr>
        </a:solidFill>
        <a:ln w="25400" cap="flat" cmpd="sng" algn="ctr">
          <a:noFill/>
          <a:prstDash val="solid"/>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r" defTabSz="400050">
            <a:lnSpc>
              <a:spcPct val="90000"/>
            </a:lnSpc>
            <a:spcBef>
              <a:spcPct val="0"/>
            </a:spcBef>
            <a:spcAft>
              <a:spcPct val="35000"/>
            </a:spcAft>
            <a:buNone/>
          </a:pPr>
          <a:r>
            <a:rPr lang="en-AU" sz="900" kern="1200">
              <a:solidFill>
                <a:sysClr val="windowText" lastClr="000000"/>
              </a:solidFill>
              <a:latin typeface="Arial" panose="020B0604020202020204" pitchFamily="34" charset="0"/>
              <a:cs typeface="Arial" panose="020B0604020202020204" pitchFamily="34" charset="0"/>
            </a:rPr>
            <a:t>10,927 episodes</a:t>
          </a:r>
        </a:p>
      </dsp:txBody>
      <dsp:txXfrm>
        <a:off x="3076687" y="539718"/>
        <a:ext cx="849003" cy="206382"/>
      </dsp:txXfrm>
    </dsp:sp>
    <dsp:sp modelId="{D2029439-DD52-4E7A-919C-A362CF332DE0}">
      <dsp:nvSpPr>
        <dsp:cNvPr id="0" name=""/>
        <dsp:cNvSpPr/>
      </dsp:nvSpPr>
      <dsp:spPr>
        <a:xfrm>
          <a:off x="104404" y="943567"/>
          <a:ext cx="1069430" cy="342634"/>
        </a:xfrm>
        <a:prstGeom prst="roundRect">
          <a:avLst/>
        </a:prstGeom>
        <a:solidFill>
          <a:srgbClr val="BCBEC0"/>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33461"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Text" lastClr="000000"/>
              </a:solidFill>
              <a:latin typeface="Arial" panose="020B0604020202020204" pitchFamily="34" charset="0"/>
              <a:cs typeface="Arial" panose="020B0604020202020204" pitchFamily="34" charset="0"/>
            </a:rPr>
            <a:t>Existing antimicrobials</a:t>
          </a:r>
        </a:p>
      </dsp:txBody>
      <dsp:txXfrm>
        <a:off x="121130" y="960293"/>
        <a:ext cx="1035978" cy="309182"/>
      </dsp:txXfrm>
    </dsp:sp>
    <dsp:sp modelId="{AB40C3E4-AA95-47D6-8F9E-66219CA63A13}">
      <dsp:nvSpPr>
        <dsp:cNvPr id="0" name=""/>
        <dsp:cNvSpPr/>
      </dsp:nvSpPr>
      <dsp:spPr>
        <a:xfrm>
          <a:off x="400660" y="1212708"/>
          <a:ext cx="1083058" cy="240443"/>
        </a:xfrm>
        <a:prstGeom prst="roundRect">
          <a:avLst/>
        </a:prstGeom>
        <a:solidFill>
          <a:schemeClr val="bg1">
            <a:alpha val="90000"/>
          </a:schemeClr>
        </a:solidFill>
        <a:ln w="25400" cap="flat" cmpd="sng" algn="ctr">
          <a:noFill/>
          <a:prstDash val="solid"/>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r" defTabSz="400050">
            <a:lnSpc>
              <a:spcPct val="90000"/>
            </a:lnSpc>
            <a:spcBef>
              <a:spcPct val="0"/>
            </a:spcBef>
            <a:spcAft>
              <a:spcPct val="35000"/>
            </a:spcAft>
            <a:buNone/>
          </a:pPr>
          <a:r>
            <a:rPr lang="en-AU" sz="900" kern="1200">
              <a:solidFill>
                <a:sysClr val="windowText" lastClr="000000"/>
              </a:solidFill>
              <a:latin typeface="Arial" panose="020B0604020202020204" pitchFamily="34" charset="0"/>
              <a:cs typeface="Arial" panose="020B0604020202020204" pitchFamily="34" charset="0"/>
            </a:rPr>
            <a:t>994 antimicrobials </a:t>
          </a:r>
          <a:br>
            <a:rPr lang="en-AU" sz="900" kern="1200">
              <a:solidFill>
                <a:sysClr val="windowText" lastClr="000000"/>
              </a:solidFill>
              <a:latin typeface="Arial" panose="020B0604020202020204" pitchFamily="34" charset="0"/>
              <a:cs typeface="Arial" panose="020B0604020202020204" pitchFamily="34" charset="0"/>
            </a:rPr>
          </a:br>
          <a:r>
            <a:rPr lang="en-AU" sz="900" kern="1200">
              <a:solidFill>
                <a:sysClr val="windowText" lastClr="000000"/>
              </a:solidFill>
              <a:latin typeface="Arial" panose="020B0604020202020204" pitchFamily="34" charset="0"/>
              <a:cs typeface="Arial" panose="020B0604020202020204" pitchFamily="34" charset="0"/>
            </a:rPr>
            <a:t>No further analysis</a:t>
          </a:r>
        </a:p>
      </dsp:txBody>
      <dsp:txXfrm>
        <a:off x="412397" y="1224445"/>
        <a:ext cx="1059584" cy="216969"/>
      </dsp:txXfrm>
    </dsp:sp>
    <dsp:sp modelId="{FE379DFF-FD03-4CE8-AD8B-3610A0E4FB86}">
      <dsp:nvSpPr>
        <dsp:cNvPr id="0" name=""/>
        <dsp:cNvSpPr/>
      </dsp:nvSpPr>
      <dsp:spPr>
        <a:xfrm>
          <a:off x="2123401" y="943567"/>
          <a:ext cx="1276176" cy="342634"/>
        </a:xfrm>
        <a:prstGeom prst="roundRect">
          <a:avLst/>
        </a:prstGeom>
        <a:solidFill>
          <a:srgbClr val="557081"/>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33461" numCol="1" spcCol="1270" anchor="ctr" anchorCtr="0">
          <a:noAutofit/>
        </a:bodyPr>
        <a:lstStyle/>
        <a:p>
          <a:pPr marL="0" lvl="0" indent="0" algn="ctr" defTabSz="400050">
            <a:lnSpc>
              <a:spcPct val="90000"/>
            </a:lnSpc>
            <a:spcBef>
              <a:spcPct val="0"/>
            </a:spcBef>
            <a:spcAft>
              <a:spcPct val="35000"/>
            </a:spcAft>
            <a:buNone/>
          </a:pPr>
          <a:r>
            <a:rPr lang="en-AU" sz="900" kern="1200">
              <a:latin typeface="Arial" panose="020B0604020202020204" pitchFamily="34" charset="0"/>
              <a:cs typeface="Arial" panose="020B0604020202020204" pitchFamily="34" charset="0"/>
            </a:rPr>
            <a:t>Procedural antimicrobials</a:t>
          </a:r>
        </a:p>
      </dsp:txBody>
      <dsp:txXfrm>
        <a:off x="2140127" y="960293"/>
        <a:ext cx="1242724" cy="309182"/>
      </dsp:txXfrm>
    </dsp:sp>
    <dsp:sp modelId="{9E9784CE-96C1-4DD5-BAAA-839CC6791284}">
      <dsp:nvSpPr>
        <dsp:cNvPr id="0" name=""/>
        <dsp:cNvSpPr/>
      </dsp:nvSpPr>
      <dsp:spPr>
        <a:xfrm>
          <a:off x="5149296" y="1434804"/>
          <a:ext cx="322854" cy="139450"/>
        </a:xfrm>
        <a:prstGeom prst="rect">
          <a:avLst/>
        </a:prstGeom>
        <a:noFill/>
        <a:ln w="25400" cap="flat" cmpd="sng" algn="ctr">
          <a:no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25400" tIns="6350" rIns="25400" bIns="6350" numCol="1" spcCol="1270" anchor="ctr" anchorCtr="0">
          <a:noAutofit/>
        </a:bodyPr>
        <a:lstStyle/>
        <a:p>
          <a:pPr marL="0" lvl="0" indent="0" algn="r" defTabSz="444500">
            <a:lnSpc>
              <a:spcPct val="90000"/>
            </a:lnSpc>
            <a:spcBef>
              <a:spcPct val="0"/>
            </a:spcBef>
            <a:spcAft>
              <a:spcPct val="35000"/>
            </a:spcAft>
            <a:buNone/>
          </a:pPr>
          <a:endParaRPr lang="en-AU" sz="1000" kern="1200">
            <a:latin typeface="Arial" panose="020B0604020202020204" pitchFamily="34" charset="0"/>
            <a:cs typeface="Arial" panose="020B0604020202020204" pitchFamily="34" charset="0"/>
          </a:endParaRPr>
        </a:p>
      </dsp:txBody>
      <dsp:txXfrm>
        <a:off x="5149296" y="1434804"/>
        <a:ext cx="322854" cy="139450"/>
      </dsp:txXfrm>
    </dsp:sp>
    <dsp:sp modelId="{757DB417-CB9B-4BF4-9EC2-F4DEFEFC140A}">
      <dsp:nvSpPr>
        <dsp:cNvPr id="0" name=""/>
        <dsp:cNvSpPr/>
      </dsp:nvSpPr>
      <dsp:spPr>
        <a:xfrm>
          <a:off x="27451" y="1648439"/>
          <a:ext cx="876909" cy="303143"/>
        </a:xfrm>
        <a:prstGeom prst="roundRect">
          <a:avLst/>
        </a:prstGeom>
        <a:solidFill>
          <a:srgbClr val="557081"/>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33461" numCol="1" spcCol="1270" anchor="ctr" anchorCtr="0">
          <a:noAutofit/>
        </a:bodyPr>
        <a:lstStyle/>
        <a:p>
          <a:pPr marL="0" lvl="0" indent="0" algn="ctr" defTabSz="400050">
            <a:lnSpc>
              <a:spcPct val="90000"/>
            </a:lnSpc>
            <a:spcBef>
              <a:spcPct val="0"/>
            </a:spcBef>
            <a:spcAft>
              <a:spcPct val="35000"/>
            </a:spcAft>
            <a:buNone/>
          </a:pPr>
          <a:r>
            <a:rPr lang="en-AU" sz="900" kern="1200">
              <a:latin typeface="Arial" panose="020B0604020202020204" pitchFamily="34" charset="0"/>
              <a:cs typeface="Arial" panose="020B0604020202020204" pitchFamily="34" charset="0"/>
            </a:rPr>
            <a:t>Prescribed</a:t>
          </a:r>
        </a:p>
      </dsp:txBody>
      <dsp:txXfrm>
        <a:off x="42249" y="1663237"/>
        <a:ext cx="847313" cy="273547"/>
      </dsp:txXfrm>
    </dsp:sp>
    <dsp:sp modelId="{961950DC-3446-4676-B84E-D1F56FD2E76B}">
      <dsp:nvSpPr>
        <dsp:cNvPr id="0" name=""/>
        <dsp:cNvSpPr/>
      </dsp:nvSpPr>
      <dsp:spPr>
        <a:xfrm>
          <a:off x="336399" y="1850962"/>
          <a:ext cx="976868" cy="345430"/>
        </a:xfrm>
        <a:prstGeom prst="roundRect">
          <a:avLst/>
        </a:prstGeom>
        <a:solidFill>
          <a:schemeClr val="bg1">
            <a:alpha val="90000"/>
          </a:schemeClr>
        </a:solidFill>
        <a:ln w="25400" cap="flat" cmpd="sng" algn="ctr">
          <a:noFill/>
          <a:prstDash val="solid"/>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r" defTabSz="400050">
            <a:lnSpc>
              <a:spcPct val="90000"/>
            </a:lnSpc>
            <a:spcBef>
              <a:spcPct val="0"/>
            </a:spcBef>
            <a:spcAft>
              <a:spcPct val="35000"/>
            </a:spcAft>
            <a:buNone/>
          </a:pPr>
          <a:r>
            <a:rPr lang="en-AU" sz="900" kern="1200">
              <a:solidFill>
                <a:sysClr val="windowText" lastClr="000000"/>
              </a:solidFill>
              <a:latin typeface="Arial" panose="020B0604020202020204" pitchFamily="34" charset="0"/>
              <a:cs typeface="Arial" panose="020B0604020202020204" pitchFamily="34" charset="0"/>
            </a:rPr>
            <a:t>8,317 episodes</a:t>
          </a:r>
        </a:p>
        <a:p>
          <a:pPr marL="0" lvl="0" indent="0" algn="r" defTabSz="400050">
            <a:lnSpc>
              <a:spcPct val="90000"/>
            </a:lnSpc>
            <a:spcBef>
              <a:spcPct val="0"/>
            </a:spcBef>
            <a:spcAft>
              <a:spcPct val="35000"/>
            </a:spcAft>
            <a:buNone/>
          </a:pPr>
          <a:r>
            <a:rPr lang="en-AU" sz="900" kern="1200">
              <a:solidFill>
                <a:sysClr val="windowText" lastClr="000000"/>
              </a:solidFill>
              <a:latin typeface="Arial" panose="020B0604020202020204" pitchFamily="34" charset="0"/>
              <a:cs typeface="Arial" panose="020B0604020202020204" pitchFamily="34" charset="0"/>
            </a:rPr>
            <a:t>9,599 doses</a:t>
          </a:r>
        </a:p>
      </dsp:txBody>
      <dsp:txXfrm>
        <a:off x="353262" y="1867825"/>
        <a:ext cx="943142" cy="311704"/>
      </dsp:txXfrm>
    </dsp:sp>
    <dsp:sp modelId="{4DF67BF5-19CB-42CF-8D25-EA5079C23FED}">
      <dsp:nvSpPr>
        <dsp:cNvPr id="0" name=""/>
        <dsp:cNvSpPr/>
      </dsp:nvSpPr>
      <dsp:spPr>
        <a:xfrm>
          <a:off x="0" y="2437894"/>
          <a:ext cx="876909" cy="221554"/>
        </a:xfrm>
        <a:prstGeom prst="roundRect">
          <a:avLst/>
        </a:prstGeom>
        <a:solidFill>
          <a:srgbClr val="557081"/>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33461" numCol="1" spcCol="1270" anchor="ctr" anchorCtr="0">
          <a:noAutofit/>
        </a:bodyPr>
        <a:lstStyle/>
        <a:p>
          <a:pPr marL="0" lvl="0" indent="0" algn="ctr" defTabSz="400050">
            <a:lnSpc>
              <a:spcPct val="90000"/>
            </a:lnSpc>
            <a:spcBef>
              <a:spcPct val="0"/>
            </a:spcBef>
            <a:spcAft>
              <a:spcPct val="35000"/>
            </a:spcAft>
            <a:buNone/>
          </a:pPr>
          <a:r>
            <a:rPr lang="en-AU" sz="900" kern="1200">
              <a:latin typeface="Arial" panose="020B0604020202020204" pitchFamily="34" charset="0"/>
              <a:cs typeface="Arial" panose="020B0604020202020204" pitchFamily="34" charset="0"/>
            </a:rPr>
            <a:t>Initial doses</a:t>
          </a:r>
        </a:p>
      </dsp:txBody>
      <dsp:txXfrm>
        <a:off x="10815" y="2448709"/>
        <a:ext cx="855279" cy="199924"/>
      </dsp:txXfrm>
    </dsp:sp>
    <dsp:sp modelId="{0A746A74-F3E1-49D1-B079-A9B4E13E8C45}">
      <dsp:nvSpPr>
        <dsp:cNvPr id="0" name=""/>
        <dsp:cNvSpPr/>
      </dsp:nvSpPr>
      <dsp:spPr>
        <a:xfrm>
          <a:off x="357070" y="2615433"/>
          <a:ext cx="689057" cy="117208"/>
        </a:xfrm>
        <a:prstGeom prst="roundRect">
          <a:avLst/>
        </a:prstGeom>
        <a:solidFill>
          <a:schemeClr val="bg1">
            <a:alpha val="90000"/>
          </a:schemeClr>
        </a:solidFill>
        <a:ln w="25400" cap="flat" cmpd="sng" algn="ctr">
          <a:noFill/>
          <a:prstDash val="solid"/>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r" defTabSz="400050">
            <a:lnSpc>
              <a:spcPct val="90000"/>
            </a:lnSpc>
            <a:spcBef>
              <a:spcPct val="0"/>
            </a:spcBef>
            <a:spcAft>
              <a:spcPct val="35000"/>
            </a:spcAft>
            <a:buNone/>
          </a:pPr>
          <a:r>
            <a:rPr lang="en-AU" sz="900" kern="1200">
              <a:solidFill>
                <a:sysClr val="windowText" lastClr="000000"/>
              </a:solidFill>
              <a:latin typeface="Arial" panose="020B0604020202020204" pitchFamily="34" charset="0"/>
              <a:cs typeface="Arial" panose="020B0604020202020204" pitchFamily="34" charset="0"/>
            </a:rPr>
            <a:t>9,262 doses</a:t>
          </a:r>
        </a:p>
      </dsp:txBody>
      <dsp:txXfrm>
        <a:off x="362792" y="2621155"/>
        <a:ext cx="677613" cy="105764"/>
      </dsp:txXfrm>
    </dsp:sp>
    <dsp:sp modelId="{39EE6A4A-6DB0-4A18-B52D-58F98F91935F}">
      <dsp:nvSpPr>
        <dsp:cNvPr id="0" name=""/>
        <dsp:cNvSpPr/>
      </dsp:nvSpPr>
      <dsp:spPr>
        <a:xfrm>
          <a:off x="1105871" y="2437894"/>
          <a:ext cx="876909" cy="221554"/>
        </a:xfrm>
        <a:prstGeom prst="roundRect">
          <a:avLst/>
        </a:prstGeom>
        <a:solidFill>
          <a:srgbClr val="557081"/>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33461" numCol="1" spcCol="1270" anchor="ctr" anchorCtr="0">
          <a:noAutofit/>
        </a:bodyPr>
        <a:lstStyle/>
        <a:p>
          <a:pPr marL="0" lvl="0" indent="0" algn="ctr" defTabSz="400050">
            <a:lnSpc>
              <a:spcPct val="90000"/>
            </a:lnSpc>
            <a:spcBef>
              <a:spcPct val="0"/>
            </a:spcBef>
            <a:spcAft>
              <a:spcPct val="35000"/>
            </a:spcAft>
            <a:buNone/>
          </a:pPr>
          <a:r>
            <a:rPr lang="en-AU" sz="900" kern="1200">
              <a:latin typeface="Arial" panose="020B0604020202020204" pitchFamily="34" charset="0"/>
              <a:cs typeface="Arial" panose="020B0604020202020204" pitchFamily="34" charset="0"/>
            </a:rPr>
            <a:t>Repeat doses</a:t>
          </a:r>
        </a:p>
      </dsp:txBody>
      <dsp:txXfrm>
        <a:off x="1116686" y="2448709"/>
        <a:ext cx="855279" cy="199924"/>
      </dsp:txXfrm>
    </dsp:sp>
    <dsp:sp modelId="{72CF281D-8BFB-4A5A-9494-1A1105C6F197}">
      <dsp:nvSpPr>
        <dsp:cNvPr id="0" name=""/>
        <dsp:cNvSpPr/>
      </dsp:nvSpPr>
      <dsp:spPr>
        <a:xfrm>
          <a:off x="1384819" y="2615433"/>
          <a:ext cx="689057" cy="117208"/>
        </a:xfrm>
        <a:prstGeom prst="roundRect">
          <a:avLst/>
        </a:prstGeom>
        <a:solidFill>
          <a:schemeClr val="bg1">
            <a:alpha val="90000"/>
          </a:schemeClr>
        </a:solidFill>
        <a:ln w="25400" cap="flat" cmpd="sng" algn="ctr">
          <a:noFill/>
          <a:prstDash val="solid"/>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r" defTabSz="400050">
            <a:lnSpc>
              <a:spcPct val="90000"/>
            </a:lnSpc>
            <a:spcBef>
              <a:spcPct val="0"/>
            </a:spcBef>
            <a:spcAft>
              <a:spcPct val="35000"/>
            </a:spcAft>
            <a:buNone/>
          </a:pPr>
          <a:r>
            <a:rPr lang="en-AU" sz="900" kern="1200">
              <a:solidFill>
                <a:sysClr val="windowText" lastClr="000000"/>
              </a:solidFill>
              <a:latin typeface="Arial" panose="020B0604020202020204" pitchFamily="34" charset="0"/>
              <a:cs typeface="Arial" panose="020B0604020202020204" pitchFamily="34" charset="0"/>
            </a:rPr>
            <a:t>337 doses</a:t>
          </a:r>
        </a:p>
      </dsp:txBody>
      <dsp:txXfrm>
        <a:off x="1390541" y="2621155"/>
        <a:ext cx="677613" cy="105764"/>
      </dsp:txXfrm>
    </dsp:sp>
    <dsp:sp modelId="{A38D528F-F1BB-4EC9-820A-1B30301E1DB1}">
      <dsp:nvSpPr>
        <dsp:cNvPr id="0" name=""/>
        <dsp:cNvSpPr/>
      </dsp:nvSpPr>
      <dsp:spPr>
        <a:xfrm>
          <a:off x="1675826" y="1647887"/>
          <a:ext cx="876909" cy="303143"/>
        </a:xfrm>
        <a:prstGeom prst="roundRect">
          <a:avLst/>
        </a:prstGeom>
        <a:solidFill>
          <a:srgbClr val="849EAE"/>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33461"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Text" lastClr="000000"/>
              </a:solidFill>
              <a:latin typeface="Arial" panose="020B0604020202020204" pitchFamily="34" charset="0"/>
              <a:cs typeface="Arial" panose="020B0604020202020204" pitchFamily="34" charset="0"/>
            </a:rPr>
            <a:t>None prescribed</a:t>
          </a:r>
        </a:p>
      </dsp:txBody>
      <dsp:txXfrm>
        <a:off x="1690624" y="1662685"/>
        <a:ext cx="847313" cy="273547"/>
      </dsp:txXfrm>
    </dsp:sp>
    <dsp:sp modelId="{FAC04C08-038E-4C8B-8180-4FCD84FF7442}">
      <dsp:nvSpPr>
        <dsp:cNvPr id="0" name=""/>
        <dsp:cNvSpPr/>
      </dsp:nvSpPr>
      <dsp:spPr>
        <a:xfrm>
          <a:off x="1551350" y="1923694"/>
          <a:ext cx="1419218" cy="454789"/>
        </a:xfrm>
        <a:prstGeom prst="roundRect">
          <a:avLst/>
        </a:prstGeom>
        <a:solidFill>
          <a:schemeClr val="bg1">
            <a:alpha val="90000"/>
          </a:schemeClr>
        </a:solidFill>
        <a:ln w="25400" cap="flat" cmpd="sng" algn="ctr">
          <a:noFill/>
          <a:prstDash val="solid"/>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r" defTabSz="386714">
            <a:lnSpc>
              <a:spcPct val="90000"/>
            </a:lnSpc>
            <a:spcBef>
              <a:spcPct val="0"/>
            </a:spcBef>
            <a:spcAft>
              <a:spcPct val="35000"/>
            </a:spcAft>
            <a:buNone/>
          </a:pPr>
          <a:r>
            <a:rPr lang="en-AU" sz="870" kern="1200">
              <a:solidFill>
                <a:sysClr val="windowText" lastClr="000000"/>
              </a:solidFill>
              <a:latin typeface="Arial" panose="020B0604020202020204" pitchFamily="34" charset="0"/>
              <a:cs typeface="Arial" panose="020B0604020202020204" pitchFamily="34" charset="0"/>
            </a:rPr>
            <a:t>2,610 episodes </a:t>
          </a:r>
        </a:p>
        <a:p>
          <a:pPr marL="0" lvl="0" indent="0" algn="r" defTabSz="386714">
            <a:lnSpc>
              <a:spcPct val="90000"/>
            </a:lnSpc>
            <a:spcBef>
              <a:spcPct val="0"/>
            </a:spcBef>
            <a:spcAft>
              <a:spcPct val="35000"/>
            </a:spcAft>
            <a:buNone/>
          </a:pPr>
          <a:r>
            <a:rPr lang="en-AU" sz="870" kern="1200">
              <a:solidFill>
                <a:sysClr val="windowText" lastClr="000000"/>
              </a:solidFill>
              <a:latin typeface="Arial" panose="020B0604020202020204" pitchFamily="34" charset="0"/>
              <a:cs typeface="Arial" panose="020B0604020202020204" pitchFamily="34" charset="0"/>
            </a:rPr>
            <a:t> 36 repeat doses indicated but not prescribed</a:t>
          </a:r>
          <a:r>
            <a:rPr lang="en-AU" sz="880" kern="1200">
              <a:solidFill>
                <a:sysClr val="windowText" lastClr="000000"/>
              </a:solidFill>
              <a:latin typeface="Arial" panose="020B0604020202020204" pitchFamily="34" charset="0"/>
              <a:cs typeface="Arial" panose="020B0604020202020204" pitchFamily="34" charset="0"/>
            </a:rPr>
            <a:t> </a:t>
          </a:r>
        </a:p>
      </dsp:txBody>
      <dsp:txXfrm>
        <a:off x="1573551" y="1945895"/>
        <a:ext cx="1374816" cy="410387"/>
      </dsp:txXfrm>
    </dsp:sp>
    <dsp:sp modelId="{FA2F3EEC-23E7-46CB-8A4A-7EBB250401EC}">
      <dsp:nvSpPr>
        <dsp:cNvPr id="0" name=""/>
        <dsp:cNvSpPr/>
      </dsp:nvSpPr>
      <dsp:spPr>
        <a:xfrm>
          <a:off x="4526236" y="942168"/>
          <a:ext cx="1451097" cy="342634"/>
        </a:xfrm>
        <a:prstGeom prst="roundRect">
          <a:avLst/>
        </a:prstGeom>
        <a:solidFill>
          <a:srgbClr val="00A79D"/>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33461"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Text" lastClr="000000"/>
              </a:solidFill>
              <a:latin typeface="Arial" panose="020B0604020202020204" pitchFamily="34" charset="0"/>
              <a:cs typeface="Arial" panose="020B0604020202020204" pitchFamily="34" charset="0"/>
            </a:rPr>
            <a:t>Post-procedural antimicrobials</a:t>
          </a:r>
        </a:p>
      </dsp:txBody>
      <dsp:txXfrm>
        <a:off x="4542962" y="958894"/>
        <a:ext cx="1417645" cy="309182"/>
      </dsp:txXfrm>
    </dsp:sp>
    <dsp:sp modelId="{A14E9310-E78C-4256-B288-4CC0F6A9067C}">
      <dsp:nvSpPr>
        <dsp:cNvPr id="0" name=""/>
        <dsp:cNvSpPr/>
      </dsp:nvSpPr>
      <dsp:spPr>
        <a:xfrm>
          <a:off x="3264063" y="1304180"/>
          <a:ext cx="211940" cy="138864"/>
        </a:xfrm>
        <a:prstGeom prst="rect">
          <a:avLst/>
        </a:prstGeom>
        <a:no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marL="0" lvl="0" indent="0" algn="r" defTabSz="444500">
            <a:lnSpc>
              <a:spcPct val="90000"/>
            </a:lnSpc>
            <a:spcBef>
              <a:spcPct val="0"/>
            </a:spcBef>
            <a:spcAft>
              <a:spcPct val="35000"/>
            </a:spcAft>
            <a:buNone/>
          </a:pPr>
          <a:endParaRPr lang="en-AU" sz="1000" kern="1200">
            <a:latin typeface="Arial" panose="020B0604020202020204" pitchFamily="34" charset="0"/>
            <a:cs typeface="Arial" panose="020B0604020202020204" pitchFamily="34" charset="0"/>
          </a:endParaRPr>
        </a:p>
      </dsp:txBody>
      <dsp:txXfrm>
        <a:off x="3264063" y="1304180"/>
        <a:ext cx="211940" cy="138864"/>
      </dsp:txXfrm>
    </dsp:sp>
    <dsp:sp modelId="{08091B86-32E8-4ABA-B9A5-D6A3ED7973BB}">
      <dsp:nvSpPr>
        <dsp:cNvPr id="0" name=""/>
        <dsp:cNvSpPr/>
      </dsp:nvSpPr>
      <dsp:spPr>
        <a:xfrm>
          <a:off x="2982266" y="1643786"/>
          <a:ext cx="876909" cy="303143"/>
        </a:xfrm>
        <a:prstGeom prst="roundRect">
          <a:avLst/>
        </a:prstGeom>
        <a:solidFill>
          <a:srgbClr val="00A79D"/>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33461"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Text" lastClr="000000"/>
              </a:solidFill>
              <a:latin typeface="Arial" panose="020B0604020202020204" pitchFamily="34" charset="0"/>
              <a:cs typeface="Arial" panose="020B0604020202020204" pitchFamily="34" charset="0"/>
            </a:rPr>
            <a:t>Prescribed</a:t>
          </a:r>
        </a:p>
      </dsp:txBody>
      <dsp:txXfrm>
        <a:off x="2997064" y="1658584"/>
        <a:ext cx="847313" cy="273547"/>
      </dsp:txXfrm>
    </dsp:sp>
    <dsp:sp modelId="{37D68202-532C-41B3-8EB0-0AB1CE342555}">
      <dsp:nvSpPr>
        <dsp:cNvPr id="0" name=""/>
        <dsp:cNvSpPr/>
      </dsp:nvSpPr>
      <dsp:spPr>
        <a:xfrm>
          <a:off x="3230501" y="1842299"/>
          <a:ext cx="1113844" cy="269712"/>
        </a:xfrm>
        <a:prstGeom prst="roundRect">
          <a:avLst/>
        </a:prstGeom>
        <a:solidFill>
          <a:schemeClr val="bg1">
            <a:alpha val="90000"/>
          </a:schemeClr>
        </a:solidFill>
        <a:ln w="25400" cap="flat" cmpd="sng" algn="ctr">
          <a:noFill/>
          <a:prstDash val="solid"/>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r" defTabSz="400050">
            <a:lnSpc>
              <a:spcPct val="90000"/>
            </a:lnSpc>
            <a:spcBef>
              <a:spcPct val="0"/>
            </a:spcBef>
            <a:spcAft>
              <a:spcPct val="35000"/>
            </a:spcAft>
            <a:buNone/>
          </a:pPr>
          <a:r>
            <a:rPr lang="en-AU" sz="900" kern="1200">
              <a:solidFill>
                <a:sysClr val="windowText" lastClr="000000"/>
              </a:solidFill>
              <a:latin typeface="Arial" panose="020B0604020202020204" pitchFamily="34" charset="0"/>
              <a:cs typeface="Arial" panose="020B0604020202020204" pitchFamily="34" charset="0"/>
            </a:rPr>
            <a:t>4,587 episodes</a:t>
          </a:r>
        </a:p>
        <a:p>
          <a:pPr marL="0" lvl="0" indent="0" algn="r" defTabSz="400050">
            <a:lnSpc>
              <a:spcPct val="90000"/>
            </a:lnSpc>
            <a:spcBef>
              <a:spcPct val="0"/>
            </a:spcBef>
            <a:spcAft>
              <a:spcPct val="35000"/>
            </a:spcAft>
            <a:buNone/>
          </a:pPr>
          <a:r>
            <a:rPr lang="en-AU" sz="900" kern="1200">
              <a:solidFill>
                <a:sysClr val="windowText" lastClr="000000"/>
              </a:solidFill>
              <a:latin typeface="Arial" panose="020B0604020202020204" pitchFamily="34" charset="0"/>
              <a:cs typeface="Arial" panose="020B0604020202020204" pitchFamily="34" charset="0"/>
            </a:rPr>
            <a:t>5,634 prescriptions</a:t>
          </a:r>
        </a:p>
      </dsp:txBody>
      <dsp:txXfrm>
        <a:off x="3243667" y="1855465"/>
        <a:ext cx="1087512" cy="243380"/>
      </dsp:txXfrm>
    </dsp:sp>
    <dsp:sp modelId="{FDC02F12-76C2-465A-9E6F-CE3F792E03C4}">
      <dsp:nvSpPr>
        <dsp:cNvPr id="0" name=""/>
        <dsp:cNvSpPr/>
      </dsp:nvSpPr>
      <dsp:spPr>
        <a:xfrm>
          <a:off x="5018830" y="2354219"/>
          <a:ext cx="1300637" cy="514630"/>
        </a:xfrm>
        <a:prstGeom prst="roundRect">
          <a:avLst/>
        </a:prstGeom>
        <a:solidFill>
          <a:srgbClr val="BCBEC0"/>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33461"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Text" lastClr="000000"/>
              </a:solidFill>
              <a:latin typeface="Arial" panose="020B0604020202020204" pitchFamily="34" charset="0"/>
              <a:cs typeface="Arial" panose="020B0604020202020204" pitchFamily="34" charset="0"/>
            </a:rPr>
            <a:t>Episodes where no prescriptions were for prophylaxis</a:t>
          </a:r>
        </a:p>
      </dsp:txBody>
      <dsp:txXfrm>
        <a:off x="5043952" y="2379341"/>
        <a:ext cx="1250393" cy="464386"/>
      </dsp:txXfrm>
    </dsp:sp>
    <dsp:sp modelId="{70A5F33B-99CB-4EEF-9F27-5592F9AAF15B}">
      <dsp:nvSpPr>
        <dsp:cNvPr id="0" name=""/>
        <dsp:cNvSpPr/>
      </dsp:nvSpPr>
      <dsp:spPr>
        <a:xfrm>
          <a:off x="5446720" y="2781523"/>
          <a:ext cx="1004055" cy="591962"/>
        </a:xfrm>
        <a:prstGeom prst="roundRect">
          <a:avLst/>
        </a:prstGeom>
        <a:solidFill>
          <a:schemeClr val="bg1">
            <a:alpha val="90000"/>
          </a:schemeClr>
        </a:solidFill>
        <a:ln w="25400" cap="flat" cmpd="sng" algn="ctr">
          <a:noFill/>
          <a:prstDash val="solid"/>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r" defTabSz="400050">
            <a:lnSpc>
              <a:spcPct val="90000"/>
            </a:lnSpc>
            <a:spcBef>
              <a:spcPct val="0"/>
            </a:spcBef>
            <a:spcAft>
              <a:spcPct val="35000"/>
            </a:spcAft>
            <a:buNone/>
          </a:pPr>
          <a:r>
            <a:rPr lang="en-AU" sz="900" kern="1200">
              <a:solidFill>
                <a:sysClr val="windowText" lastClr="000000"/>
              </a:solidFill>
              <a:latin typeface="Arial" panose="020B0604020202020204" pitchFamily="34" charset="0"/>
              <a:cs typeface="Arial" panose="020B0604020202020204" pitchFamily="34" charset="0"/>
            </a:rPr>
            <a:t>609 episodes</a:t>
          </a:r>
        </a:p>
        <a:p>
          <a:pPr marL="0" lvl="0" indent="0" algn="r" defTabSz="400050">
            <a:lnSpc>
              <a:spcPct val="90000"/>
            </a:lnSpc>
            <a:spcBef>
              <a:spcPct val="0"/>
            </a:spcBef>
            <a:spcAft>
              <a:spcPct val="35000"/>
            </a:spcAft>
            <a:buNone/>
          </a:pPr>
          <a:r>
            <a:rPr lang="en-AU" sz="900" kern="1200">
              <a:solidFill>
                <a:sysClr val="windowText" lastClr="000000"/>
              </a:solidFill>
              <a:latin typeface="Arial" panose="020B0604020202020204" pitchFamily="34" charset="0"/>
              <a:cs typeface="Arial" panose="020B0604020202020204" pitchFamily="34" charset="0"/>
            </a:rPr>
            <a:t>919 prescriptions</a:t>
          </a:r>
        </a:p>
        <a:p>
          <a:pPr marL="0" lvl="0" indent="0" algn="r" defTabSz="400050">
            <a:lnSpc>
              <a:spcPct val="90000"/>
            </a:lnSpc>
            <a:spcBef>
              <a:spcPct val="0"/>
            </a:spcBef>
            <a:spcAft>
              <a:spcPct val="35000"/>
            </a:spcAft>
            <a:buNone/>
          </a:pPr>
          <a:r>
            <a:rPr lang="en-AU" sz="900" kern="1200">
              <a:solidFill>
                <a:sysClr val="windowText" lastClr="000000"/>
              </a:solidFill>
              <a:latin typeface="Arial" panose="020B0604020202020204" pitchFamily="34" charset="0"/>
              <a:cs typeface="Arial" panose="020B0604020202020204" pitchFamily="34" charset="0"/>
            </a:rPr>
            <a:t>No further analysis</a:t>
          </a:r>
        </a:p>
      </dsp:txBody>
      <dsp:txXfrm>
        <a:off x="5475617" y="2810420"/>
        <a:ext cx="946261" cy="534168"/>
      </dsp:txXfrm>
    </dsp:sp>
    <dsp:sp modelId="{5B28B24E-223E-4F8A-A9BD-AF01BF6FCB1F}">
      <dsp:nvSpPr>
        <dsp:cNvPr id="0" name=""/>
        <dsp:cNvSpPr/>
      </dsp:nvSpPr>
      <dsp:spPr>
        <a:xfrm rot="10800000" flipV="1">
          <a:off x="3220628" y="2354219"/>
          <a:ext cx="1300637" cy="514630"/>
        </a:xfrm>
        <a:prstGeom prst="roundRect">
          <a:avLst/>
        </a:prstGeom>
        <a:solidFill>
          <a:srgbClr val="00A79D"/>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33461"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Text" lastClr="000000"/>
              </a:solidFill>
              <a:latin typeface="Arial" panose="020B0604020202020204" pitchFamily="34" charset="0"/>
              <a:cs typeface="Arial" panose="020B0604020202020204" pitchFamily="34" charset="0"/>
            </a:rPr>
            <a:t>Episodes where at least one prescription was for prophylaxis</a:t>
          </a:r>
        </a:p>
      </dsp:txBody>
      <dsp:txXfrm rot="-10800000">
        <a:off x="3245750" y="2379341"/>
        <a:ext cx="1250393" cy="464386"/>
      </dsp:txXfrm>
    </dsp:sp>
    <dsp:sp modelId="{D0A1FE30-F4BB-4FE9-AAF6-CD342513F6C9}">
      <dsp:nvSpPr>
        <dsp:cNvPr id="0" name=""/>
        <dsp:cNvSpPr/>
      </dsp:nvSpPr>
      <dsp:spPr>
        <a:xfrm>
          <a:off x="3931704" y="2778049"/>
          <a:ext cx="1004055" cy="404168"/>
        </a:xfrm>
        <a:prstGeom prst="roundRect">
          <a:avLst/>
        </a:prstGeom>
        <a:solidFill>
          <a:schemeClr val="bg1">
            <a:alpha val="90000"/>
          </a:schemeClr>
        </a:solidFill>
        <a:ln w="25400" cap="flat" cmpd="sng" algn="ctr">
          <a:noFill/>
          <a:prstDash val="solid"/>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r" defTabSz="400050">
            <a:lnSpc>
              <a:spcPct val="90000"/>
            </a:lnSpc>
            <a:spcBef>
              <a:spcPct val="0"/>
            </a:spcBef>
            <a:spcAft>
              <a:spcPct val="35000"/>
            </a:spcAft>
            <a:buNone/>
          </a:pPr>
          <a:r>
            <a:rPr lang="en-AU" sz="900" kern="1200">
              <a:solidFill>
                <a:sysClr val="windowText" lastClr="000000"/>
              </a:solidFill>
              <a:latin typeface="Arial" panose="020B0604020202020204" pitchFamily="34" charset="0"/>
              <a:cs typeface="Arial" panose="020B0604020202020204" pitchFamily="34" charset="0"/>
            </a:rPr>
            <a:t>3,978 episodes</a:t>
          </a:r>
        </a:p>
        <a:p>
          <a:pPr marL="0" lvl="0" indent="0" algn="r" defTabSz="400050">
            <a:lnSpc>
              <a:spcPct val="90000"/>
            </a:lnSpc>
            <a:spcBef>
              <a:spcPct val="0"/>
            </a:spcBef>
            <a:spcAft>
              <a:spcPct val="35000"/>
            </a:spcAft>
            <a:buNone/>
          </a:pPr>
          <a:r>
            <a:rPr lang="en-AU" sz="900" kern="1200">
              <a:solidFill>
                <a:sysClr val="windowText" lastClr="000000"/>
              </a:solidFill>
              <a:latin typeface="Arial" panose="020B0604020202020204" pitchFamily="34" charset="0"/>
              <a:cs typeface="Arial" panose="020B0604020202020204" pitchFamily="34" charset="0"/>
            </a:rPr>
            <a:t>4,715 prescriptions</a:t>
          </a:r>
        </a:p>
      </dsp:txBody>
      <dsp:txXfrm>
        <a:off x="3951434" y="2797779"/>
        <a:ext cx="964595" cy="364708"/>
      </dsp:txXfrm>
    </dsp:sp>
    <dsp:sp modelId="{4BF6FFC4-C55C-430E-B5F7-577B3B347710}">
      <dsp:nvSpPr>
        <dsp:cNvPr id="0" name=""/>
        <dsp:cNvSpPr/>
      </dsp:nvSpPr>
      <dsp:spPr>
        <a:xfrm>
          <a:off x="1669058" y="3354245"/>
          <a:ext cx="876909" cy="221554"/>
        </a:xfrm>
        <a:prstGeom prst="roundRect">
          <a:avLst/>
        </a:prstGeom>
        <a:solidFill>
          <a:srgbClr val="00A79D"/>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33461"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Text" lastClr="000000"/>
              </a:solidFill>
              <a:latin typeface="Arial" panose="020B0604020202020204" pitchFamily="34" charset="0"/>
              <a:cs typeface="Arial" panose="020B0604020202020204" pitchFamily="34" charset="0"/>
            </a:rPr>
            <a:t>Prophylaxis</a:t>
          </a:r>
        </a:p>
      </dsp:txBody>
      <dsp:txXfrm>
        <a:off x="1679873" y="3365060"/>
        <a:ext cx="855279" cy="199924"/>
      </dsp:txXfrm>
    </dsp:sp>
    <dsp:sp modelId="{EC015BFA-1712-436B-917B-4CC09F7ED762}">
      <dsp:nvSpPr>
        <dsp:cNvPr id="0" name=""/>
        <dsp:cNvSpPr/>
      </dsp:nvSpPr>
      <dsp:spPr>
        <a:xfrm>
          <a:off x="1988556" y="3546807"/>
          <a:ext cx="960220" cy="327432"/>
        </a:xfrm>
        <a:prstGeom prst="roundRect">
          <a:avLst/>
        </a:prstGeom>
        <a:solidFill>
          <a:schemeClr val="bg1">
            <a:alpha val="90000"/>
          </a:schemeClr>
        </a:solidFill>
        <a:ln w="25400" cap="flat" cmpd="sng" algn="ctr">
          <a:noFill/>
          <a:prstDash val="solid"/>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r" defTabSz="400050">
            <a:lnSpc>
              <a:spcPct val="90000"/>
            </a:lnSpc>
            <a:spcBef>
              <a:spcPct val="0"/>
            </a:spcBef>
            <a:spcAft>
              <a:spcPct val="35000"/>
            </a:spcAft>
            <a:buNone/>
          </a:pPr>
          <a:r>
            <a:rPr lang="en-AU" sz="900" kern="1200">
              <a:solidFill>
                <a:sysClr val="windowText" lastClr="000000"/>
              </a:solidFill>
              <a:latin typeface="Arial" panose="020B0604020202020204" pitchFamily="34" charset="0"/>
              <a:cs typeface="Arial" panose="020B0604020202020204" pitchFamily="34" charset="0"/>
            </a:rPr>
            <a:t>4,585 prescriptions</a:t>
          </a:r>
        </a:p>
      </dsp:txBody>
      <dsp:txXfrm>
        <a:off x="2004540" y="3562791"/>
        <a:ext cx="928252" cy="295464"/>
      </dsp:txXfrm>
    </dsp:sp>
    <dsp:sp modelId="{32EC7E06-17E1-47A0-9A42-66BC03471865}">
      <dsp:nvSpPr>
        <dsp:cNvPr id="0" name=""/>
        <dsp:cNvSpPr/>
      </dsp:nvSpPr>
      <dsp:spPr>
        <a:xfrm>
          <a:off x="2977378" y="3374262"/>
          <a:ext cx="876909" cy="221554"/>
        </a:xfrm>
        <a:prstGeom prst="roundRect">
          <a:avLst/>
        </a:prstGeom>
        <a:solidFill>
          <a:srgbClr val="BCBEC0"/>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33461"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Text" lastClr="000000"/>
              </a:solidFill>
              <a:latin typeface="Arial" panose="020B0604020202020204" pitchFamily="34" charset="0"/>
              <a:cs typeface="Arial" panose="020B0604020202020204" pitchFamily="34" charset="0"/>
            </a:rPr>
            <a:t>Treatment</a:t>
          </a:r>
        </a:p>
      </dsp:txBody>
      <dsp:txXfrm>
        <a:off x="2988193" y="3385077"/>
        <a:ext cx="855279" cy="199924"/>
      </dsp:txXfrm>
    </dsp:sp>
    <dsp:sp modelId="{2C7F40E8-C355-4842-9266-1F85DBB6697C}">
      <dsp:nvSpPr>
        <dsp:cNvPr id="0" name=""/>
        <dsp:cNvSpPr/>
      </dsp:nvSpPr>
      <dsp:spPr>
        <a:xfrm>
          <a:off x="3272072" y="3569076"/>
          <a:ext cx="960220" cy="472362"/>
        </a:xfrm>
        <a:prstGeom prst="roundRect">
          <a:avLst/>
        </a:prstGeom>
        <a:solidFill>
          <a:schemeClr val="bg1">
            <a:alpha val="90000"/>
          </a:schemeClr>
        </a:solidFill>
        <a:ln w="25400" cap="flat" cmpd="sng" algn="ctr">
          <a:noFill/>
          <a:prstDash val="solid"/>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r" defTabSz="400050">
            <a:lnSpc>
              <a:spcPct val="90000"/>
            </a:lnSpc>
            <a:spcBef>
              <a:spcPct val="0"/>
            </a:spcBef>
            <a:spcAft>
              <a:spcPct val="35000"/>
            </a:spcAft>
            <a:buNone/>
          </a:pPr>
          <a:r>
            <a:rPr lang="en-AU" sz="900" kern="1200">
              <a:solidFill>
                <a:sysClr val="windowText" lastClr="000000"/>
              </a:solidFill>
              <a:latin typeface="Arial" panose="020B0604020202020204" pitchFamily="34" charset="0"/>
              <a:cs typeface="Arial" panose="020B0604020202020204" pitchFamily="34" charset="0"/>
            </a:rPr>
            <a:t>97 prescriptions</a:t>
          </a:r>
        </a:p>
        <a:p>
          <a:pPr marL="0" lvl="0" indent="0" algn="r" defTabSz="400050">
            <a:lnSpc>
              <a:spcPct val="90000"/>
            </a:lnSpc>
            <a:spcBef>
              <a:spcPct val="0"/>
            </a:spcBef>
            <a:spcAft>
              <a:spcPct val="35000"/>
            </a:spcAft>
            <a:buNone/>
          </a:pPr>
          <a:r>
            <a:rPr lang="en-AU" sz="900" kern="1200">
              <a:solidFill>
                <a:sysClr val="windowText" lastClr="000000"/>
              </a:solidFill>
              <a:latin typeface="Arial" panose="020B0604020202020204" pitchFamily="34" charset="0"/>
              <a:cs typeface="Arial" panose="020B0604020202020204" pitchFamily="34" charset="0"/>
            </a:rPr>
            <a:t>No further analysis</a:t>
          </a:r>
        </a:p>
      </dsp:txBody>
      <dsp:txXfrm>
        <a:off x="3295131" y="3592135"/>
        <a:ext cx="914102" cy="426244"/>
      </dsp:txXfrm>
    </dsp:sp>
    <dsp:sp modelId="{452FD80C-0EE1-4396-B68C-869F03F68C75}">
      <dsp:nvSpPr>
        <dsp:cNvPr id="0" name=""/>
        <dsp:cNvSpPr/>
      </dsp:nvSpPr>
      <dsp:spPr>
        <a:xfrm>
          <a:off x="4285697" y="3397748"/>
          <a:ext cx="1030817" cy="221554"/>
        </a:xfrm>
        <a:prstGeom prst="roundRect">
          <a:avLst/>
        </a:prstGeom>
        <a:solidFill>
          <a:srgbClr val="BCBEC0"/>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33461"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Text" lastClr="000000"/>
              </a:solidFill>
              <a:latin typeface="Arial" panose="020B0604020202020204" pitchFamily="34" charset="0"/>
              <a:cs typeface="Arial" panose="020B0604020202020204" pitchFamily="34" charset="0"/>
            </a:rPr>
            <a:t>Not assessable</a:t>
          </a:r>
        </a:p>
      </dsp:txBody>
      <dsp:txXfrm>
        <a:off x="4296512" y="3408563"/>
        <a:ext cx="1009187" cy="199924"/>
      </dsp:txXfrm>
    </dsp:sp>
    <dsp:sp modelId="{4176B799-6962-4130-987D-64383D235712}">
      <dsp:nvSpPr>
        <dsp:cNvPr id="0" name=""/>
        <dsp:cNvSpPr/>
      </dsp:nvSpPr>
      <dsp:spPr>
        <a:xfrm>
          <a:off x="4712885" y="3584009"/>
          <a:ext cx="960220" cy="519334"/>
        </a:xfrm>
        <a:prstGeom prst="roundRect">
          <a:avLst/>
        </a:prstGeom>
        <a:solidFill>
          <a:schemeClr val="bg1">
            <a:alpha val="90000"/>
          </a:schemeClr>
        </a:solidFill>
        <a:ln w="25400" cap="flat" cmpd="sng" algn="ctr">
          <a:noFill/>
          <a:prstDash val="solid"/>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r" defTabSz="400050">
            <a:lnSpc>
              <a:spcPct val="90000"/>
            </a:lnSpc>
            <a:spcBef>
              <a:spcPct val="0"/>
            </a:spcBef>
            <a:spcAft>
              <a:spcPct val="35000"/>
            </a:spcAft>
            <a:buNone/>
          </a:pPr>
          <a:r>
            <a:rPr lang="en-AU" sz="900" kern="1200">
              <a:solidFill>
                <a:sysClr val="windowText" lastClr="000000"/>
              </a:solidFill>
              <a:latin typeface="Arial" panose="020B0604020202020204" pitchFamily="34" charset="0"/>
              <a:cs typeface="Arial" panose="020B0604020202020204" pitchFamily="34" charset="0"/>
            </a:rPr>
            <a:t>33 prescriptions</a:t>
          </a:r>
        </a:p>
        <a:p>
          <a:pPr marL="0" lvl="0" indent="0" algn="r" defTabSz="400050">
            <a:lnSpc>
              <a:spcPct val="90000"/>
            </a:lnSpc>
            <a:spcBef>
              <a:spcPct val="0"/>
            </a:spcBef>
            <a:spcAft>
              <a:spcPct val="35000"/>
            </a:spcAft>
            <a:buNone/>
          </a:pPr>
          <a:r>
            <a:rPr lang="en-AU" sz="900" kern="1200">
              <a:solidFill>
                <a:sysClr val="windowText" lastClr="000000"/>
              </a:solidFill>
              <a:latin typeface="Arial" panose="020B0604020202020204" pitchFamily="34" charset="0"/>
              <a:cs typeface="Arial" panose="020B0604020202020204" pitchFamily="34" charset="0"/>
            </a:rPr>
            <a:t>No further analysis</a:t>
          </a:r>
        </a:p>
      </dsp:txBody>
      <dsp:txXfrm>
        <a:off x="4738237" y="3609361"/>
        <a:ext cx="909516" cy="468630"/>
      </dsp:txXfrm>
    </dsp:sp>
    <dsp:sp modelId="{E86059AD-84F8-4E41-90FA-6A1362A955E1}">
      <dsp:nvSpPr>
        <dsp:cNvPr id="0" name=""/>
        <dsp:cNvSpPr/>
      </dsp:nvSpPr>
      <dsp:spPr>
        <a:xfrm>
          <a:off x="4437473" y="1645759"/>
          <a:ext cx="876909" cy="303143"/>
        </a:xfrm>
        <a:prstGeom prst="roundRect">
          <a:avLst/>
        </a:prstGeom>
        <a:solidFill>
          <a:srgbClr val="ADD4D1"/>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33461"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Text" lastClr="000000"/>
              </a:solidFill>
              <a:latin typeface="Arial" panose="020B0604020202020204" pitchFamily="34" charset="0"/>
              <a:cs typeface="Arial" panose="020B0604020202020204" pitchFamily="34" charset="0"/>
            </a:rPr>
            <a:t>None prescribed</a:t>
          </a:r>
        </a:p>
      </dsp:txBody>
      <dsp:txXfrm>
        <a:off x="4452271" y="1660557"/>
        <a:ext cx="847313" cy="273547"/>
      </dsp:txXfrm>
    </dsp:sp>
    <dsp:sp modelId="{82C1A830-FEBF-41C5-9268-CC5FF74D5800}">
      <dsp:nvSpPr>
        <dsp:cNvPr id="0" name=""/>
        <dsp:cNvSpPr/>
      </dsp:nvSpPr>
      <dsp:spPr>
        <a:xfrm>
          <a:off x="4708720" y="1895729"/>
          <a:ext cx="786279" cy="256320"/>
        </a:xfrm>
        <a:prstGeom prst="roundRect">
          <a:avLst/>
        </a:prstGeom>
        <a:solidFill>
          <a:schemeClr val="bg1">
            <a:alpha val="90000"/>
          </a:schemeClr>
        </a:solidFill>
        <a:ln w="25400" cap="flat" cmpd="sng" algn="ctr">
          <a:noFill/>
          <a:prstDash val="solid"/>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r" defTabSz="400050">
            <a:lnSpc>
              <a:spcPct val="90000"/>
            </a:lnSpc>
            <a:spcBef>
              <a:spcPct val="0"/>
            </a:spcBef>
            <a:spcAft>
              <a:spcPct val="35000"/>
            </a:spcAft>
            <a:buNone/>
          </a:pPr>
          <a:r>
            <a:rPr lang="en-AU" sz="900" kern="1200">
              <a:solidFill>
                <a:sysClr val="windowText" lastClr="000000"/>
              </a:solidFill>
              <a:latin typeface="Arial" panose="020B0604020202020204" pitchFamily="34" charset="0"/>
              <a:cs typeface="Arial" panose="020B0604020202020204" pitchFamily="34" charset="0"/>
            </a:rPr>
            <a:t>6,030 episodes</a:t>
          </a:r>
        </a:p>
      </dsp:txBody>
      <dsp:txXfrm>
        <a:off x="4721233" y="1908242"/>
        <a:ext cx="761253" cy="231294"/>
      </dsp:txXfrm>
    </dsp:sp>
    <dsp:sp modelId="{1E4C9547-E81B-4852-B2D9-6AC3D6081DDD}">
      <dsp:nvSpPr>
        <dsp:cNvPr id="0" name=""/>
        <dsp:cNvSpPr/>
      </dsp:nvSpPr>
      <dsp:spPr>
        <a:xfrm>
          <a:off x="5571815" y="1643786"/>
          <a:ext cx="876909" cy="303143"/>
        </a:xfrm>
        <a:prstGeom prst="roundRect">
          <a:avLst/>
        </a:prstGeom>
        <a:solidFill>
          <a:srgbClr val="ADD4D1"/>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33461"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Text" lastClr="000000"/>
              </a:solidFill>
              <a:latin typeface="Arial" panose="020B0604020202020204" pitchFamily="34" charset="0"/>
              <a:cs typeface="Arial" panose="020B0604020202020204" pitchFamily="34" charset="0"/>
            </a:rPr>
            <a:t>Not assessable</a:t>
          </a:r>
        </a:p>
      </dsp:txBody>
      <dsp:txXfrm>
        <a:off x="5586613" y="1658584"/>
        <a:ext cx="847313" cy="273547"/>
      </dsp:txXfrm>
    </dsp:sp>
    <dsp:sp modelId="{28497822-B9A1-46D1-89FE-E3B47D99EF76}">
      <dsp:nvSpPr>
        <dsp:cNvPr id="0" name=""/>
        <dsp:cNvSpPr/>
      </dsp:nvSpPr>
      <dsp:spPr>
        <a:xfrm>
          <a:off x="5795281" y="1866046"/>
          <a:ext cx="689057" cy="270488"/>
        </a:xfrm>
        <a:prstGeom prst="roundRect">
          <a:avLst/>
        </a:prstGeom>
        <a:solidFill>
          <a:schemeClr val="bg1">
            <a:alpha val="90000"/>
          </a:schemeClr>
        </a:solidFill>
        <a:ln w="25400" cap="flat" cmpd="sng" algn="ctr">
          <a:noFill/>
          <a:prstDash val="solid"/>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r" defTabSz="400050">
            <a:lnSpc>
              <a:spcPct val="90000"/>
            </a:lnSpc>
            <a:spcBef>
              <a:spcPct val="0"/>
            </a:spcBef>
            <a:spcAft>
              <a:spcPct val="35000"/>
            </a:spcAft>
            <a:buNone/>
          </a:pPr>
          <a:r>
            <a:rPr lang="en-AU" sz="900" kern="1200">
              <a:solidFill>
                <a:sysClr val="windowText" lastClr="000000"/>
              </a:solidFill>
              <a:latin typeface="Arial" panose="020B0604020202020204" pitchFamily="34" charset="0"/>
              <a:cs typeface="Arial" panose="020B0604020202020204" pitchFamily="34" charset="0"/>
            </a:rPr>
            <a:t>310 episodes</a:t>
          </a:r>
        </a:p>
      </dsp:txBody>
      <dsp:txXfrm>
        <a:off x="5808485" y="1879250"/>
        <a:ext cx="662649" cy="244080"/>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6b98d56-25b7-479b-bf58-c8a0702ccf2c">
      <Value>5</Value>
      <Value>4</Value>
      <Value>89</Value>
      <Value>42</Value>
    </TaxCatchAll>
    <lcf76f155ced4ddcb4097134ff3c332f xmlns="3e9090f6-0245-48e3-bd19-46cc0b4d31f0">
      <Terms xmlns="http://schemas.microsoft.com/office/infopath/2007/PartnerControls"/>
    </lcf76f155ced4ddcb4097134ff3c332f>
    <Trello xmlns="3e9090f6-0245-48e3-bd19-46cc0b4d31f0">
      <Url xsi:nil="true"/>
      <Description xsi:nil="true"/>
    </Trello>
    <Category xmlns="3e9090f6-0245-48e3-bd19-46cc0b4d31f0"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AA3B0B12D2F0A044930B7F0ED9CD8462" ma:contentTypeVersion="21" ma:contentTypeDescription="Create a new document." ma:contentTypeScope="" ma:versionID="539a0b41337877503582d5a4d1f49ab0">
  <xsd:schema xmlns:xsd="http://www.w3.org/2001/XMLSchema" xmlns:xs="http://www.w3.org/2001/XMLSchema" xmlns:p="http://schemas.microsoft.com/office/2006/metadata/properties" xmlns:ns2="66b98d56-25b7-479b-bf58-c8a0702ccf2c" xmlns:ns3="3e9090f6-0245-48e3-bd19-46cc0b4d31f0" targetNamespace="http://schemas.microsoft.com/office/2006/metadata/properties" ma:root="true" ma:fieldsID="54cfda17f1a99e79a1411bc41e70c81d" ns2:_="" ns3:_="">
    <xsd:import namespace="66b98d56-25b7-479b-bf58-c8a0702ccf2c"/>
    <xsd:import namespace="3e9090f6-0245-48e3-bd19-46cc0b4d31f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LengthInSeconds" minOccurs="0"/>
                <xsd:element ref="ns3:Trello" minOccurs="0"/>
                <xsd:element ref="ns3:MediaServiceLocation" minOccurs="0"/>
                <xsd:element ref="ns3:Category" minOccurs="0"/>
                <xsd:element ref="ns2:TaxCatchAll" minOccurs="0"/>
                <xsd:element ref="ns3:lcf76f155ced4ddcb4097134ff3c332f"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b98d56-25b7-479b-bf58-c8a0702ccf2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453538d-d5ab-4153-beec-42a8f73a9330}" ma:internalName="TaxCatchAll" ma:showField="CatchAllData" ma:web="66b98d56-25b7-479b-bf58-c8a0702ccf2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e9090f6-0245-48e3-bd19-46cc0b4d31f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Trello" ma:index="20" nillable="true" ma:displayName="Trello" ma:description="Link to Trello ticket" ma:format="Hyperlink" ma:internalName="Trello">
      <xsd:complexType>
        <xsd:complexContent>
          <xsd:extension base="dms:URL">
            <xsd:sequence>
              <xsd:element name="Url" type="dms:ValidUrl" minOccurs="0" nillable="true"/>
              <xsd:element name="Description" type="xsd:string" nillable="true"/>
            </xsd:sequence>
          </xsd:extension>
        </xsd:complexContent>
      </xsd:complexType>
    </xsd:element>
    <xsd:element name="MediaServiceLocation" ma:index="21" nillable="true" ma:displayName="Location" ma:internalName="MediaServiceLocation" ma:readOnly="true">
      <xsd:simpleType>
        <xsd:restriction base="dms:Text"/>
      </xsd:simpleType>
    </xsd:element>
    <xsd:element name="Category" ma:index="22" nillable="true" ma:displayName="Category" ma:format="Dropdown" ma:internalName="Category">
      <xsd:simpleType>
        <xsd:restriction base="dms:Choice">
          <xsd:enumeration value="Design Files"/>
          <xsd:enumeration value="Image Libraries"/>
          <xsd:enumeration value="Video Team"/>
          <xsd:enumeration value="Design Files - Corporate Comms Wallboards"/>
        </xsd:restrictio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0C6417-ADBB-487B-9091-DC3471F064BF}">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3e9090f6-0245-48e3-bd19-46cc0b4d31f0"/>
    <ds:schemaRef ds:uri="66b98d56-25b7-479b-bf58-c8a0702ccf2c"/>
    <ds:schemaRef ds:uri="http://www.w3.org/XML/1998/namespace"/>
    <ds:schemaRef ds:uri="http://purl.org/dc/dcmitype/"/>
  </ds:schemaRefs>
</ds:datastoreItem>
</file>

<file path=customXml/itemProps2.xml><?xml version="1.0" encoding="utf-8"?>
<ds:datastoreItem xmlns:ds="http://schemas.openxmlformats.org/officeDocument/2006/customXml" ds:itemID="{71FDA0A5-60E6-44E8-A57A-E38606E57BB2}">
  <ds:schemaRefs>
    <ds:schemaRef ds:uri="http://schemas.openxmlformats.org/officeDocument/2006/bibliography"/>
  </ds:schemaRefs>
</ds:datastoreItem>
</file>

<file path=customXml/itemProps3.xml><?xml version="1.0" encoding="utf-8"?>
<ds:datastoreItem xmlns:ds="http://schemas.openxmlformats.org/officeDocument/2006/customXml" ds:itemID="{1367D6AF-B904-4DE8-BDB0-2138C1F81C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b98d56-25b7-479b-bf58-c8a0702ccf2c"/>
    <ds:schemaRef ds:uri="3e9090f6-0245-48e3-bd19-46cc0b4d31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BFCAFB5-863C-4C24-ACB5-1626D6CA35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64</Pages>
  <Words>12324</Words>
  <Characters>80603</Characters>
  <Application>Microsoft Office Word</Application>
  <DocSecurity>0</DocSecurity>
  <Lines>671</Lines>
  <Paragraphs>185</Paragraphs>
  <ScaleCrop>false</ScaleCrop>
  <HeadingPairs>
    <vt:vector size="2" baseType="variant">
      <vt:variant>
        <vt:lpstr>Title</vt:lpstr>
      </vt:variant>
      <vt:variant>
        <vt:i4>1</vt:i4>
      </vt:variant>
    </vt:vector>
  </HeadingPairs>
  <TitlesOfParts>
    <vt:vector size="1" baseType="lpstr">
      <vt:lpstr>Surgical prophylaxis prescribing in Australian hospitals</vt:lpstr>
    </vt:vector>
  </TitlesOfParts>
  <Manager/>
  <Company/>
  <LinksUpToDate>false</LinksUpToDate>
  <CharactersWithSpaces>92742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Surgical prophylaxis prescribing in Australian hospitals</dc:title>
  <dc:subject>Antimicrobial resistance</dc:subject>
  <dc:creator>Australian Government</dc:creator>
  <cp:keywords>AMR; antimicrobial resistance; surgery</cp:keywords>
  <dc:description/>
  <cp:lastModifiedBy>MCCAY, Meryl</cp:lastModifiedBy>
  <cp:revision>7</cp:revision>
  <cp:lastPrinted>2024-01-09T04:49:00Z</cp:lastPrinted>
  <dcterms:created xsi:type="dcterms:W3CDTF">2024-01-17T22:04:00Z</dcterms:created>
  <dcterms:modified xsi:type="dcterms:W3CDTF">2024-01-25T03:27:00Z</dcterms:modified>
  <cp:category/>
</cp:coreProperties>
</file>